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style16.xml" ContentType="application/vnd.ms-office.chartstyle+xml"/>
  <Override PartName="/word/charts/colors16.xml" ContentType="application/vnd.ms-office.chartcolorstyle+xml"/>
  <Override PartName="/word/charts/style17.xml" ContentType="application/vnd.ms-office.chartstyle+xml"/>
  <Override PartName="/word/charts/colors17.xml" ContentType="application/vnd.ms-office.chartcolorstyle+xml"/>
  <Override PartName="/word/charts/style18.xml" ContentType="application/vnd.ms-office.chartstyle+xml"/>
  <Override PartName="/word/charts/colors18.xml" ContentType="application/vnd.ms-office.chartcolorstyle+xml"/>
  <Override PartName="/word/charts/style19.xml" ContentType="application/vnd.ms-office.chartstyle+xml"/>
  <Override PartName="/word/charts/colors19.xml" ContentType="application/vnd.ms-office.chartcolorstyle+xml"/>
  <Override PartName="/word/charts/style20.xml" ContentType="application/vnd.ms-office.chartstyle+xml"/>
  <Override PartName="/word/charts/colors20.xml" ContentType="application/vnd.ms-office.chartcolorstyle+xml"/>
  <Override PartName="/word/charts/style21.xml" ContentType="application/vnd.ms-office.chartstyle+xml"/>
  <Override PartName="/word/charts/colors21.xml" ContentType="application/vnd.ms-office.chartcolorstyle+xml"/>
  <Override PartName="/word/charts/style22.xml" ContentType="application/vnd.ms-office.chartstyle+xml"/>
  <Override PartName="/word/charts/colors22.xml" ContentType="application/vnd.ms-office.chartcolorstyle+xml"/>
  <Override PartName="/word/charts/style23.xml" ContentType="application/vnd.ms-office.chartstyle+xml"/>
  <Override PartName="/word/charts/colors23.xml" ContentType="application/vnd.ms-office.chartcolorstyle+xml"/>
  <Override PartName="/word/charts/style24.xml" ContentType="application/vnd.ms-office.chartstyle+xml"/>
  <Override PartName="/word/charts/colors24.xml" ContentType="application/vnd.ms-office.chartcolorstyle+xml"/>
  <Override PartName="/word/charts/style25.xml" ContentType="application/vnd.ms-office.chartstyle+xml"/>
  <Override PartName="/word/charts/colors25.xml" ContentType="application/vnd.ms-office.chartcolorstyle+xml"/>
  <Override PartName="/word/charts/style26.xml" ContentType="application/vnd.ms-office.chartstyle+xml"/>
  <Override PartName="/word/charts/colors26.xml" ContentType="application/vnd.ms-office.chartcolorstyle+xml"/>
  <Override PartName="/word/charts/style27.xml" ContentType="application/vnd.ms-office.chartstyle+xml"/>
  <Override PartName="/word/charts/colors27.xml" ContentType="application/vnd.ms-office.chartcolorstyle+xml"/>
  <Override PartName="/word/charts/style28.xml" ContentType="application/vnd.ms-office.chartstyle+xml"/>
  <Override PartName="/word/charts/colors28.xml" ContentType="application/vnd.ms-office.chartcolorstyle+xml"/>
  <Override PartName="/word/charts/style29.xml" ContentType="application/vnd.ms-office.chartstyle+xml"/>
  <Override PartName="/word/charts/colors29.xml" ContentType="application/vnd.ms-office.chartcolorstyle+xml"/>
  <Override PartName="/word/charts/style30.xml" ContentType="application/vnd.ms-office.chartstyle+xml"/>
  <Override PartName="/word/charts/colors30.xml" ContentType="application/vnd.ms-office.chartcolorstyle+xml"/>
  <Override PartName="/word/charts/style31.xml" ContentType="application/vnd.ms-office.chartstyle+xml"/>
  <Override PartName="/word/charts/colors31.xml" ContentType="application/vnd.ms-office.chartcolorstyle+xml"/>
  <Override PartName="/word/charts/style32.xml" ContentType="application/vnd.ms-office.chartstyle+xml"/>
  <Override PartName="/word/charts/colors32.xml" ContentType="application/vnd.ms-office.chartcolorstyle+xml"/>
  <Override PartName="/word/charts/style33.xml" ContentType="application/vnd.ms-office.chartstyle+xml"/>
  <Override PartName="/word/charts/colors33.xml" ContentType="application/vnd.ms-office.chartcolorstyle+xml"/>
  <Override PartName="/word/charts/style34.xml" ContentType="application/vnd.ms-office.chartstyle+xml"/>
  <Override PartName="/word/charts/colors34.xml" ContentType="application/vnd.ms-office.chartcolorstyle+xml"/>
  <Override PartName="/word/charts/style35.xml" ContentType="application/vnd.ms-office.chartstyle+xml"/>
  <Override PartName="/word/charts/colors35.xml" ContentType="application/vnd.ms-office.chartcolorstyle+xml"/>
  <Override PartName="/word/charts/style36.xml" ContentType="application/vnd.ms-office.chartstyle+xml"/>
  <Override PartName="/word/charts/colors36.xml" ContentType="application/vnd.ms-office.chartcolorstyle+xml"/>
  <Override PartName="/word/charts/style37.xml" ContentType="application/vnd.ms-office.chartstyle+xml"/>
  <Override PartName="/word/charts/colors37.xml" ContentType="application/vnd.ms-office.chartcolorstyle+xml"/>
  <Override PartName="/word/charts/style38.xml" ContentType="application/vnd.ms-office.chartstyle+xml"/>
  <Override PartName="/word/charts/colors38.xml" ContentType="application/vnd.ms-office.chartcolorstyle+xml"/>
  <Override PartName="/word/charts/style39.xml" ContentType="application/vnd.ms-office.chartstyle+xml"/>
  <Override PartName="/word/charts/colors39.xml" ContentType="application/vnd.ms-office.chartcolorstyle+xml"/>
  <Override PartName="/word/charts/style40.xml" ContentType="application/vnd.ms-office.chartstyle+xml"/>
  <Override PartName="/word/charts/colors40.xml" ContentType="application/vnd.ms-office.chartcolorstyle+xml"/>
  <Override PartName="/word/charts/style41.xml" ContentType="application/vnd.ms-office.chartstyle+xml"/>
  <Override PartName="/word/charts/colors41.xml" ContentType="application/vnd.ms-office.chartcolorstyle+xml"/>
  <Override PartName="/word/charts/style42.xml" ContentType="application/vnd.ms-office.chartstyle+xml"/>
  <Override PartName="/word/charts/colors42.xml" ContentType="application/vnd.ms-office.chartcolorstyle+xml"/>
  <Override PartName="/word/charts/style43.xml" ContentType="application/vnd.ms-office.chartstyle+xml"/>
  <Override PartName="/word/charts/colors43.xml" ContentType="application/vnd.ms-office.chartcolorstyle+xml"/>
  <Override PartName="/word/charts/style44.xml" ContentType="application/vnd.ms-office.chartstyle+xml"/>
  <Override PartName="/word/charts/colors44.xml" ContentType="application/vnd.ms-office.chartcolorstyle+xml"/>
  <Override PartName="/word/charts/style45.xml" ContentType="application/vnd.ms-office.chartstyle+xml"/>
  <Override PartName="/word/charts/colors45.xml" ContentType="application/vnd.ms-office.chartcolorstyle+xml"/>
  <Override PartName="/word/charts/style46.xml" ContentType="application/vnd.ms-office.chartstyle+xml"/>
  <Override PartName="/word/charts/colors46.xml" ContentType="application/vnd.ms-office.chartcolorstyle+xml"/>
  <Override PartName="/word/charts/style47.xml" ContentType="application/vnd.ms-office.chartstyle+xml"/>
  <Override PartName="/word/charts/colors47.xml" ContentType="application/vnd.ms-office.chartcolorstyle+xml"/>
  <Override PartName="/word/charts/style48.xml" ContentType="application/vnd.ms-office.chartstyle+xml"/>
  <Override PartName="/word/charts/colors48.xml" ContentType="application/vnd.ms-office.chartcolorstyle+xml"/>
  <Override PartName="/word/charts/style49.xml" ContentType="application/vnd.ms-office.chartstyle+xml"/>
  <Override PartName="/word/charts/colors49.xml" ContentType="application/vnd.ms-office.chartcolorstyle+xml"/>
  <Override PartName="/word/charts/style50.xml" ContentType="application/vnd.ms-office.chartstyle+xml"/>
  <Override PartName="/word/charts/colors50.xml" ContentType="application/vnd.ms-office.chartcolorstyle+xml"/>
  <Override PartName="/word/charts/style51.xml" ContentType="application/vnd.ms-office.chartstyle+xml"/>
  <Override PartName="/word/charts/colors51.xml" ContentType="application/vnd.ms-office.chartcolorstyle+xml"/>
  <Override PartName="/word/charts/style52.xml" ContentType="application/vnd.ms-office.chartstyle+xml"/>
  <Override PartName="/word/charts/colors52.xml" ContentType="application/vnd.ms-office.chartcolorstyle+xml"/>
  <Override PartName="/word/charts/style53.xml" ContentType="application/vnd.ms-office.chartstyle+xml"/>
  <Override PartName="/word/charts/colors53.xml" ContentType="application/vnd.ms-office.chartcolorstyle+xml"/>
  <Override PartName="/word/charts/style54.xml" ContentType="application/vnd.ms-office.chartstyle+xml"/>
  <Override PartName="/word/charts/colors54.xml" ContentType="application/vnd.ms-office.chartcolorstyle+xml"/>
  <Override PartName="/word/charts/style55.xml" ContentType="application/vnd.ms-office.chartstyle+xml"/>
  <Override PartName="/word/charts/colors55.xml" ContentType="application/vnd.ms-office.chartcolorstyle+xml"/>
  <Override PartName="/word/charts/style56.xml" ContentType="application/vnd.ms-office.chartstyle+xml"/>
  <Override PartName="/word/charts/colors56.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FF88A730-184B-4FE2-B83C-CEB6A8492BAA" style="width:449.75pt;height:403pt">
            <v:imagedata r:id="rId12" o:title=""/>
          </v:shape>
        </w:pict>
      </w:r>
    </w:p>
    <w:bookmarkEnd w:id="0"/>
    <w:p>
      <w:pPr>
        <w:rPr>
          <w:rFonts w:cs="Times New Roman"/>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p>
      <w:pPr>
        <w:pStyle w:val="TOC1"/>
        <w:rPr>
          <w:rFonts w:eastAsiaTheme="minorEastAsia"/>
          <w:caps w:val="0"/>
          <w:noProof/>
          <w:szCs w:val="22"/>
          <w:lang w:val="en-IE" w:eastAsia="en-IE"/>
        </w:rPr>
      </w:pPr>
      <w:r>
        <w:rPr>
          <w:caps w:val="0"/>
          <w:noProof/>
        </w:rPr>
        <w:fldChar w:fldCharType="begin"/>
      </w:r>
      <w:r>
        <w:rPr>
          <w:caps w:val="0"/>
          <w:noProof/>
        </w:rPr>
        <w:instrText xml:space="preserve"> TOC \o "1-2" \h \z \t "Annex Title;1" </w:instrText>
      </w:r>
      <w:r>
        <w:rPr>
          <w:caps w:val="0"/>
          <w:noProof/>
        </w:rPr>
        <w:fldChar w:fldCharType="separate"/>
      </w:r>
      <w:hyperlink w:anchor="_Toc14708126" w:history="1">
        <w:r>
          <w:rPr>
            <w:rStyle w:val="Hyperlink"/>
            <w:noProof/>
          </w:rPr>
          <w:t>1.</w:t>
        </w:r>
        <w:r>
          <w:rPr>
            <w:rFonts w:eastAsiaTheme="minorEastAsia"/>
            <w:caps w:val="0"/>
            <w:noProof/>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_Toc14708126 \h </w:instrText>
        </w:r>
        <w:r>
          <w:rPr>
            <w:noProof/>
            <w:webHidden/>
          </w:rPr>
        </w:r>
        <w:r>
          <w:rPr>
            <w:noProof/>
            <w:webHidden/>
          </w:rPr>
          <w:fldChar w:fldCharType="separate"/>
        </w:r>
        <w:r>
          <w:rPr>
            <w:noProof/>
            <w:webHidden/>
          </w:rPr>
          <w:t>5</w:t>
        </w:r>
        <w:r>
          <w:rPr>
            <w:noProof/>
            <w:webHidden/>
          </w:rPr>
          <w:fldChar w:fldCharType="end"/>
        </w:r>
      </w:hyperlink>
    </w:p>
    <w:p>
      <w:pPr>
        <w:pStyle w:val="TOC2"/>
        <w:rPr>
          <w:rFonts w:eastAsiaTheme="minorEastAsia" w:cs="Times New Roman"/>
          <w:lang w:val="en-IE" w:eastAsia="en-IE"/>
        </w:rPr>
      </w:pPr>
      <w:hyperlink w:anchor="_Toc14708127" w:history="1">
        <w:r>
          <w:rPr>
            <w:rStyle w:val="Hyperlink"/>
            <w:rFonts w:cs="Times New Roman"/>
          </w:rPr>
          <w:t>1.1.</w:t>
        </w:r>
        <w:r>
          <w:rPr>
            <w:rFonts w:eastAsiaTheme="minorEastAsia" w:cs="Times New Roman"/>
            <w:lang w:val="en-IE" w:eastAsia="en-IE"/>
          </w:rPr>
          <w:tab/>
        </w:r>
        <w:r>
          <w:rPr>
            <w:rStyle w:val="Hyperlink"/>
            <w:rFonts w:cs="Times New Roman"/>
          </w:rPr>
          <w:t>Purpose and scope</w:t>
        </w:r>
        <w:r>
          <w:rPr>
            <w:rFonts w:cs="Times New Roman"/>
            <w:webHidden/>
          </w:rPr>
          <w:tab/>
        </w:r>
        <w:r>
          <w:rPr>
            <w:rFonts w:cs="Times New Roman"/>
            <w:webHidden/>
          </w:rPr>
          <w:fldChar w:fldCharType="begin"/>
        </w:r>
        <w:r>
          <w:rPr>
            <w:rFonts w:cs="Times New Roman"/>
            <w:webHidden/>
          </w:rPr>
          <w:instrText xml:space="preserve"> PAGEREF _Toc14708127 \h </w:instrText>
        </w:r>
        <w:r>
          <w:rPr>
            <w:rFonts w:cs="Times New Roman"/>
            <w:webHidden/>
          </w:rPr>
        </w:r>
        <w:r>
          <w:rPr>
            <w:rFonts w:cs="Times New Roman"/>
            <w:webHidden/>
          </w:rPr>
          <w:fldChar w:fldCharType="separate"/>
        </w:r>
        <w:r>
          <w:rPr>
            <w:rFonts w:cs="Times New Roman"/>
            <w:webHidden/>
          </w:rPr>
          <w:t>5</w:t>
        </w:r>
        <w:r>
          <w:rPr>
            <w:rFonts w:cs="Times New Roman"/>
            <w:webHidden/>
          </w:rPr>
          <w:fldChar w:fldCharType="end"/>
        </w:r>
      </w:hyperlink>
    </w:p>
    <w:p>
      <w:pPr>
        <w:pStyle w:val="TOC1"/>
        <w:rPr>
          <w:rFonts w:eastAsiaTheme="minorEastAsia"/>
          <w:caps w:val="0"/>
          <w:noProof/>
          <w:szCs w:val="22"/>
          <w:lang w:val="en-IE" w:eastAsia="en-IE"/>
        </w:rPr>
      </w:pPr>
      <w:hyperlink w:anchor="_Toc14708128" w:history="1">
        <w:r>
          <w:rPr>
            <w:rStyle w:val="Hyperlink"/>
            <w:noProof/>
          </w:rPr>
          <w:t>2.</w:t>
        </w:r>
        <w:r>
          <w:rPr>
            <w:rFonts w:eastAsiaTheme="minorEastAsia"/>
            <w:caps w:val="0"/>
            <w:noProof/>
            <w:szCs w:val="22"/>
            <w:lang w:val="en-IE" w:eastAsia="en-IE"/>
          </w:rPr>
          <w:tab/>
        </w:r>
        <w:r>
          <w:rPr>
            <w:rStyle w:val="Hyperlink"/>
            <w:noProof/>
          </w:rPr>
          <w:t>Background to the intervention</w:t>
        </w:r>
        <w:r>
          <w:rPr>
            <w:noProof/>
            <w:webHidden/>
          </w:rPr>
          <w:tab/>
        </w:r>
        <w:r>
          <w:rPr>
            <w:noProof/>
            <w:webHidden/>
          </w:rPr>
          <w:fldChar w:fldCharType="begin"/>
        </w:r>
        <w:r>
          <w:rPr>
            <w:noProof/>
            <w:webHidden/>
          </w:rPr>
          <w:instrText xml:space="preserve"> PAGEREF _Toc14708128 \h </w:instrText>
        </w:r>
        <w:r>
          <w:rPr>
            <w:noProof/>
            <w:webHidden/>
          </w:rPr>
        </w:r>
        <w:r>
          <w:rPr>
            <w:noProof/>
            <w:webHidden/>
          </w:rPr>
          <w:fldChar w:fldCharType="separate"/>
        </w:r>
        <w:r>
          <w:rPr>
            <w:noProof/>
            <w:webHidden/>
          </w:rPr>
          <w:t>7</w:t>
        </w:r>
        <w:r>
          <w:rPr>
            <w:noProof/>
            <w:webHidden/>
          </w:rPr>
          <w:fldChar w:fldCharType="end"/>
        </w:r>
      </w:hyperlink>
    </w:p>
    <w:p>
      <w:pPr>
        <w:pStyle w:val="TOC2"/>
        <w:rPr>
          <w:rFonts w:eastAsiaTheme="minorEastAsia" w:cs="Times New Roman"/>
          <w:lang w:val="en-IE" w:eastAsia="en-IE"/>
        </w:rPr>
      </w:pPr>
      <w:hyperlink w:anchor="_Toc14708129" w:history="1">
        <w:r>
          <w:rPr>
            <w:rStyle w:val="Hyperlink"/>
            <w:rFonts w:cs="Times New Roman"/>
          </w:rPr>
          <w:t>2.1.</w:t>
        </w:r>
        <w:r>
          <w:rPr>
            <w:rFonts w:eastAsiaTheme="minorEastAsia" w:cs="Times New Roman"/>
            <w:lang w:val="en-IE" w:eastAsia="en-IE"/>
          </w:rPr>
          <w:tab/>
        </w:r>
        <w:r>
          <w:rPr>
            <w:rStyle w:val="Hyperlink"/>
            <w:rFonts w:cs="Times New Roman"/>
          </w:rPr>
          <w:t>Description of the intervention and its objectives</w:t>
        </w:r>
        <w:r>
          <w:rPr>
            <w:rFonts w:cs="Times New Roman"/>
            <w:webHidden/>
          </w:rPr>
          <w:tab/>
        </w:r>
        <w:r>
          <w:rPr>
            <w:rFonts w:cs="Times New Roman"/>
            <w:webHidden/>
          </w:rPr>
          <w:fldChar w:fldCharType="begin"/>
        </w:r>
        <w:r>
          <w:rPr>
            <w:rFonts w:cs="Times New Roman"/>
            <w:webHidden/>
          </w:rPr>
          <w:instrText xml:space="preserve"> PAGEREF _Toc14708129 \h </w:instrText>
        </w:r>
        <w:r>
          <w:rPr>
            <w:rFonts w:cs="Times New Roman"/>
            <w:webHidden/>
          </w:rPr>
        </w:r>
        <w:r>
          <w:rPr>
            <w:rFonts w:cs="Times New Roman"/>
            <w:webHidden/>
          </w:rPr>
          <w:fldChar w:fldCharType="separate"/>
        </w:r>
        <w:r>
          <w:rPr>
            <w:rFonts w:cs="Times New Roman"/>
            <w:webHidden/>
          </w:rPr>
          <w:t>7</w:t>
        </w:r>
        <w:r>
          <w:rPr>
            <w:rFonts w:cs="Times New Roman"/>
            <w:webHidden/>
          </w:rPr>
          <w:fldChar w:fldCharType="end"/>
        </w:r>
      </w:hyperlink>
    </w:p>
    <w:p>
      <w:pPr>
        <w:pStyle w:val="TOC2"/>
        <w:rPr>
          <w:rFonts w:eastAsiaTheme="minorEastAsia" w:cs="Times New Roman"/>
          <w:lang w:val="en-IE" w:eastAsia="en-IE"/>
        </w:rPr>
      </w:pPr>
      <w:hyperlink w:anchor="_Toc14708130" w:history="1">
        <w:r>
          <w:rPr>
            <w:rStyle w:val="Hyperlink"/>
            <w:rFonts w:cs="Times New Roman"/>
          </w:rPr>
          <w:t>2.2.</w:t>
        </w:r>
        <w:r>
          <w:rPr>
            <w:rFonts w:eastAsiaTheme="minorEastAsia" w:cs="Times New Roman"/>
            <w:lang w:val="en-IE" w:eastAsia="en-IE"/>
          </w:rPr>
          <w:tab/>
        </w:r>
        <w:r>
          <w:rPr>
            <w:rStyle w:val="Hyperlink"/>
            <w:rFonts w:cs="Times New Roman"/>
          </w:rPr>
          <w:t>Baseline and points of comparison</w:t>
        </w:r>
        <w:r>
          <w:rPr>
            <w:rFonts w:cs="Times New Roman"/>
            <w:webHidden/>
          </w:rPr>
          <w:tab/>
        </w:r>
        <w:r>
          <w:rPr>
            <w:rFonts w:cs="Times New Roman"/>
            <w:webHidden/>
          </w:rPr>
          <w:fldChar w:fldCharType="begin"/>
        </w:r>
        <w:r>
          <w:rPr>
            <w:rFonts w:cs="Times New Roman"/>
            <w:webHidden/>
          </w:rPr>
          <w:instrText xml:space="preserve"> PAGEREF _Toc14708130 \h </w:instrText>
        </w:r>
        <w:r>
          <w:rPr>
            <w:rFonts w:cs="Times New Roman"/>
            <w:webHidden/>
          </w:rPr>
        </w:r>
        <w:r>
          <w:rPr>
            <w:rFonts w:cs="Times New Roman"/>
            <w:webHidden/>
          </w:rPr>
          <w:fldChar w:fldCharType="separate"/>
        </w:r>
        <w:r>
          <w:rPr>
            <w:rFonts w:cs="Times New Roman"/>
            <w:webHidden/>
          </w:rPr>
          <w:t>11</w:t>
        </w:r>
        <w:r>
          <w:rPr>
            <w:rFonts w:cs="Times New Roman"/>
            <w:webHidden/>
          </w:rPr>
          <w:fldChar w:fldCharType="end"/>
        </w:r>
      </w:hyperlink>
    </w:p>
    <w:p>
      <w:pPr>
        <w:pStyle w:val="TOC1"/>
        <w:rPr>
          <w:rFonts w:eastAsiaTheme="minorEastAsia"/>
          <w:caps w:val="0"/>
          <w:noProof/>
          <w:szCs w:val="22"/>
          <w:lang w:val="en-IE" w:eastAsia="en-IE"/>
        </w:rPr>
      </w:pPr>
      <w:hyperlink w:anchor="_Toc14708131" w:history="1">
        <w:r>
          <w:rPr>
            <w:rStyle w:val="Hyperlink"/>
            <w:noProof/>
          </w:rPr>
          <w:t>3.</w:t>
        </w:r>
        <w:r>
          <w:rPr>
            <w:rFonts w:eastAsiaTheme="minorEastAsia"/>
            <w:caps w:val="0"/>
            <w:noProof/>
            <w:szCs w:val="22"/>
            <w:lang w:val="en-IE" w:eastAsia="en-IE"/>
          </w:rPr>
          <w:tab/>
        </w:r>
        <w:r>
          <w:rPr>
            <w:rStyle w:val="Hyperlink"/>
            <w:noProof/>
          </w:rPr>
          <w:t>Implementation / State of Play</w:t>
        </w:r>
        <w:r>
          <w:rPr>
            <w:noProof/>
            <w:webHidden/>
          </w:rPr>
          <w:tab/>
        </w:r>
        <w:r>
          <w:rPr>
            <w:noProof/>
            <w:webHidden/>
          </w:rPr>
          <w:fldChar w:fldCharType="begin"/>
        </w:r>
        <w:r>
          <w:rPr>
            <w:noProof/>
            <w:webHidden/>
          </w:rPr>
          <w:instrText xml:space="preserve"> PAGEREF _Toc14708131 \h </w:instrText>
        </w:r>
        <w:r>
          <w:rPr>
            <w:noProof/>
            <w:webHidden/>
          </w:rPr>
        </w:r>
        <w:r>
          <w:rPr>
            <w:noProof/>
            <w:webHidden/>
          </w:rPr>
          <w:fldChar w:fldCharType="separate"/>
        </w:r>
        <w:r>
          <w:rPr>
            <w:noProof/>
            <w:webHidden/>
          </w:rPr>
          <w:t>12</w:t>
        </w:r>
        <w:r>
          <w:rPr>
            <w:noProof/>
            <w:webHidden/>
          </w:rPr>
          <w:fldChar w:fldCharType="end"/>
        </w:r>
      </w:hyperlink>
    </w:p>
    <w:p>
      <w:pPr>
        <w:pStyle w:val="TOC2"/>
        <w:rPr>
          <w:rFonts w:eastAsiaTheme="minorEastAsia" w:cs="Times New Roman"/>
          <w:lang w:val="en-IE" w:eastAsia="en-IE"/>
        </w:rPr>
      </w:pPr>
      <w:hyperlink w:anchor="_Toc14708132" w:history="1">
        <w:r>
          <w:rPr>
            <w:rStyle w:val="Hyperlink"/>
            <w:rFonts w:cs="Times New Roman"/>
          </w:rPr>
          <w:t>3.1.</w:t>
        </w:r>
        <w:r>
          <w:rPr>
            <w:rFonts w:eastAsiaTheme="minorEastAsia" w:cs="Times New Roman"/>
            <w:lang w:val="en-IE" w:eastAsia="en-IE"/>
          </w:rPr>
          <w:tab/>
        </w:r>
        <w:r>
          <w:rPr>
            <w:rStyle w:val="Hyperlink"/>
            <w:rFonts w:cs="Times New Roman"/>
          </w:rPr>
          <w:t>Description of the current situation</w:t>
        </w:r>
        <w:r>
          <w:rPr>
            <w:rFonts w:cs="Times New Roman"/>
            <w:webHidden/>
          </w:rPr>
          <w:tab/>
        </w:r>
        <w:r>
          <w:rPr>
            <w:rFonts w:cs="Times New Roman"/>
            <w:webHidden/>
          </w:rPr>
          <w:fldChar w:fldCharType="begin"/>
        </w:r>
        <w:r>
          <w:rPr>
            <w:rFonts w:cs="Times New Roman"/>
            <w:webHidden/>
          </w:rPr>
          <w:instrText xml:space="preserve"> PAGEREF _Toc14708132 \h </w:instrText>
        </w:r>
        <w:r>
          <w:rPr>
            <w:rFonts w:cs="Times New Roman"/>
            <w:webHidden/>
          </w:rPr>
        </w:r>
        <w:r>
          <w:rPr>
            <w:rFonts w:cs="Times New Roman"/>
            <w:webHidden/>
          </w:rPr>
          <w:fldChar w:fldCharType="separate"/>
        </w:r>
        <w:r>
          <w:rPr>
            <w:rFonts w:cs="Times New Roman"/>
            <w:webHidden/>
          </w:rPr>
          <w:t>12</w:t>
        </w:r>
        <w:r>
          <w:rPr>
            <w:rFonts w:cs="Times New Roman"/>
            <w:webHidden/>
          </w:rPr>
          <w:fldChar w:fldCharType="end"/>
        </w:r>
      </w:hyperlink>
    </w:p>
    <w:p>
      <w:pPr>
        <w:pStyle w:val="TOC1"/>
        <w:rPr>
          <w:rFonts w:eastAsiaTheme="minorEastAsia"/>
          <w:caps w:val="0"/>
          <w:noProof/>
          <w:szCs w:val="22"/>
          <w:lang w:val="en-IE" w:eastAsia="en-IE"/>
        </w:rPr>
      </w:pPr>
      <w:hyperlink w:anchor="_Toc14708133" w:history="1">
        <w:r>
          <w:rPr>
            <w:rStyle w:val="Hyperlink"/>
            <w:noProof/>
          </w:rPr>
          <w:t>4.</w:t>
        </w:r>
        <w:r>
          <w:rPr>
            <w:rFonts w:eastAsiaTheme="minorEastAsia"/>
            <w:caps w:val="0"/>
            <w:noProof/>
            <w:szCs w:val="22"/>
            <w:lang w:val="en-IE" w:eastAsia="en-IE"/>
          </w:rPr>
          <w:tab/>
        </w:r>
        <w:r>
          <w:rPr>
            <w:rStyle w:val="Hyperlink"/>
            <w:noProof/>
          </w:rPr>
          <w:t>Method</w:t>
        </w:r>
        <w:r>
          <w:rPr>
            <w:noProof/>
            <w:webHidden/>
          </w:rPr>
          <w:tab/>
        </w:r>
        <w:r>
          <w:rPr>
            <w:noProof/>
            <w:webHidden/>
          </w:rPr>
          <w:fldChar w:fldCharType="begin"/>
        </w:r>
        <w:r>
          <w:rPr>
            <w:noProof/>
            <w:webHidden/>
          </w:rPr>
          <w:instrText xml:space="preserve"> PAGEREF _Toc14708133 \h </w:instrText>
        </w:r>
        <w:r>
          <w:rPr>
            <w:noProof/>
            <w:webHidden/>
          </w:rPr>
        </w:r>
        <w:r>
          <w:rPr>
            <w:noProof/>
            <w:webHidden/>
          </w:rPr>
          <w:fldChar w:fldCharType="separate"/>
        </w:r>
        <w:r>
          <w:rPr>
            <w:noProof/>
            <w:webHidden/>
          </w:rPr>
          <w:t>15</w:t>
        </w:r>
        <w:r>
          <w:rPr>
            <w:noProof/>
            <w:webHidden/>
          </w:rPr>
          <w:fldChar w:fldCharType="end"/>
        </w:r>
      </w:hyperlink>
    </w:p>
    <w:p>
      <w:pPr>
        <w:pStyle w:val="TOC2"/>
        <w:rPr>
          <w:rFonts w:eastAsiaTheme="minorEastAsia" w:cs="Times New Roman"/>
          <w:lang w:val="en-IE" w:eastAsia="en-IE"/>
        </w:rPr>
      </w:pPr>
      <w:hyperlink w:anchor="_Toc14708134" w:history="1">
        <w:r>
          <w:rPr>
            <w:rStyle w:val="Hyperlink"/>
            <w:rFonts w:cs="Times New Roman"/>
          </w:rPr>
          <w:t>4.1.</w:t>
        </w:r>
        <w:r>
          <w:rPr>
            <w:rFonts w:eastAsiaTheme="minorEastAsia" w:cs="Times New Roman"/>
            <w:lang w:val="en-IE" w:eastAsia="en-IE"/>
          </w:rPr>
          <w:tab/>
        </w:r>
        <w:r>
          <w:rPr>
            <w:rStyle w:val="Hyperlink"/>
            <w:rFonts w:cs="Times New Roman"/>
          </w:rPr>
          <w:t>Short description of methodology</w:t>
        </w:r>
        <w:r>
          <w:rPr>
            <w:rFonts w:cs="Times New Roman"/>
            <w:webHidden/>
          </w:rPr>
          <w:tab/>
        </w:r>
        <w:r>
          <w:rPr>
            <w:rFonts w:cs="Times New Roman"/>
            <w:webHidden/>
          </w:rPr>
          <w:fldChar w:fldCharType="begin"/>
        </w:r>
        <w:r>
          <w:rPr>
            <w:rFonts w:cs="Times New Roman"/>
            <w:webHidden/>
          </w:rPr>
          <w:instrText xml:space="preserve"> PAGEREF _Toc14708134 \h </w:instrText>
        </w:r>
        <w:r>
          <w:rPr>
            <w:rFonts w:cs="Times New Roman"/>
            <w:webHidden/>
          </w:rPr>
        </w:r>
        <w:r>
          <w:rPr>
            <w:rFonts w:cs="Times New Roman"/>
            <w:webHidden/>
          </w:rPr>
          <w:fldChar w:fldCharType="separate"/>
        </w:r>
        <w:r>
          <w:rPr>
            <w:rFonts w:cs="Times New Roman"/>
            <w:webHidden/>
          </w:rPr>
          <w:t>15</w:t>
        </w:r>
        <w:r>
          <w:rPr>
            <w:rFonts w:cs="Times New Roman"/>
            <w:webHidden/>
          </w:rPr>
          <w:fldChar w:fldCharType="end"/>
        </w:r>
      </w:hyperlink>
    </w:p>
    <w:p>
      <w:pPr>
        <w:pStyle w:val="TOC2"/>
        <w:rPr>
          <w:rFonts w:eastAsiaTheme="minorEastAsia" w:cs="Times New Roman"/>
          <w:lang w:val="en-IE" w:eastAsia="en-IE"/>
        </w:rPr>
      </w:pPr>
      <w:hyperlink w:anchor="_Toc14708135" w:history="1">
        <w:r>
          <w:rPr>
            <w:rStyle w:val="Hyperlink"/>
            <w:rFonts w:cs="Times New Roman"/>
          </w:rPr>
          <w:t>4.2.</w:t>
        </w:r>
        <w:r>
          <w:rPr>
            <w:rFonts w:eastAsiaTheme="minorEastAsia" w:cs="Times New Roman"/>
            <w:lang w:val="en-IE" w:eastAsia="en-IE"/>
          </w:rPr>
          <w:tab/>
        </w:r>
        <w:r>
          <w:rPr>
            <w:rStyle w:val="Hyperlink"/>
            <w:rFonts w:cs="Times New Roman"/>
          </w:rPr>
          <w:t>Limitations and robustness of findings</w:t>
        </w:r>
        <w:r>
          <w:rPr>
            <w:rFonts w:cs="Times New Roman"/>
            <w:webHidden/>
          </w:rPr>
          <w:tab/>
        </w:r>
        <w:r>
          <w:rPr>
            <w:rFonts w:cs="Times New Roman"/>
            <w:webHidden/>
          </w:rPr>
          <w:fldChar w:fldCharType="begin"/>
        </w:r>
        <w:r>
          <w:rPr>
            <w:rFonts w:cs="Times New Roman"/>
            <w:webHidden/>
          </w:rPr>
          <w:instrText xml:space="preserve"> PAGEREF _Toc14708135 \h </w:instrText>
        </w:r>
        <w:r>
          <w:rPr>
            <w:rFonts w:cs="Times New Roman"/>
            <w:webHidden/>
          </w:rPr>
        </w:r>
        <w:r>
          <w:rPr>
            <w:rFonts w:cs="Times New Roman"/>
            <w:webHidden/>
          </w:rPr>
          <w:fldChar w:fldCharType="separate"/>
        </w:r>
        <w:r>
          <w:rPr>
            <w:rFonts w:cs="Times New Roman"/>
            <w:webHidden/>
          </w:rPr>
          <w:t>18</w:t>
        </w:r>
        <w:r>
          <w:rPr>
            <w:rFonts w:cs="Times New Roman"/>
            <w:webHidden/>
          </w:rPr>
          <w:fldChar w:fldCharType="end"/>
        </w:r>
      </w:hyperlink>
    </w:p>
    <w:p>
      <w:pPr>
        <w:pStyle w:val="TOC1"/>
        <w:rPr>
          <w:rFonts w:eastAsiaTheme="minorEastAsia"/>
          <w:caps w:val="0"/>
          <w:noProof/>
          <w:szCs w:val="22"/>
          <w:lang w:val="en-IE" w:eastAsia="en-IE"/>
        </w:rPr>
      </w:pPr>
      <w:hyperlink w:anchor="_Toc14708136" w:history="1">
        <w:r>
          <w:rPr>
            <w:rStyle w:val="Hyperlink"/>
            <w:noProof/>
          </w:rPr>
          <w:t>5.</w:t>
        </w:r>
        <w:r>
          <w:rPr>
            <w:rFonts w:eastAsiaTheme="minorEastAsia"/>
            <w:caps w:val="0"/>
            <w:noProof/>
            <w:szCs w:val="22"/>
            <w:lang w:val="en-IE" w:eastAsia="en-IE"/>
          </w:rPr>
          <w:tab/>
        </w:r>
        <w:r>
          <w:rPr>
            <w:rStyle w:val="Hyperlink"/>
            <w:noProof/>
          </w:rPr>
          <w:t>Analysis and answers to the evaluation questions</w:t>
        </w:r>
        <w:r>
          <w:rPr>
            <w:noProof/>
            <w:webHidden/>
          </w:rPr>
          <w:tab/>
        </w:r>
        <w:r>
          <w:rPr>
            <w:noProof/>
            <w:webHidden/>
          </w:rPr>
          <w:fldChar w:fldCharType="begin"/>
        </w:r>
        <w:r>
          <w:rPr>
            <w:noProof/>
            <w:webHidden/>
          </w:rPr>
          <w:instrText xml:space="preserve"> PAGEREF _Toc14708136 \h </w:instrText>
        </w:r>
        <w:r>
          <w:rPr>
            <w:noProof/>
            <w:webHidden/>
          </w:rPr>
        </w:r>
        <w:r>
          <w:rPr>
            <w:noProof/>
            <w:webHidden/>
          </w:rPr>
          <w:fldChar w:fldCharType="separate"/>
        </w:r>
        <w:r>
          <w:rPr>
            <w:noProof/>
            <w:webHidden/>
          </w:rPr>
          <w:t>20</w:t>
        </w:r>
        <w:r>
          <w:rPr>
            <w:noProof/>
            <w:webHidden/>
          </w:rPr>
          <w:fldChar w:fldCharType="end"/>
        </w:r>
      </w:hyperlink>
    </w:p>
    <w:p>
      <w:pPr>
        <w:pStyle w:val="TOC2"/>
        <w:rPr>
          <w:rFonts w:eastAsiaTheme="minorEastAsia" w:cs="Times New Roman"/>
          <w:lang w:val="en-IE" w:eastAsia="en-IE"/>
        </w:rPr>
      </w:pPr>
      <w:hyperlink w:anchor="_Toc14708137" w:history="1">
        <w:r>
          <w:rPr>
            <w:rStyle w:val="Hyperlink"/>
            <w:rFonts w:cs="Times New Roman"/>
          </w:rPr>
          <w:t>5.1.</w:t>
        </w:r>
        <w:r>
          <w:rPr>
            <w:rFonts w:eastAsiaTheme="minorEastAsia" w:cs="Times New Roman"/>
            <w:lang w:val="en-IE" w:eastAsia="en-IE"/>
          </w:rPr>
          <w:tab/>
        </w:r>
        <w:r>
          <w:rPr>
            <w:rStyle w:val="Hyperlink"/>
            <w:rFonts w:cs="Times New Roman"/>
          </w:rPr>
          <w:t>Relevance</w:t>
        </w:r>
        <w:r>
          <w:rPr>
            <w:rFonts w:cs="Times New Roman"/>
            <w:webHidden/>
          </w:rPr>
          <w:tab/>
        </w:r>
        <w:r>
          <w:rPr>
            <w:rFonts w:cs="Times New Roman"/>
            <w:webHidden/>
          </w:rPr>
          <w:fldChar w:fldCharType="begin"/>
        </w:r>
        <w:r>
          <w:rPr>
            <w:rFonts w:cs="Times New Roman"/>
            <w:webHidden/>
          </w:rPr>
          <w:instrText xml:space="preserve"> PAGEREF _Toc14708137 \h </w:instrText>
        </w:r>
        <w:r>
          <w:rPr>
            <w:rFonts w:cs="Times New Roman"/>
            <w:webHidden/>
          </w:rPr>
        </w:r>
        <w:r>
          <w:rPr>
            <w:rFonts w:cs="Times New Roman"/>
            <w:webHidden/>
          </w:rPr>
          <w:fldChar w:fldCharType="separate"/>
        </w:r>
        <w:r>
          <w:rPr>
            <w:rFonts w:cs="Times New Roman"/>
            <w:webHidden/>
          </w:rPr>
          <w:t>20</w:t>
        </w:r>
        <w:r>
          <w:rPr>
            <w:rFonts w:cs="Times New Roman"/>
            <w:webHidden/>
          </w:rPr>
          <w:fldChar w:fldCharType="end"/>
        </w:r>
      </w:hyperlink>
    </w:p>
    <w:p>
      <w:pPr>
        <w:pStyle w:val="TOC2"/>
        <w:rPr>
          <w:rFonts w:eastAsiaTheme="minorEastAsia" w:cs="Times New Roman"/>
          <w:lang w:val="en-IE" w:eastAsia="en-IE"/>
        </w:rPr>
      </w:pPr>
      <w:hyperlink w:anchor="_Toc14708138" w:history="1">
        <w:r>
          <w:rPr>
            <w:rStyle w:val="Hyperlink"/>
            <w:rFonts w:cs="Times New Roman"/>
          </w:rPr>
          <w:t>5.2.</w:t>
        </w:r>
        <w:r>
          <w:rPr>
            <w:rFonts w:eastAsiaTheme="minorEastAsia" w:cs="Times New Roman"/>
            <w:lang w:val="en-IE" w:eastAsia="en-IE"/>
          </w:rPr>
          <w:tab/>
        </w:r>
        <w:r>
          <w:rPr>
            <w:rStyle w:val="Hyperlink"/>
            <w:rFonts w:cs="Times New Roman"/>
          </w:rPr>
          <w:t>Effectiveness</w:t>
        </w:r>
        <w:r>
          <w:rPr>
            <w:rFonts w:cs="Times New Roman"/>
            <w:webHidden/>
          </w:rPr>
          <w:tab/>
        </w:r>
        <w:r>
          <w:rPr>
            <w:rFonts w:cs="Times New Roman"/>
            <w:webHidden/>
          </w:rPr>
          <w:fldChar w:fldCharType="begin"/>
        </w:r>
        <w:r>
          <w:rPr>
            <w:rFonts w:cs="Times New Roman"/>
            <w:webHidden/>
          </w:rPr>
          <w:instrText xml:space="preserve"> PAGEREF _Toc14708138 \h </w:instrText>
        </w:r>
        <w:r>
          <w:rPr>
            <w:rFonts w:cs="Times New Roman"/>
            <w:webHidden/>
          </w:rPr>
        </w:r>
        <w:r>
          <w:rPr>
            <w:rFonts w:cs="Times New Roman"/>
            <w:webHidden/>
          </w:rPr>
          <w:fldChar w:fldCharType="separate"/>
        </w:r>
        <w:r>
          <w:rPr>
            <w:rFonts w:cs="Times New Roman"/>
            <w:webHidden/>
          </w:rPr>
          <w:t>25</w:t>
        </w:r>
        <w:r>
          <w:rPr>
            <w:rFonts w:cs="Times New Roman"/>
            <w:webHidden/>
          </w:rPr>
          <w:fldChar w:fldCharType="end"/>
        </w:r>
      </w:hyperlink>
    </w:p>
    <w:p>
      <w:pPr>
        <w:pStyle w:val="TOC2"/>
        <w:rPr>
          <w:rFonts w:eastAsiaTheme="minorEastAsia" w:cs="Times New Roman"/>
          <w:lang w:val="en-IE" w:eastAsia="en-IE"/>
        </w:rPr>
      </w:pPr>
      <w:hyperlink w:anchor="_Toc14708139" w:history="1">
        <w:r>
          <w:rPr>
            <w:rStyle w:val="Hyperlink"/>
            <w:rFonts w:cs="Times New Roman"/>
          </w:rPr>
          <w:t>5.3.</w:t>
        </w:r>
        <w:r>
          <w:rPr>
            <w:rFonts w:eastAsiaTheme="minorEastAsia" w:cs="Times New Roman"/>
            <w:lang w:val="en-IE" w:eastAsia="en-IE"/>
          </w:rPr>
          <w:tab/>
        </w:r>
        <w:r>
          <w:rPr>
            <w:rStyle w:val="Hyperlink"/>
            <w:rFonts w:cs="Times New Roman"/>
          </w:rPr>
          <w:t>Efficiency</w:t>
        </w:r>
        <w:r>
          <w:rPr>
            <w:rFonts w:cs="Times New Roman"/>
            <w:webHidden/>
          </w:rPr>
          <w:tab/>
        </w:r>
        <w:r>
          <w:rPr>
            <w:rFonts w:cs="Times New Roman"/>
            <w:webHidden/>
          </w:rPr>
          <w:fldChar w:fldCharType="begin"/>
        </w:r>
        <w:r>
          <w:rPr>
            <w:rFonts w:cs="Times New Roman"/>
            <w:webHidden/>
          </w:rPr>
          <w:instrText xml:space="preserve"> PAGEREF _Toc14708139 \h </w:instrText>
        </w:r>
        <w:r>
          <w:rPr>
            <w:rFonts w:cs="Times New Roman"/>
            <w:webHidden/>
          </w:rPr>
        </w:r>
        <w:r>
          <w:rPr>
            <w:rFonts w:cs="Times New Roman"/>
            <w:webHidden/>
          </w:rPr>
          <w:fldChar w:fldCharType="separate"/>
        </w:r>
        <w:r>
          <w:rPr>
            <w:rFonts w:cs="Times New Roman"/>
            <w:webHidden/>
          </w:rPr>
          <w:t>39</w:t>
        </w:r>
        <w:r>
          <w:rPr>
            <w:rFonts w:cs="Times New Roman"/>
            <w:webHidden/>
          </w:rPr>
          <w:fldChar w:fldCharType="end"/>
        </w:r>
      </w:hyperlink>
    </w:p>
    <w:p>
      <w:pPr>
        <w:pStyle w:val="TOC2"/>
        <w:rPr>
          <w:rFonts w:eastAsiaTheme="minorEastAsia" w:cs="Times New Roman"/>
          <w:lang w:val="en-IE" w:eastAsia="en-IE"/>
        </w:rPr>
      </w:pPr>
      <w:hyperlink w:anchor="_Toc14708140" w:history="1">
        <w:r>
          <w:rPr>
            <w:rStyle w:val="Hyperlink"/>
            <w:rFonts w:cs="Times New Roman"/>
          </w:rPr>
          <w:t>5.4.</w:t>
        </w:r>
        <w:r>
          <w:rPr>
            <w:rFonts w:eastAsiaTheme="minorEastAsia" w:cs="Times New Roman"/>
            <w:lang w:val="en-IE" w:eastAsia="en-IE"/>
          </w:rPr>
          <w:tab/>
        </w:r>
        <w:r>
          <w:rPr>
            <w:rStyle w:val="Hyperlink"/>
            <w:rFonts w:cs="Times New Roman"/>
          </w:rPr>
          <w:t>Coherence</w:t>
        </w:r>
        <w:r>
          <w:rPr>
            <w:rFonts w:cs="Times New Roman"/>
            <w:webHidden/>
          </w:rPr>
          <w:tab/>
        </w:r>
        <w:r>
          <w:rPr>
            <w:rFonts w:cs="Times New Roman"/>
            <w:webHidden/>
          </w:rPr>
          <w:fldChar w:fldCharType="begin"/>
        </w:r>
        <w:r>
          <w:rPr>
            <w:rFonts w:cs="Times New Roman"/>
            <w:webHidden/>
          </w:rPr>
          <w:instrText xml:space="preserve"> PAGEREF _Toc14708140 \h </w:instrText>
        </w:r>
        <w:r>
          <w:rPr>
            <w:rFonts w:cs="Times New Roman"/>
            <w:webHidden/>
          </w:rPr>
        </w:r>
        <w:r>
          <w:rPr>
            <w:rFonts w:cs="Times New Roman"/>
            <w:webHidden/>
          </w:rPr>
          <w:fldChar w:fldCharType="separate"/>
        </w:r>
        <w:r>
          <w:rPr>
            <w:rFonts w:cs="Times New Roman"/>
            <w:webHidden/>
          </w:rPr>
          <w:t>48</w:t>
        </w:r>
        <w:r>
          <w:rPr>
            <w:rFonts w:cs="Times New Roman"/>
            <w:webHidden/>
          </w:rPr>
          <w:fldChar w:fldCharType="end"/>
        </w:r>
      </w:hyperlink>
    </w:p>
    <w:p>
      <w:pPr>
        <w:pStyle w:val="TOC2"/>
        <w:rPr>
          <w:rFonts w:eastAsiaTheme="minorEastAsia" w:cs="Times New Roman"/>
          <w:lang w:val="en-IE" w:eastAsia="en-IE"/>
        </w:rPr>
      </w:pPr>
      <w:hyperlink w:anchor="_Toc14708141" w:history="1">
        <w:r>
          <w:rPr>
            <w:rStyle w:val="Hyperlink"/>
            <w:rFonts w:cs="Times New Roman"/>
          </w:rPr>
          <w:t>5.5.</w:t>
        </w:r>
        <w:r>
          <w:rPr>
            <w:rFonts w:eastAsiaTheme="minorEastAsia" w:cs="Times New Roman"/>
            <w:lang w:val="en-IE" w:eastAsia="en-IE"/>
          </w:rPr>
          <w:tab/>
        </w:r>
        <w:r>
          <w:rPr>
            <w:rStyle w:val="Hyperlink"/>
            <w:rFonts w:cs="Times New Roman"/>
          </w:rPr>
          <w:t>EU added value</w:t>
        </w:r>
        <w:r>
          <w:rPr>
            <w:rFonts w:cs="Times New Roman"/>
            <w:webHidden/>
          </w:rPr>
          <w:tab/>
        </w:r>
        <w:r>
          <w:rPr>
            <w:rFonts w:cs="Times New Roman"/>
            <w:webHidden/>
          </w:rPr>
          <w:fldChar w:fldCharType="begin"/>
        </w:r>
        <w:r>
          <w:rPr>
            <w:rFonts w:cs="Times New Roman"/>
            <w:webHidden/>
          </w:rPr>
          <w:instrText xml:space="preserve"> PAGEREF _Toc14708141 \h </w:instrText>
        </w:r>
        <w:r>
          <w:rPr>
            <w:rFonts w:cs="Times New Roman"/>
            <w:webHidden/>
          </w:rPr>
        </w:r>
        <w:r>
          <w:rPr>
            <w:rFonts w:cs="Times New Roman"/>
            <w:webHidden/>
          </w:rPr>
          <w:fldChar w:fldCharType="separate"/>
        </w:r>
        <w:r>
          <w:rPr>
            <w:rFonts w:cs="Times New Roman"/>
            <w:webHidden/>
          </w:rPr>
          <w:t>57</w:t>
        </w:r>
        <w:r>
          <w:rPr>
            <w:rFonts w:cs="Times New Roman"/>
            <w:webHidden/>
          </w:rPr>
          <w:fldChar w:fldCharType="end"/>
        </w:r>
      </w:hyperlink>
    </w:p>
    <w:p>
      <w:pPr>
        <w:pStyle w:val="TOC2"/>
        <w:rPr>
          <w:rFonts w:eastAsiaTheme="minorEastAsia" w:cs="Times New Roman"/>
          <w:lang w:val="en-IE" w:eastAsia="en-IE"/>
        </w:rPr>
      </w:pPr>
      <w:hyperlink w:anchor="_Toc14708142" w:history="1">
        <w:r>
          <w:rPr>
            <w:rStyle w:val="Hyperlink"/>
            <w:rFonts w:cs="Times New Roman"/>
          </w:rPr>
          <w:t>5.6.</w:t>
        </w:r>
        <w:r>
          <w:rPr>
            <w:rFonts w:eastAsiaTheme="minorEastAsia" w:cs="Times New Roman"/>
            <w:lang w:val="en-IE" w:eastAsia="en-IE"/>
          </w:rPr>
          <w:tab/>
        </w:r>
        <w:r>
          <w:rPr>
            <w:rStyle w:val="Hyperlink"/>
            <w:rFonts w:cs="Times New Roman"/>
          </w:rPr>
          <w:t>Utility</w:t>
        </w:r>
        <w:r>
          <w:rPr>
            <w:rFonts w:cs="Times New Roman"/>
            <w:webHidden/>
          </w:rPr>
          <w:tab/>
        </w:r>
        <w:r>
          <w:rPr>
            <w:rFonts w:cs="Times New Roman"/>
            <w:webHidden/>
          </w:rPr>
          <w:fldChar w:fldCharType="begin"/>
        </w:r>
        <w:r>
          <w:rPr>
            <w:rFonts w:cs="Times New Roman"/>
            <w:webHidden/>
          </w:rPr>
          <w:instrText xml:space="preserve"> PAGEREF _Toc14708142 \h </w:instrText>
        </w:r>
        <w:r>
          <w:rPr>
            <w:rFonts w:cs="Times New Roman"/>
            <w:webHidden/>
          </w:rPr>
        </w:r>
        <w:r>
          <w:rPr>
            <w:rFonts w:cs="Times New Roman"/>
            <w:webHidden/>
          </w:rPr>
          <w:fldChar w:fldCharType="separate"/>
        </w:r>
        <w:r>
          <w:rPr>
            <w:rFonts w:cs="Times New Roman"/>
            <w:webHidden/>
          </w:rPr>
          <w:t>64</w:t>
        </w:r>
        <w:r>
          <w:rPr>
            <w:rFonts w:cs="Times New Roman"/>
            <w:webHidden/>
          </w:rPr>
          <w:fldChar w:fldCharType="end"/>
        </w:r>
      </w:hyperlink>
    </w:p>
    <w:p>
      <w:pPr>
        <w:pStyle w:val="TOC2"/>
        <w:rPr>
          <w:rFonts w:eastAsiaTheme="minorEastAsia" w:cs="Times New Roman"/>
          <w:lang w:val="en-IE" w:eastAsia="en-IE"/>
        </w:rPr>
      </w:pPr>
      <w:hyperlink w:anchor="_Toc14708143" w:history="1">
        <w:r>
          <w:rPr>
            <w:rStyle w:val="Hyperlink"/>
            <w:rFonts w:cs="Times New Roman"/>
          </w:rPr>
          <w:t>5.7.</w:t>
        </w:r>
        <w:r>
          <w:rPr>
            <w:rFonts w:eastAsiaTheme="minorEastAsia" w:cs="Times New Roman"/>
            <w:lang w:val="en-IE" w:eastAsia="en-IE"/>
          </w:rPr>
          <w:tab/>
        </w:r>
        <w:r>
          <w:rPr>
            <w:rStyle w:val="Hyperlink"/>
            <w:rFonts w:cs="Times New Roman"/>
          </w:rPr>
          <w:t>Sustainability</w:t>
        </w:r>
        <w:r>
          <w:rPr>
            <w:rFonts w:cs="Times New Roman"/>
            <w:webHidden/>
          </w:rPr>
          <w:tab/>
        </w:r>
        <w:r>
          <w:rPr>
            <w:rFonts w:cs="Times New Roman"/>
            <w:webHidden/>
          </w:rPr>
          <w:fldChar w:fldCharType="begin"/>
        </w:r>
        <w:r>
          <w:rPr>
            <w:rFonts w:cs="Times New Roman"/>
            <w:webHidden/>
          </w:rPr>
          <w:instrText xml:space="preserve"> PAGEREF _Toc14708143 \h </w:instrText>
        </w:r>
        <w:r>
          <w:rPr>
            <w:rFonts w:cs="Times New Roman"/>
            <w:webHidden/>
          </w:rPr>
        </w:r>
        <w:r>
          <w:rPr>
            <w:rFonts w:cs="Times New Roman"/>
            <w:webHidden/>
          </w:rPr>
          <w:fldChar w:fldCharType="separate"/>
        </w:r>
        <w:r>
          <w:rPr>
            <w:rFonts w:cs="Times New Roman"/>
            <w:webHidden/>
          </w:rPr>
          <w:t>70</w:t>
        </w:r>
        <w:r>
          <w:rPr>
            <w:rFonts w:cs="Times New Roman"/>
            <w:webHidden/>
          </w:rPr>
          <w:fldChar w:fldCharType="end"/>
        </w:r>
      </w:hyperlink>
    </w:p>
    <w:p>
      <w:pPr>
        <w:pStyle w:val="TOC1"/>
        <w:rPr>
          <w:rFonts w:eastAsiaTheme="minorEastAsia"/>
          <w:caps w:val="0"/>
          <w:noProof/>
          <w:szCs w:val="22"/>
          <w:lang w:val="en-IE" w:eastAsia="en-IE"/>
        </w:rPr>
      </w:pPr>
      <w:hyperlink w:anchor="_Toc14708144" w:history="1">
        <w:r>
          <w:rPr>
            <w:rStyle w:val="Hyperlink"/>
            <w:noProof/>
          </w:rPr>
          <w:t>6.</w:t>
        </w:r>
        <w:r>
          <w:rPr>
            <w:rFonts w:eastAsiaTheme="minorEastAsia"/>
            <w:caps w:val="0"/>
            <w:noProof/>
            <w:szCs w:val="22"/>
            <w:lang w:val="en-IE" w:eastAsia="en-IE"/>
          </w:rPr>
          <w:tab/>
        </w:r>
        <w:r>
          <w:rPr>
            <w:rStyle w:val="Hyperlink"/>
            <w:noProof/>
          </w:rPr>
          <w:t>Conclusions</w:t>
        </w:r>
        <w:r>
          <w:rPr>
            <w:noProof/>
            <w:webHidden/>
          </w:rPr>
          <w:tab/>
        </w:r>
        <w:r>
          <w:rPr>
            <w:noProof/>
            <w:webHidden/>
          </w:rPr>
          <w:fldChar w:fldCharType="begin"/>
        </w:r>
        <w:r>
          <w:rPr>
            <w:noProof/>
            <w:webHidden/>
          </w:rPr>
          <w:instrText xml:space="preserve"> PAGEREF _Toc14708144 \h </w:instrText>
        </w:r>
        <w:r>
          <w:rPr>
            <w:noProof/>
            <w:webHidden/>
          </w:rPr>
        </w:r>
        <w:r>
          <w:rPr>
            <w:noProof/>
            <w:webHidden/>
          </w:rPr>
          <w:fldChar w:fldCharType="separate"/>
        </w:r>
        <w:r>
          <w:rPr>
            <w:noProof/>
            <w:webHidden/>
          </w:rPr>
          <w:t>75</w:t>
        </w:r>
        <w:r>
          <w:rPr>
            <w:noProof/>
            <w:webHidden/>
          </w:rPr>
          <w:fldChar w:fldCharType="end"/>
        </w:r>
      </w:hyperlink>
    </w:p>
    <w:p>
      <w:pPr>
        <w:pStyle w:val="TOC2"/>
        <w:rPr>
          <w:rFonts w:eastAsiaTheme="minorEastAsia" w:cs="Times New Roman"/>
          <w:lang w:val="en-IE" w:eastAsia="en-IE"/>
        </w:rPr>
      </w:pPr>
      <w:hyperlink w:anchor="_Toc14708145" w:history="1">
        <w:r>
          <w:rPr>
            <w:rStyle w:val="Hyperlink"/>
            <w:rFonts w:cs="Times New Roman"/>
          </w:rPr>
          <w:t>6.1.</w:t>
        </w:r>
        <w:r>
          <w:rPr>
            <w:rFonts w:eastAsiaTheme="minorEastAsia" w:cs="Times New Roman"/>
            <w:lang w:val="en-IE" w:eastAsia="en-IE"/>
          </w:rPr>
          <w:tab/>
        </w:r>
        <w:r>
          <w:rPr>
            <w:rStyle w:val="Hyperlink"/>
            <w:rFonts w:cs="Times New Roman"/>
          </w:rPr>
          <w:t>Context</w:t>
        </w:r>
        <w:r>
          <w:rPr>
            <w:rFonts w:cs="Times New Roman"/>
            <w:webHidden/>
          </w:rPr>
          <w:tab/>
        </w:r>
        <w:r>
          <w:rPr>
            <w:rFonts w:cs="Times New Roman"/>
            <w:webHidden/>
          </w:rPr>
          <w:fldChar w:fldCharType="begin"/>
        </w:r>
        <w:r>
          <w:rPr>
            <w:rFonts w:cs="Times New Roman"/>
            <w:webHidden/>
          </w:rPr>
          <w:instrText xml:space="preserve"> PAGEREF _Toc14708145 \h </w:instrText>
        </w:r>
        <w:r>
          <w:rPr>
            <w:rFonts w:cs="Times New Roman"/>
            <w:webHidden/>
          </w:rPr>
        </w:r>
        <w:r>
          <w:rPr>
            <w:rFonts w:cs="Times New Roman"/>
            <w:webHidden/>
          </w:rPr>
          <w:fldChar w:fldCharType="separate"/>
        </w:r>
        <w:r>
          <w:rPr>
            <w:rFonts w:cs="Times New Roman"/>
            <w:webHidden/>
          </w:rPr>
          <w:t>75</w:t>
        </w:r>
        <w:r>
          <w:rPr>
            <w:rFonts w:cs="Times New Roman"/>
            <w:webHidden/>
          </w:rPr>
          <w:fldChar w:fldCharType="end"/>
        </w:r>
      </w:hyperlink>
    </w:p>
    <w:p>
      <w:pPr>
        <w:pStyle w:val="TOC2"/>
        <w:rPr>
          <w:rFonts w:eastAsiaTheme="minorEastAsia" w:cs="Times New Roman"/>
          <w:lang w:val="en-IE" w:eastAsia="en-IE"/>
        </w:rPr>
      </w:pPr>
      <w:hyperlink w:anchor="_Toc14708146" w:history="1">
        <w:r>
          <w:rPr>
            <w:rStyle w:val="Hyperlink"/>
            <w:rFonts w:cs="Times New Roman"/>
          </w:rPr>
          <w:t>6.2.</w:t>
        </w:r>
        <w:r>
          <w:rPr>
            <w:rFonts w:eastAsiaTheme="minorEastAsia" w:cs="Times New Roman"/>
            <w:lang w:val="en-IE" w:eastAsia="en-IE"/>
          </w:rPr>
          <w:tab/>
        </w:r>
        <w:r>
          <w:rPr>
            <w:rStyle w:val="Hyperlink"/>
            <w:rFonts w:cs="Times New Roman"/>
          </w:rPr>
          <w:t>Method</w:t>
        </w:r>
        <w:r>
          <w:rPr>
            <w:rFonts w:cs="Times New Roman"/>
            <w:webHidden/>
          </w:rPr>
          <w:tab/>
        </w:r>
        <w:r>
          <w:rPr>
            <w:rFonts w:cs="Times New Roman"/>
            <w:webHidden/>
          </w:rPr>
          <w:fldChar w:fldCharType="begin"/>
        </w:r>
        <w:r>
          <w:rPr>
            <w:rFonts w:cs="Times New Roman"/>
            <w:webHidden/>
          </w:rPr>
          <w:instrText xml:space="preserve"> PAGEREF _Toc14708146 \h </w:instrText>
        </w:r>
        <w:r>
          <w:rPr>
            <w:rFonts w:cs="Times New Roman"/>
            <w:webHidden/>
          </w:rPr>
        </w:r>
        <w:r>
          <w:rPr>
            <w:rFonts w:cs="Times New Roman"/>
            <w:webHidden/>
          </w:rPr>
          <w:fldChar w:fldCharType="separate"/>
        </w:r>
        <w:r>
          <w:rPr>
            <w:rFonts w:cs="Times New Roman"/>
            <w:webHidden/>
          </w:rPr>
          <w:t>75</w:t>
        </w:r>
        <w:r>
          <w:rPr>
            <w:rFonts w:cs="Times New Roman"/>
            <w:webHidden/>
          </w:rPr>
          <w:fldChar w:fldCharType="end"/>
        </w:r>
      </w:hyperlink>
    </w:p>
    <w:p>
      <w:pPr>
        <w:pStyle w:val="TOC2"/>
        <w:rPr>
          <w:rFonts w:eastAsiaTheme="minorEastAsia" w:cs="Times New Roman"/>
          <w:lang w:val="en-IE" w:eastAsia="en-IE"/>
        </w:rPr>
      </w:pPr>
      <w:hyperlink w:anchor="_Toc14708147" w:history="1">
        <w:r>
          <w:rPr>
            <w:rStyle w:val="Hyperlink"/>
            <w:rFonts w:cs="Times New Roman"/>
          </w:rPr>
          <w:t>6.3.</w:t>
        </w:r>
        <w:r>
          <w:rPr>
            <w:rFonts w:eastAsiaTheme="minorEastAsia" w:cs="Times New Roman"/>
            <w:lang w:val="en-IE" w:eastAsia="en-IE"/>
          </w:rPr>
          <w:tab/>
        </w:r>
        <w:r>
          <w:rPr>
            <w:rStyle w:val="Hyperlink"/>
            <w:rFonts w:cs="Times New Roman"/>
          </w:rPr>
          <w:t>Findings</w:t>
        </w:r>
        <w:r>
          <w:rPr>
            <w:rFonts w:cs="Times New Roman"/>
            <w:webHidden/>
          </w:rPr>
          <w:tab/>
        </w:r>
        <w:r>
          <w:rPr>
            <w:rFonts w:cs="Times New Roman"/>
            <w:webHidden/>
          </w:rPr>
          <w:fldChar w:fldCharType="begin"/>
        </w:r>
        <w:r>
          <w:rPr>
            <w:rFonts w:cs="Times New Roman"/>
            <w:webHidden/>
          </w:rPr>
          <w:instrText xml:space="preserve"> PAGEREF _Toc14708147 \h </w:instrText>
        </w:r>
        <w:r>
          <w:rPr>
            <w:rFonts w:cs="Times New Roman"/>
            <w:webHidden/>
          </w:rPr>
        </w:r>
        <w:r>
          <w:rPr>
            <w:rFonts w:cs="Times New Roman"/>
            <w:webHidden/>
          </w:rPr>
          <w:fldChar w:fldCharType="separate"/>
        </w:r>
        <w:r>
          <w:rPr>
            <w:rFonts w:cs="Times New Roman"/>
            <w:webHidden/>
          </w:rPr>
          <w:t>76</w:t>
        </w:r>
        <w:r>
          <w:rPr>
            <w:rFonts w:cs="Times New Roman"/>
            <w:webHidden/>
          </w:rPr>
          <w:fldChar w:fldCharType="end"/>
        </w:r>
      </w:hyperlink>
    </w:p>
    <w:p>
      <w:pPr>
        <w:pStyle w:val="TOC2"/>
        <w:rPr>
          <w:rFonts w:eastAsiaTheme="minorEastAsia" w:cs="Times New Roman"/>
          <w:lang w:val="en-IE" w:eastAsia="en-IE"/>
        </w:rPr>
      </w:pPr>
      <w:hyperlink w:anchor="_Toc14708148" w:history="1">
        <w:r>
          <w:rPr>
            <w:rStyle w:val="Hyperlink"/>
            <w:rFonts w:cs="Times New Roman"/>
          </w:rPr>
          <w:t>6.4.</w:t>
        </w:r>
        <w:r>
          <w:rPr>
            <w:rFonts w:eastAsiaTheme="minorEastAsia" w:cs="Times New Roman"/>
            <w:lang w:val="en-IE" w:eastAsia="en-IE"/>
          </w:rPr>
          <w:tab/>
        </w:r>
        <w:r>
          <w:rPr>
            <w:rStyle w:val="Hyperlink"/>
            <w:rFonts w:cs="Times New Roman"/>
          </w:rPr>
          <w:t>Next steps</w:t>
        </w:r>
        <w:r>
          <w:rPr>
            <w:rFonts w:cs="Times New Roman"/>
            <w:webHidden/>
          </w:rPr>
          <w:tab/>
        </w:r>
        <w:r>
          <w:rPr>
            <w:rFonts w:cs="Times New Roman"/>
            <w:webHidden/>
          </w:rPr>
          <w:fldChar w:fldCharType="begin"/>
        </w:r>
        <w:r>
          <w:rPr>
            <w:rFonts w:cs="Times New Roman"/>
            <w:webHidden/>
          </w:rPr>
          <w:instrText xml:space="preserve"> PAGEREF _Toc14708148 \h </w:instrText>
        </w:r>
        <w:r>
          <w:rPr>
            <w:rFonts w:cs="Times New Roman"/>
            <w:webHidden/>
          </w:rPr>
        </w:r>
        <w:r>
          <w:rPr>
            <w:rFonts w:cs="Times New Roman"/>
            <w:webHidden/>
          </w:rPr>
          <w:fldChar w:fldCharType="separate"/>
        </w:r>
        <w:r>
          <w:rPr>
            <w:rFonts w:cs="Times New Roman"/>
            <w:webHidden/>
          </w:rPr>
          <w:t>78</w:t>
        </w:r>
        <w:r>
          <w:rPr>
            <w:rFonts w:cs="Times New Roman"/>
            <w:webHidden/>
          </w:rPr>
          <w:fldChar w:fldCharType="end"/>
        </w:r>
      </w:hyperlink>
    </w:p>
    <w:p>
      <w:pPr>
        <w:pStyle w:val="TOC1"/>
        <w:rPr>
          <w:rFonts w:eastAsiaTheme="minorEastAsia"/>
          <w:caps w:val="0"/>
          <w:noProof/>
          <w:szCs w:val="22"/>
          <w:lang w:val="en-IE" w:eastAsia="en-IE"/>
        </w:rPr>
      </w:pPr>
      <w:hyperlink w:anchor="_Toc14708149" w:history="1">
        <w:r>
          <w:rPr>
            <w:rStyle w:val="Hyperlink"/>
            <w:noProof/>
          </w:rPr>
          <w:t>Annex 1: Procedural information</w:t>
        </w:r>
        <w:r>
          <w:rPr>
            <w:noProof/>
            <w:webHidden/>
          </w:rPr>
          <w:tab/>
        </w:r>
        <w:r>
          <w:rPr>
            <w:noProof/>
            <w:webHidden/>
          </w:rPr>
          <w:fldChar w:fldCharType="begin"/>
        </w:r>
        <w:r>
          <w:rPr>
            <w:noProof/>
            <w:webHidden/>
          </w:rPr>
          <w:instrText xml:space="preserve"> PAGEREF _Toc14708149 \h </w:instrText>
        </w:r>
        <w:r>
          <w:rPr>
            <w:noProof/>
            <w:webHidden/>
          </w:rPr>
        </w:r>
        <w:r>
          <w:rPr>
            <w:noProof/>
            <w:webHidden/>
          </w:rPr>
          <w:fldChar w:fldCharType="separate"/>
        </w:r>
        <w:r>
          <w:rPr>
            <w:noProof/>
            <w:webHidden/>
          </w:rPr>
          <w:t>79</w:t>
        </w:r>
        <w:r>
          <w:rPr>
            <w:noProof/>
            <w:webHidden/>
          </w:rPr>
          <w:fldChar w:fldCharType="end"/>
        </w:r>
      </w:hyperlink>
    </w:p>
    <w:p>
      <w:pPr>
        <w:pStyle w:val="TOC1"/>
        <w:rPr>
          <w:rFonts w:eastAsiaTheme="minorEastAsia"/>
          <w:caps w:val="0"/>
          <w:noProof/>
          <w:szCs w:val="22"/>
          <w:lang w:val="en-IE" w:eastAsia="en-IE"/>
        </w:rPr>
      </w:pPr>
      <w:hyperlink w:anchor="_Toc14708150" w:history="1">
        <w:r>
          <w:rPr>
            <w:rStyle w:val="Hyperlink"/>
            <w:noProof/>
          </w:rPr>
          <w:t>Annex 2: Synopsis report of the consultation activities</w:t>
        </w:r>
        <w:r>
          <w:rPr>
            <w:noProof/>
            <w:webHidden/>
          </w:rPr>
          <w:tab/>
        </w:r>
        <w:r>
          <w:rPr>
            <w:noProof/>
            <w:webHidden/>
          </w:rPr>
          <w:fldChar w:fldCharType="begin"/>
        </w:r>
        <w:r>
          <w:rPr>
            <w:noProof/>
            <w:webHidden/>
          </w:rPr>
          <w:instrText xml:space="preserve"> PAGEREF _Toc14708150 \h </w:instrText>
        </w:r>
        <w:r>
          <w:rPr>
            <w:noProof/>
            <w:webHidden/>
          </w:rPr>
        </w:r>
        <w:r>
          <w:rPr>
            <w:noProof/>
            <w:webHidden/>
          </w:rPr>
          <w:fldChar w:fldCharType="separate"/>
        </w:r>
        <w:r>
          <w:rPr>
            <w:noProof/>
            <w:webHidden/>
          </w:rPr>
          <w:t>82</w:t>
        </w:r>
        <w:r>
          <w:rPr>
            <w:noProof/>
            <w:webHidden/>
          </w:rPr>
          <w:fldChar w:fldCharType="end"/>
        </w:r>
      </w:hyperlink>
    </w:p>
    <w:p>
      <w:pPr>
        <w:pStyle w:val="TOC1"/>
        <w:rPr>
          <w:rFonts w:eastAsiaTheme="minorEastAsia"/>
          <w:caps w:val="0"/>
          <w:noProof/>
          <w:szCs w:val="22"/>
          <w:lang w:val="en-IE" w:eastAsia="en-IE"/>
        </w:rPr>
      </w:pPr>
      <w:hyperlink w:anchor="_Toc14708151" w:history="1">
        <w:r>
          <w:rPr>
            <w:rStyle w:val="Hyperlink"/>
            <w:noProof/>
          </w:rPr>
          <w:t>Annex 3: Intervention Logic</w:t>
        </w:r>
        <w:r>
          <w:rPr>
            <w:noProof/>
            <w:webHidden/>
          </w:rPr>
          <w:tab/>
        </w:r>
        <w:r>
          <w:rPr>
            <w:noProof/>
            <w:webHidden/>
          </w:rPr>
          <w:fldChar w:fldCharType="begin"/>
        </w:r>
        <w:r>
          <w:rPr>
            <w:noProof/>
            <w:webHidden/>
          </w:rPr>
          <w:instrText xml:space="preserve"> PAGEREF _Toc14708151 \h </w:instrText>
        </w:r>
        <w:r>
          <w:rPr>
            <w:noProof/>
            <w:webHidden/>
          </w:rPr>
        </w:r>
        <w:r>
          <w:rPr>
            <w:noProof/>
            <w:webHidden/>
          </w:rPr>
          <w:fldChar w:fldCharType="separate"/>
        </w:r>
        <w:r>
          <w:rPr>
            <w:noProof/>
            <w:webHidden/>
          </w:rPr>
          <w:t>111</w:t>
        </w:r>
        <w:r>
          <w:rPr>
            <w:noProof/>
            <w:webHidden/>
          </w:rPr>
          <w:fldChar w:fldCharType="end"/>
        </w:r>
      </w:hyperlink>
    </w:p>
    <w:p>
      <w:pPr>
        <w:pStyle w:val="TOC1"/>
        <w:rPr>
          <w:rFonts w:eastAsiaTheme="minorEastAsia"/>
          <w:caps w:val="0"/>
          <w:noProof/>
          <w:szCs w:val="22"/>
          <w:lang w:val="en-IE" w:eastAsia="en-IE"/>
        </w:rPr>
      </w:pPr>
      <w:hyperlink w:anchor="_Toc14708152" w:history="1">
        <w:r>
          <w:rPr>
            <w:rStyle w:val="Hyperlink"/>
            <w:noProof/>
          </w:rPr>
          <w:t>Annex 4: Evaluation Framework</w:t>
        </w:r>
        <w:r>
          <w:rPr>
            <w:noProof/>
            <w:webHidden/>
          </w:rPr>
          <w:tab/>
        </w:r>
        <w:r>
          <w:rPr>
            <w:noProof/>
            <w:webHidden/>
          </w:rPr>
          <w:fldChar w:fldCharType="begin"/>
        </w:r>
        <w:r>
          <w:rPr>
            <w:noProof/>
            <w:webHidden/>
          </w:rPr>
          <w:instrText xml:space="preserve"> PAGEREF _Toc14708152 \h </w:instrText>
        </w:r>
        <w:r>
          <w:rPr>
            <w:noProof/>
            <w:webHidden/>
          </w:rPr>
        </w:r>
        <w:r>
          <w:rPr>
            <w:noProof/>
            <w:webHidden/>
          </w:rPr>
          <w:fldChar w:fldCharType="separate"/>
        </w:r>
        <w:r>
          <w:rPr>
            <w:noProof/>
            <w:webHidden/>
          </w:rPr>
          <w:t>121</w:t>
        </w:r>
        <w:r>
          <w:rPr>
            <w:noProof/>
            <w:webHidden/>
          </w:rPr>
          <w:fldChar w:fldCharType="end"/>
        </w:r>
      </w:hyperlink>
    </w:p>
    <w:p>
      <w:pPr>
        <w:pStyle w:val="TOC1"/>
        <w:rPr>
          <w:rFonts w:eastAsiaTheme="minorEastAsia"/>
          <w:caps w:val="0"/>
          <w:noProof/>
          <w:szCs w:val="22"/>
          <w:lang w:val="en-IE" w:eastAsia="en-IE"/>
        </w:rPr>
      </w:pPr>
      <w:hyperlink w:anchor="_Toc14708153" w:history="1">
        <w:r>
          <w:rPr>
            <w:rStyle w:val="Hyperlink"/>
            <w:noProof/>
          </w:rPr>
          <w:t xml:space="preserve">Annex 5: </w:t>
        </w:r>
        <w:r>
          <w:rPr>
            <w:rStyle w:val="Hyperlink"/>
            <w:bCs/>
            <w:noProof/>
          </w:rPr>
          <w:t>Sample of actions</w:t>
        </w:r>
        <w:r>
          <w:rPr>
            <w:noProof/>
            <w:webHidden/>
          </w:rPr>
          <w:tab/>
        </w:r>
        <w:r>
          <w:rPr>
            <w:noProof/>
            <w:webHidden/>
          </w:rPr>
          <w:fldChar w:fldCharType="begin"/>
        </w:r>
        <w:r>
          <w:rPr>
            <w:noProof/>
            <w:webHidden/>
          </w:rPr>
          <w:instrText xml:space="preserve"> PAGEREF _Toc14708153 \h </w:instrText>
        </w:r>
        <w:r>
          <w:rPr>
            <w:noProof/>
            <w:webHidden/>
          </w:rPr>
        </w:r>
        <w:r>
          <w:rPr>
            <w:noProof/>
            <w:webHidden/>
          </w:rPr>
          <w:fldChar w:fldCharType="separate"/>
        </w:r>
        <w:r>
          <w:rPr>
            <w:noProof/>
            <w:webHidden/>
          </w:rPr>
          <w:t>129</w:t>
        </w:r>
        <w:r>
          <w:rPr>
            <w:noProof/>
            <w:webHidden/>
          </w:rPr>
          <w:fldChar w:fldCharType="end"/>
        </w:r>
      </w:hyperlink>
    </w:p>
    <w:p>
      <w:pPr>
        <w:pStyle w:val="TOC1"/>
        <w:rPr>
          <w:rFonts w:eastAsiaTheme="minorEastAsia"/>
          <w:caps w:val="0"/>
          <w:noProof/>
          <w:szCs w:val="22"/>
          <w:lang w:val="en-IE" w:eastAsia="en-IE"/>
        </w:rPr>
      </w:pPr>
      <w:hyperlink w:anchor="_Toc14708154" w:history="1">
        <w:r>
          <w:rPr>
            <w:rStyle w:val="Hyperlink"/>
            <w:noProof/>
          </w:rPr>
          <w:t>Annex 6: Supporting evidence from desk research</w:t>
        </w:r>
        <w:r>
          <w:rPr>
            <w:noProof/>
            <w:webHidden/>
          </w:rPr>
          <w:tab/>
        </w:r>
        <w:r>
          <w:rPr>
            <w:noProof/>
            <w:webHidden/>
          </w:rPr>
          <w:fldChar w:fldCharType="begin"/>
        </w:r>
        <w:r>
          <w:rPr>
            <w:noProof/>
            <w:webHidden/>
          </w:rPr>
          <w:instrText xml:space="preserve"> PAGEREF _Toc14708154 \h </w:instrText>
        </w:r>
        <w:r>
          <w:rPr>
            <w:noProof/>
            <w:webHidden/>
          </w:rPr>
        </w:r>
        <w:r>
          <w:rPr>
            <w:noProof/>
            <w:webHidden/>
          </w:rPr>
          <w:fldChar w:fldCharType="separate"/>
        </w:r>
        <w:r>
          <w:rPr>
            <w:noProof/>
            <w:webHidden/>
          </w:rPr>
          <w:t>135</w:t>
        </w:r>
        <w:r>
          <w:rPr>
            <w:noProof/>
            <w:webHidden/>
          </w:rPr>
          <w:fldChar w:fldCharType="end"/>
        </w:r>
      </w:hyperlink>
    </w:p>
    <w:p>
      <w:pPr>
        <w:rPr>
          <w:rFonts w:cs="Times New Roman"/>
          <w:noProof/>
          <w:sz w:val="22"/>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r>
        <w:rPr>
          <w:rFonts w:eastAsia="Times New Roman" w:cs="Times New Roman"/>
          <w:caps/>
          <w:noProof/>
          <w:sz w:val="22"/>
          <w:szCs w:val="20"/>
          <w:lang w:val="en-GB"/>
        </w:rPr>
        <w:fldChar w:fldCharType="end"/>
      </w:r>
    </w:p>
    <w:p>
      <w:pPr>
        <w:rPr>
          <w:rFonts w:cs="Times New Roman"/>
          <w:noProof/>
        </w:rPr>
      </w:pPr>
    </w:p>
    <w:p>
      <w:pPr>
        <w:jc w:val="center"/>
        <w:rPr>
          <w:rFonts w:cs="Times New Roman"/>
          <w:b/>
          <w:noProof/>
          <w:sz w:val="28"/>
          <w:szCs w:val="28"/>
          <w:lang w:val="en-GB"/>
        </w:rPr>
      </w:pPr>
      <w:r>
        <w:rPr>
          <w:rFonts w:cs="Times New Roman"/>
          <w:b/>
          <w:noProof/>
          <w:sz w:val="28"/>
          <w:szCs w:val="28"/>
          <w:lang w:val="en-GB"/>
        </w:rPr>
        <w:t>Glossary</w:t>
      </w:r>
    </w:p>
    <w:tbl>
      <w:tblPr>
        <w:tblStyle w:val="TableGrid"/>
        <w:tblW w:w="0" w:type="auto"/>
        <w:tblLook w:val="04A0" w:firstRow="1" w:lastRow="0" w:firstColumn="1" w:lastColumn="0" w:noHBand="0" w:noVBand="1"/>
      </w:tblPr>
      <w:tblGrid>
        <w:gridCol w:w="3227"/>
        <w:gridCol w:w="5607"/>
      </w:tblGrid>
      <w:tr>
        <w:tc>
          <w:tcPr>
            <w:tcW w:w="3227" w:type="dxa"/>
            <w:tcBorders>
              <w:bottom w:val="double" w:sz="4" w:space="0" w:color="auto"/>
            </w:tcBorders>
            <w:shd w:val="clear" w:color="auto" w:fill="F2F2F2" w:themeFill="background1" w:themeFillShade="F2"/>
          </w:tcPr>
          <w:p>
            <w:pPr>
              <w:spacing w:before="120" w:after="120"/>
              <w:jc w:val="center"/>
              <w:rPr>
                <w:b/>
                <w:i/>
                <w:noProof/>
              </w:rPr>
            </w:pPr>
            <w:r>
              <w:rPr>
                <w:b/>
                <w:i/>
                <w:noProof/>
              </w:rPr>
              <w:t>Term or acronym</w:t>
            </w:r>
          </w:p>
        </w:tc>
        <w:tc>
          <w:tcPr>
            <w:tcW w:w="5607" w:type="dxa"/>
            <w:tcBorders>
              <w:bottom w:val="double" w:sz="4" w:space="0" w:color="auto"/>
            </w:tcBorders>
            <w:shd w:val="clear" w:color="auto" w:fill="F2F2F2" w:themeFill="background1" w:themeFillShade="F2"/>
          </w:tcPr>
          <w:p>
            <w:pPr>
              <w:spacing w:before="120" w:after="120"/>
              <w:jc w:val="center"/>
              <w:rPr>
                <w:b/>
                <w:i/>
                <w:noProof/>
              </w:rPr>
            </w:pPr>
            <w:r>
              <w:rPr>
                <w:b/>
                <w:i/>
                <w:noProof/>
              </w:rPr>
              <w:t>Meaning or definition</w:t>
            </w:r>
          </w:p>
        </w:tc>
      </w:tr>
      <w:tr>
        <w:trPr>
          <w:trHeight w:val="20"/>
        </w:trPr>
        <w:tc>
          <w:tcPr>
            <w:tcW w:w="3227" w:type="dxa"/>
            <w:tcMar>
              <w:top w:w="113" w:type="dxa"/>
              <w:bottom w:w="113" w:type="dxa"/>
            </w:tcMar>
          </w:tcPr>
          <w:p>
            <w:pPr>
              <w:rPr>
                <w:noProof/>
              </w:rPr>
            </w:pPr>
            <w:r>
              <w:rPr>
                <w:noProof/>
              </w:rPr>
              <w:t>ADMS</w:t>
            </w:r>
          </w:p>
        </w:tc>
        <w:tc>
          <w:tcPr>
            <w:tcW w:w="5607" w:type="dxa"/>
            <w:tcMar>
              <w:top w:w="113" w:type="dxa"/>
              <w:bottom w:w="113" w:type="dxa"/>
            </w:tcMar>
          </w:tcPr>
          <w:p>
            <w:pPr>
              <w:rPr>
                <w:noProof/>
              </w:rPr>
            </w:pPr>
            <w:r>
              <w:rPr>
                <w:noProof/>
              </w:rPr>
              <w:t>Asset Description Metadata Schema</w:t>
            </w:r>
          </w:p>
        </w:tc>
      </w:tr>
      <w:tr>
        <w:trPr>
          <w:trHeight w:val="20"/>
        </w:trPr>
        <w:tc>
          <w:tcPr>
            <w:tcW w:w="3227" w:type="dxa"/>
            <w:tcMar>
              <w:top w:w="113" w:type="dxa"/>
              <w:bottom w:w="113" w:type="dxa"/>
            </w:tcMar>
          </w:tcPr>
          <w:p>
            <w:pPr>
              <w:rPr>
                <w:noProof/>
              </w:rPr>
            </w:pPr>
            <w:r>
              <w:rPr>
                <w:noProof/>
              </w:rPr>
              <w:t>CEA</w:t>
            </w:r>
          </w:p>
        </w:tc>
        <w:tc>
          <w:tcPr>
            <w:tcW w:w="5607" w:type="dxa"/>
            <w:tcMar>
              <w:top w:w="113" w:type="dxa"/>
              <w:bottom w:w="113" w:type="dxa"/>
            </w:tcMar>
          </w:tcPr>
          <w:p>
            <w:pPr>
              <w:rPr>
                <w:noProof/>
              </w:rPr>
            </w:pPr>
            <w:r>
              <w:rPr>
                <w:noProof/>
              </w:rPr>
              <w:t>cost-effectiveness analysis</w:t>
            </w:r>
          </w:p>
        </w:tc>
      </w:tr>
      <w:tr>
        <w:trPr>
          <w:trHeight w:val="20"/>
        </w:trPr>
        <w:tc>
          <w:tcPr>
            <w:tcW w:w="3227" w:type="dxa"/>
            <w:tcMar>
              <w:top w:w="113" w:type="dxa"/>
              <w:bottom w:w="113" w:type="dxa"/>
            </w:tcMar>
          </w:tcPr>
          <w:p>
            <w:pPr>
              <w:rPr>
                <w:noProof/>
              </w:rPr>
            </w:pPr>
            <w:r>
              <w:rPr>
                <w:noProof/>
              </w:rPr>
              <w:t>CEF</w:t>
            </w:r>
          </w:p>
        </w:tc>
        <w:tc>
          <w:tcPr>
            <w:tcW w:w="5607" w:type="dxa"/>
            <w:tcMar>
              <w:top w:w="113" w:type="dxa"/>
              <w:bottom w:w="113" w:type="dxa"/>
            </w:tcMar>
          </w:tcPr>
          <w:p>
            <w:pPr>
              <w:rPr>
                <w:noProof/>
              </w:rPr>
            </w:pPr>
            <w:r>
              <w:rPr>
                <w:noProof/>
              </w:rPr>
              <w:t>Connecting Europe Facility</w:t>
            </w:r>
          </w:p>
        </w:tc>
      </w:tr>
      <w:tr>
        <w:trPr>
          <w:trHeight w:val="20"/>
        </w:trPr>
        <w:tc>
          <w:tcPr>
            <w:tcW w:w="3227" w:type="dxa"/>
            <w:tcMar>
              <w:top w:w="113" w:type="dxa"/>
              <w:bottom w:w="113" w:type="dxa"/>
            </w:tcMar>
          </w:tcPr>
          <w:p>
            <w:pPr>
              <w:rPr>
                <w:noProof/>
              </w:rPr>
            </w:pPr>
            <w:r>
              <w:rPr>
                <w:noProof/>
              </w:rPr>
              <w:t>CEN</w:t>
            </w:r>
          </w:p>
        </w:tc>
        <w:tc>
          <w:tcPr>
            <w:tcW w:w="5607" w:type="dxa"/>
            <w:tcMar>
              <w:top w:w="113" w:type="dxa"/>
              <w:bottom w:w="113" w:type="dxa"/>
            </w:tcMar>
          </w:tcPr>
          <w:p>
            <w:pPr>
              <w:rPr>
                <w:noProof/>
              </w:rPr>
            </w:pPr>
            <w:r>
              <w:rPr>
                <w:noProof/>
              </w:rPr>
              <w:t>European Committee for Standardisation</w:t>
            </w:r>
          </w:p>
        </w:tc>
      </w:tr>
      <w:tr>
        <w:trPr>
          <w:trHeight w:val="20"/>
        </w:trPr>
        <w:tc>
          <w:tcPr>
            <w:tcW w:w="3227" w:type="dxa"/>
            <w:tcMar>
              <w:top w:w="113" w:type="dxa"/>
              <w:bottom w:w="113" w:type="dxa"/>
            </w:tcMar>
          </w:tcPr>
          <w:p>
            <w:pPr>
              <w:rPr>
                <w:noProof/>
              </w:rPr>
            </w:pPr>
            <w:r>
              <w:rPr>
                <w:noProof/>
              </w:rPr>
              <w:t>CENELEC</w:t>
            </w:r>
          </w:p>
        </w:tc>
        <w:tc>
          <w:tcPr>
            <w:tcW w:w="5607" w:type="dxa"/>
            <w:tcMar>
              <w:top w:w="113" w:type="dxa"/>
              <w:bottom w:w="113" w:type="dxa"/>
            </w:tcMar>
          </w:tcPr>
          <w:p>
            <w:pPr>
              <w:rPr>
                <w:noProof/>
              </w:rPr>
            </w:pPr>
            <w:r>
              <w:rPr>
                <w:noProof/>
              </w:rPr>
              <w:t>European Committee for Electrotechnical Standardisation</w:t>
            </w:r>
          </w:p>
        </w:tc>
      </w:tr>
      <w:tr>
        <w:trPr>
          <w:trHeight w:val="20"/>
        </w:trPr>
        <w:tc>
          <w:tcPr>
            <w:tcW w:w="3227" w:type="dxa"/>
            <w:tcMar>
              <w:top w:w="113" w:type="dxa"/>
              <w:bottom w:w="113" w:type="dxa"/>
            </w:tcMar>
          </w:tcPr>
          <w:p>
            <w:pPr>
              <w:rPr>
                <w:noProof/>
              </w:rPr>
            </w:pPr>
            <w:r>
              <w:rPr>
                <w:noProof/>
              </w:rPr>
              <w:t>CEPS</w:t>
            </w:r>
          </w:p>
        </w:tc>
        <w:tc>
          <w:tcPr>
            <w:tcW w:w="5607" w:type="dxa"/>
            <w:tcMar>
              <w:top w:w="113" w:type="dxa"/>
              <w:bottom w:w="113" w:type="dxa"/>
            </w:tcMar>
          </w:tcPr>
          <w:p>
            <w:pPr>
              <w:rPr>
                <w:noProof/>
              </w:rPr>
            </w:pPr>
            <w:r>
              <w:rPr>
                <w:noProof/>
              </w:rPr>
              <w:t>Centre for European Policy Studies</w:t>
            </w:r>
          </w:p>
        </w:tc>
      </w:tr>
      <w:tr>
        <w:trPr>
          <w:trHeight w:val="20"/>
        </w:trPr>
        <w:tc>
          <w:tcPr>
            <w:tcW w:w="3227" w:type="dxa"/>
            <w:tcMar>
              <w:top w:w="113" w:type="dxa"/>
              <w:bottom w:w="113" w:type="dxa"/>
            </w:tcMar>
          </w:tcPr>
          <w:p>
            <w:pPr>
              <w:rPr>
                <w:noProof/>
              </w:rPr>
            </w:pPr>
            <w:r>
              <w:rPr>
                <w:noProof/>
              </w:rPr>
              <w:t>CPSV-AP</w:t>
            </w:r>
          </w:p>
        </w:tc>
        <w:tc>
          <w:tcPr>
            <w:tcW w:w="5607" w:type="dxa"/>
            <w:tcMar>
              <w:top w:w="113" w:type="dxa"/>
              <w:bottom w:w="113" w:type="dxa"/>
            </w:tcMar>
          </w:tcPr>
          <w:p>
            <w:pPr>
              <w:rPr>
                <w:noProof/>
              </w:rPr>
            </w:pPr>
            <w:r>
              <w:rPr>
                <w:noProof/>
              </w:rPr>
              <w:t>Core Public Service Vocabulary Application Profile (CPSV-AP)</w:t>
            </w:r>
          </w:p>
        </w:tc>
      </w:tr>
      <w:tr>
        <w:trPr>
          <w:trHeight w:val="20"/>
        </w:trPr>
        <w:tc>
          <w:tcPr>
            <w:tcW w:w="3227" w:type="dxa"/>
            <w:tcMar>
              <w:top w:w="113" w:type="dxa"/>
              <w:bottom w:w="113" w:type="dxa"/>
            </w:tcMar>
          </w:tcPr>
          <w:p>
            <w:pPr>
              <w:rPr>
                <w:noProof/>
              </w:rPr>
            </w:pPr>
            <w:r>
              <w:rPr>
                <w:noProof/>
              </w:rPr>
              <w:t>DCAT-AP</w:t>
            </w:r>
          </w:p>
        </w:tc>
        <w:tc>
          <w:tcPr>
            <w:tcW w:w="5607" w:type="dxa"/>
            <w:tcMar>
              <w:top w:w="113" w:type="dxa"/>
              <w:bottom w:w="113" w:type="dxa"/>
            </w:tcMar>
          </w:tcPr>
          <w:p>
            <w:pPr>
              <w:rPr>
                <w:noProof/>
              </w:rPr>
            </w:pPr>
            <w:r>
              <w:rPr>
                <w:noProof/>
              </w:rPr>
              <w:t>Data Catalogue Vocabulary Application Profile for Data Portals in Europe</w:t>
            </w:r>
          </w:p>
        </w:tc>
      </w:tr>
      <w:tr>
        <w:trPr>
          <w:trHeight w:val="20"/>
        </w:trPr>
        <w:tc>
          <w:tcPr>
            <w:tcW w:w="3227" w:type="dxa"/>
            <w:tcMar>
              <w:top w:w="113" w:type="dxa"/>
              <w:bottom w:w="113" w:type="dxa"/>
            </w:tcMar>
          </w:tcPr>
          <w:p>
            <w:pPr>
              <w:rPr>
                <w:noProof/>
              </w:rPr>
            </w:pPr>
            <w:r>
              <w:rPr>
                <w:noProof/>
              </w:rPr>
              <w:t>DG</w:t>
            </w:r>
          </w:p>
        </w:tc>
        <w:tc>
          <w:tcPr>
            <w:tcW w:w="5607" w:type="dxa"/>
            <w:tcMar>
              <w:top w:w="113" w:type="dxa"/>
              <w:bottom w:w="113" w:type="dxa"/>
            </w:tcMar>
          </w:tcPr>
          <w:p>
            <w:pPr>
              <w:rPr>
                <w:noProof/>
              </w:rPr>
            </w:pPr>
            <w:r>
              <w:rPr>
                <w:noProof/>
              </w:rPr>
              <w:t>Directorate-General</w:t>
            </w:r>
          </w:p>
        </w:tc>
      </w:tr>
      <w:tr>
        <w:trPr>
          <w:trHeight w:val="20"/>
        </w:trPr>
        <w:tc>
          <w:tcPr>
            <w:tcW w:w="3227" w:type="dxa"/>
            <w:tcMar>
              <w:top w:w="113" w:type="dxa"/>
              <w:bottom w:w="113" w:type="dxa"/>
            </w:tcMar>
          </w:tcPr>
          <w:p>
            <w:pPr>
              <w:rPr>
                <w:noProof/>
              </w:rPr>
            </w:pPr>
            <w:r>
              <w:rPr>
                <w:noProof/>
              </w:rPr>
              <w:t>DG DIGIT</w:t>
            </w:r>
          </w:p>
        </w:tc>
        <w:tc>
          <w:tcPr>
            <w:tcW w:w="5607" w:type="dxa"/>
            <w:tcMar>
              <w:top w:w="113" w:type="dxa"/>
              <w:bottom w:w="113" w:type="dxa"/>
            </w:tcMar>
          </w:tcPr>
          <w:p>
            <w:pPr>
              <w:rPr>
                <w:noProof/>
              </w:rPr>
            </w:pPr>
            <w:r>
              <w:rPr>
                <w:noProof/>
              </w:rPr>
              <w:t>Directorate-General for Informatics</w:t>
            </w:r>
          </w:p>
        </w:tc>
      </w:tr>
      <w:tr>
        <w:trPr>
          <w:trHeight w:val="20"/>
        </w:trPr>
        <w:tc>
          <w:tcPr>
            <w:tcW w:w="3227" w:type="dxa"/>
            <w:tcMar>
              <w:top w:w="113" w:type="dxa"/>
              <w:bottom w:w="113" w:type="dxa"/>
            </w:tcMar>
          </w:tcPr>
          <w:p>
            <w:pPr>
              <w:rPr>
                <w:noProof/>
              </w:rPr>
            </w:pPr>
            <w:r>
              <w:rPr>
                <w:noProof/>
              </w:rPr>
              <w:t>DIGIT.D2</w:t>
            </w:r>
          </w:p>
        </w:tc>
        <w:tc>
          <w:tcPr>
            <w:tcW w:w="5607" w:type="dxa"/>
            <w:tcMar>
              <w:top w:w="113" w:type="dxa"/>
              <w:bottom w:w="113" w:type="dxa"/>
            </w:tcMar>
          </w:tcPr>
          <w:p>
            <w:pPr>
              <w:rPr>
                <w:noProof/>
              </w:rPr>
            </w:pPr>
            <w:r>
              <w:rPr>
                <w:noProof/>
              </w:rPr>
              <w:t>Directorate-General for Informatics, Directorate D Digital Services, Unit D2 Interoperability</w:t>
            </w:r>
          </w:p>
        </w:tc>
      </w:tr>
      <w:tr>
        <w:trPr>
          <w:trHeight w:val="20"/>
        </w:trPr>
        <w:tc>
          <w:tcPr>
            <w:tcW w:w="3227" w:type="dxa"/>
            <w:tcMar>
              <w:top w:w="113" w:type="dxa"/>
              <w:bottom w:w="113" w:type="dxa"/>
            </w:tcMar>
          </w:tcPr>
          <w:p>
            <w:pPr>
              <w:rPr>
                <w:noProof/>
              </w:rPr>
            </w:pPr>
            <w:r>
              <w:rPr>
                <w:noProof/>
              </w:rPr>
              <w:t>DSM</w:t>
            </w:r>
          </w:p>
        </w:tc>
        <w:tc>
          <w:tcPr>
            <w:tcW w:w="5607" w:type="dxa"/>
            <w:tcMar>
              <w:top w:w="113" w:type="dxa"/>
              <w:bottom w:w="113" w:type="dxa"/>
            </w:tcMar>
          </w:tcPr>
          <w:p>
            <w:pPr>
              <w:rPr>
                <w:noProof/>
              </w:rPr>
            </w:pPr>
            <w:r>
              <w:rPr>
                <w:noProof/>
              </w:rPr>
              <w:t>Digital Single Market</w:t>
            </w:r>
          </w:p>
        </w:tc>
      </w:tr>
      <w:tr>
        <w:trPr>
          <w:trHeight w:val="20"/>
        </w:trPr>
        <w:tc>
          <w:tcPr>
            <w:tcW w:w="3227" w:type="dxa"/>
            <w:tcMar>
              <w:top w:w="113" w:type="dxa"/>
              <w:bottom w:w="113" w:type="dxa"/>
            </w:tcMar>
          </w:tcPr>
          <w:p>
            <w:pPr>
              <w:rPr>
                <w:noProof/>
              </w:rPr>
            </w:pPr>
            <w:r>
              <w:rPr>
                <w:noProof/>
              </w:rPr>
              <w:t>EEA</w:t>
            </w:r>
          </w:p>
        </w:tc>
        <w:tc>
          <w:tcPr>
            <w:tcW w:w="5607" w:type="dxa"/>
            <w:tcMar>
              <w:top w:w="113" w:type="dxa"/>
              <w:bottom w:w="113" w:type="dxa"/>
            </w:tcMar>
          </w:tcPr>
          <w:p>
            <w:pPr>
              <w:rPr>
                <w:noProof/>
              </w:rPr>
            </w:pPr>
            <w:r>
              <w:rPr>
                <w:noProof/>
              </w:rPr>
              <w:t>European Economic Area</w:t>
            </w:r>
          </w:p>
        </w:tc>
      </w:tr>
      <w:tr>
        <w:trPr>
          <w:trHeight w:val="20"/>
        </w:trPr>
        <w:tc>
          <w:tcPr>
            <w:tcW w:w="3227" w:type="dxa"/>
            <w:tcMar>
              <w:top w:w="113" w:type="dxa"/>
              <w:bottom w:w="113" w:type="dxa"/>
            </w:tcMar>
          </w:tcPr>
          <w:p>
            <w:pPr>
              <w:rPr>
                <w:noProof/>
              </w:rPr>
            </w:pPr>
            <w:r>
              <w:rPr>
                <w:noProof/>
              </w:rPr>
              <w:t>EFTA</w:t>
            </w:r>
          </w:p>
        </w:tc>
        <w:tc>
          <w:tcPr>
            <w:tcW w:w="5607" w:type="dxa"/>
            <w:tcMar>
              <w:top w:w="113" w:type="dxa"/>
              <w:bottom w:w="113" w:type="dxa"/>
            </w:tcMar>
          </w:tcPr>
          <w:p>
            <w:pPr>
              <w:rPr>
                <w:noProof/>
              </w:rPr>
            </w:pPr>
            <w:r>
              <w:rPr>
                <w:noProof/>
              </w:rPr>
              <w:t>European Free Trade Association</w:t>
            </w:r>
          </w:p>
        </w:tc>
      </w:tr>
      <w:tr>
        <w:trPr>
          <w:trHeight w:val="20"/>
        </w:trPr>
        <w:tc>
          <w:tcPr>
            <w:tcW w:w="3227" w:type="dxa"/>
            <w:tcMar>
              <w:top w:w="113" w:type="dxa"/>
              <w:bottom w:w="113" w:type="dxa"/>
            </w:tcMar>
          </w:tcPr>
          <w:p>
            <w:pPr>
              <w:rPr>
                <w:noProof/>
              </w:rPr>
            </w:pPr>
            <w:r>
              <w:rPr>
                <w:noProof/>
              </w:rPr>
              <w:t>EIF</w:t>
            </w:r>
          </w:p>
        </w:tc>
        <w:tc>
          <w:tcPr>
            <w:tcW w:w="5607" w:type="dxa"/>
            <w:tcMar>
              <w:top w:w="113" w:type="dxa"/>
              <w:bottom w:w="113" w:type="dxa"/>
            </w:tcMar>
          </w:tcPr>
          <w:p>
            <w:pPr>
              <w:rPr>
                <w:noProof/>
              </w:rPr>
            </w:pPr>
            <w:r>
              <w:rPr>
                <w:noProof/>
              </w:rPr>
              <w:t>European Interoperability Framework</w:t>
            </w:r>
          </w:p>
        </w:tc>
      </w:tr>
      <w:tr>
        <w:trPr>
          <w:trHeight w:val="20"/>
        </w:trPr>
        <w:tc>
          <w:tcPr>
            <w:tcW w:w="3227" w:type="dxa"/>
            <w:tcMar>
              <w:top w:w="113" w:type="dxa"/>
              <w:bottom w:w="113" w:type="dxa"/>
            </w:tcMar>
          </w:tcPr>
          <w:p>
            <w:pPr>
              <w:rPr>
                <w:noProof/>
              </w:rPr>
            </w:pPr>
            <w:r>
              <w:rPr>
                <w:noProof/>
              </w:rPr>
              <w:t>EIRA</w:t>
            </w:r>
          </w:p>
        </w:tc>
        <w:tc>
          <w:tcPr>
            <w:tcW w:w="5607" w:type="dxa"/>
            <w:tcMar>
              <w:top w:w="113" w:type="dxa"/>
              <w:bottom w:w="113" w:type="dxa"/>
            </w:tcMar>
          </w:tcPr>
          <w:p>
            <w:pPr>
              <w:rPr>
                <w:noProof/>
              </w:rPr>
            </w:pPr>
            <w:r>
              <w:rPr>
                <w:noProof/>
              </w:rPr>
              <w:t>European Interoperability Reference Architecture</w:t>
            </w:r>
          </w:p>
        </w:tc>
      </w:tr>
      <w:tr>
        <w:trPr>
          <w:trHeight w:val="20"/>
        </w:trPr>
        <w:tc>
          <w:tcPr>
            <w:tcW w:w="3227" w:type="dxa"/>
            <w:tcMar>
              <w:top w:w="113" w:type="dxa"/>
              <w:bottom w:w="113" w:type="dxa"/>
            </w:tcMar>
          </w:tcPr>
          <w:p>
            <w:pPr>
              <w:rPr>
                <w:noProof/>
              </w:rPr>
            </w:pPr>
            <w:r>
              <w:rPr>
                <w:noProof/>
              </w:rPr>
              <w:t>ELISE</w:t>
            </w:r>
          </w:p>
        </w:tc>
        <w:tc>
          <w:tcPr>
            <w:tcW w:w="5607" w:type="dxa"/>
            <w:tcMar>
              <w:top w:w="113" w:type="dxa"/>
              <w:bottom w:w="113" w:type="dxa"/>
            </w:tcMar>
          </w:tcPr>
          <w:p>
            <w:pPr>
              <w:rPr>
                <w:noProof/>
              </w:rPr>
            </w:pPr>
            <w:r>
              <w:rPr>
                <w:noProof/>
              </w:rPr>
              <w:t>European Location Interoperability Solutions for e-Government</w:t>
            </w:r>
          </w:p>
        </w:tc>
      </w:tr>
      <w:tr>
        <w:trPr>
          <w:trHeight w:val="20"/>
        </w:trPr>
        <w:tc>
          <w:tcPr>
            <w:tcW w:w="3227" w:type="dxa"/>
            <w:tcMar>
              <w:top w:w="113" w:type="dxa"/>
              <w:bottom w:w="113" w:type="dxa"/>
            </w:tcMar>
          </w:tcPr>
          <w:p>
            <w:pPr>
              <w:rPr>
                <w:noProof/>
              </w:rPr>
            </w:pPr>
            <w:r>
              <w:rPr>
                <w:noProof/>
              </w:rPr>
              <w:t>EQ</w:t>
            </w:r>
          </w:p>
        </w:tc>
        <w:tc>
          <w:tcPr>
            <w:tcW w:w="5607" w:type="dxa"/>
            <w:tcMar>
              <w:top w:w="113" w:type="dxa"/>
              <w:bottom w:w="113" w:type="dxa"/>
            </w:tcMar>
          </w:tcPr>
          <w:p>
            <w:pPr>
              <w:rPr>
                <w:noProof/>
              </w:rPr>
            </w:pPr>
            <w:r>
              <w:rPr>
                <w:noProof/>
              </w:rPr>
              <w:t>evaluation question</w:t>
            </w:r>
          </w:p>
        </w:tc>
      </w:tr>
      <w:tr>
        <w:trPr>
          <w:trHeight w:val="20"/>
        </w:trPr>
        <w:tc>
          <w:tcPr>
            <w:tcW w:w="3227" w:type="dxa"/>
            <w:tcMar>
              <w:top w:w="113" w:type="dxa"/>
              <w:bottom w:w="113" w:type="dxa"/>
            </w:tcMar>
          </w:tcPr>
          <w:p>
            <w:pPr>
              <w:rPr>
                <w:noProof/>
              </w:rPr>
            </w:pPr>
            <w:r>
              <w:rPr>
                <w:noProof/>
              </w:rPr>
              <w:t>ERDF</w:t>
            </w:r>
          </w:p>
        </w:tc>
        <w:tc>
          <w:tcPr>
            <w:tcW w:w="5607" w:type="dxa"/>
            <w:tcMar>
              <w:top w:w="113" w:type="dxa"/>
              <w:bottom w:w="113" w:type="dxa"/>
            </w:tcMar>
          </w:tcPr>
          <w:p>
            <w:pPr>
              <w:rPr>
                <w:noProof/>
              </w:rPr>
            </w:pPr>
            <w:r>
              <w:rPr>
                <w:noProof/>
              </w:rPr>
              <w:t>European Regional Development Fund</w:t>
            </w:r>
          </w:p>
        </w:tc>
      </w:tr>
      <w:tr>
        <w:trPr>
          <w:trHeight w:val="20"/>
        </w:trPr>
        <w:tc>
          <w:tcPr>
            <w:tcW w:w="3227" w:type="dxa"/>
            <w:tcMar>
              <w:top w:w="113" w:type="dxa"/>
              <w:bottom w:w="113" w:type="dxa"/>
            </w:tcMar>
          </w:tcPr>
          <w:p>
            <w:pPr>
              <w:rPr>
                <w:noProof/>
              </w:rPr>
            </w:pPr>
            <w:r>
              <w:rPr>
                <w:noProof/>
              </w:rPr>
              <w:t>ESF</w:t>
            </w:r>
          </w:p>
        </w:tc>
        <w:tc>
          <w:tcPr>
            <w:tcW w:w="5607" w:type="dxa"/>
            <w:tcMar>
              <w:top w:w="113" w:type="dxa"/>
              <w:bottom w:w="113" w:type="dxa"/>
            </w:tcMar>
          </w:tcPr>
          <w:p>
            <w:pPr>
              <w:rPr>
                <w:noProof/>
              </w:rPr>
            </w:pPr>
            <w:r>
              <w:rPr>
                <w:noProof/>
              </w:rPr>
              <w:t>European Social Fund</w:t>
            </w:r>
          </w:p>
        </w:tc>
      </w:tr>
      <w:tr>
        <w:trPr>
          <w:trHeight w:val="20"/>
        </w:trPr>
        <w:tc>
          <w:tcPr>
            <w:tcW w:w="3227" w:type="dxa"/>
            <w:tcMar>
              <w:top w:w="113" w:type="dxa"/>
              <w:bottom w:w="113" w:type="dxa"/>
            </w:tcMar>
          </w:tcPr>
          <w:p>
            <w:pPr>
              <w:rPr>
                <w:noProof/>
              </w:rPr>
            </w:pPr>
            <w:r>
              <w:rPr>
                <w:noProof/>
              </w:rPr>
              <w:t>ESIF</w:t>
            </w:r>
          </w:p>
        </w:tc>
        <w:tc>
          <w:tcPr>
            <w:tcW w:w="5607" w:type="dxa"/>
            <w:tcMar>
              <w:top w:w="113" w:type="dxa"/>
              <w:bottom w:w="113" w:type="dxa"/>
            </w:tcMar>
          </w:tcPr>
          <w:p>
            <w:pPr>
              <w:rPr>
                <w:noProof/>
              </w:rPr>
            </w:pPr>
            <w:r>
              <w:rPr>
                <w:noProof/>
              </w:rPr>
              <w:t>European Structural and Investment Funds</w:t>
            </w:r>
          </w:p>
        </w:tc>
      </w:tr>
      <w:tr>
        <w:trPr>
          <w:trHeight w:val="20"/>
        </w:trPr>
        <w:tc>
          <w:tcPr>
            <w:tcW w:w="3227" w:type="dxa"/>
            <w:tcMar>
              <w:top w:w="113" w:type="dxa"/>
              <w:bottom w:w="113" w:type="dxa"/>
            </w:tcMar>
          </w:tcPr>
          <w:p>
            <w:pPr>
              <w:rPr>
                <w:noProof/>
              </w:rPr>
            </w:pPr>
            <w:r>
              <w:rPr>
                <w:noProof/>
              </w:rPr>
              <w:lastRenderedPageBreak/>
              <w:t>ESPD</w:t>
            </w:r>
          </w:p>
        </w:tc>
        <w:tc>
          <w:tcPr>
            <w:tcW w:w="5607" w:type="dxa"/>
            <w:tcMar>
              <w:top w:w="113" w:type="dxa"/>
              <w:bottom w:w="113" w:type="dxa"/>
            </w:tcMar>
          </w:tcPr>
          <w:p>
            <w:pPr>
              <w:rPr>
                <w:noProof/>
              </w:rPr>
            </w:pPr>
            <w:r>
              <w:rPr>
                <w:noProof/>
              </w:rPr>
              <w:t>European Single Procurement Document</w:t>
            </w:r>
          </w:p>
        </w:tc>
      </w:tr>
      <w:tr>
        <w:trPr>
          <w:trHeight w:val="20"/>
        </w:trPr>
        <w:tc>
          <w:tcPr>
            <w:tcW w:w="3227" w:type="dxa"/>
            <w:tcMar>
              <w:top w:w="113" w:type="dxa"/>
              <w:bottom w:w="113" w:type="dxa"/>
            </w:tcMar>
          </w:tcPr>
          <w:p>
            <w:pPr>
              <w:rPr>
                <w:noProof/>
              </w:rPr>
            </w:pPr>
            <w:r>
              <w:rPr>
                <w:noProof/>
              </w:rPr>
              <w:t>EU</w:t>
            </w:r>
          </w:p>
        </w:tc>
        <w:tc>
          <w:tcPr>
            <w:tcW w:w="5607" w:type="dxa"/>
            <w:tcMar>
              <w:top w:w="113" w:type="dxa"/>
              <w:bottom w:w="113" w:type="dxa"/>
            </w:tcMar>
          </w:tcPr>
          <w:p>
            <w:pPr>
              <w:rPr>
                <w:noProof/>
              </w:rPr>
            </w:pPr>
            <w:r>
              <w:rPr>
                <w:noProof/>
              </w:rPr>
              <w:t>European Union</w:t>
            </w:r>
          </w:p>
        </w:tc>
      </w:tr>
      <w:tr>
        <w:trPr>
          <w:trHeight w:val="20"/>
        </w:trPr>
        <w:tc>
          <w:tcPr>
            <w:tcW w:w="3227" w:type="dxa"/>
            <w:tcMar>
              <w:top w:w="113" w:type="dxa"/>
              <w:bottom w:w="113" w:type="dxa"/>
            </w:tcMar>
          </w:tcPr>
          <w:p>
            <w:pPr>
              <w:rPr>
                <w:noProof/>
              </w:rPr>
            </w:pPr>
            <w:r>
              <w:rPr>
                <w:noProof/>
              </w:rPr>
              <w:t>EVM</w:t>
            </w:r>
          </w:p>
        </w:tc>
        <w:tc>
          <w:tcPr>
            <w:tcW w:w="5607" w:type="dxa"/>
            <w:tcMar>
              <w:top w:w="113" w:type="dxa"/>
              <w:bottom w:w="113" w:type="dxa"/>
            </w:tcMar>
          </w:tcPr>
          <w:p>
            <w:pPr>
              <w:rPr>
                <w:noProof/>
              </w:rPr>
            </w:pPr>
            <w:r>
              <w:rPr>
                <w:noProof/>
              </w:rPr>
              <w:t>earned value management</w:t>
            </w:r>
          </w:p>
        </w:tc>
      </w:tr>
      <w:tr>
        <w:trPr>
          <w:trHeight w:val="20"/>
        </w:trPr>
        <w:tc>
          <w:tcPr>
            <w:tcW w:w="3227" w:type="dxa"/>
            <w:tcMar>
              <w:top w:w="113" w:type="dxa"/>
              <w:bottom w:w="113" w:type="dxa"/>
            </w:tcMar>
          </w:tcPr>
          <w:p>
            <w:pPr>
              <w:rPr>
                <w:noProof/>
              </w:rPr>
            </w:pPr>
            <w:r>
              <w:rPr>
                <w:noProof/>
              </w:rPr>
              <w:t>Horizon 2020</w:t>
            </w:r>
          </w:p>
        </w:tc>
        <w:tc>
          <w:tcPr>
            <w:tcW w:w="5607" w:type="dxa"/>
            <w:tcMar>
              <w:top w:w="113" w:type="dxa"/>
              <w:bottom w:w="113" w:type="dxa"/>
            </w:tcMar>
          </w:tcPr>
          <w:p>
            <w:pPr>
              <w:rPr>
                <w:noProof/>
              </w:rPr>
            </w:pPr>
            <w:r>
              <w:rPr>
                <w:noProof/>
              </w:rPr>
              <w:t>EU framework programme for research and innovation (2014-2020)</w:t>
            </w:r>
          </w:p>
        </w:tc>
      </w:tr>
      <w:tr>
        <w:trPr>
          <w:trHeight w:val="20"/>
        </w:trPr>
        <w:tc>
          <w:tcPr>
            <w:tcW w:w="3227" w:type="dxa"/>
            <w:tcMar>
              <w:top w:w="113" w:type="dxa"/>
              <w:bottom w:w="113" w:type="dxa"/>
            </w:tcMar>
          </w:tcPr>
          <w:p>
            <w:pPr>
              <w:rPr>
                <w:noProof/>
              </w:rPr>
            </w:pPr>
            <w:r>
              <w:rPr>
                <w:noProof/>
              </w:rPr>
              <w:t>IAP</w:t>
            </w:r>
          </w:p>
        </w:tc>
        <w:tc>
          <w:tcPr>
            <w:tcW w:w="5607" w:type="dxa"/>
            <w:tcMar>
              <w:top w:w="113" w:type="dxa"/>
              <w:bottom w:w="113" w:type="dxa"/>
            </w:tcMar>
          </w:tcPr>
          <w:p>
            <w:pPr>
              <w:rPr>
                <w:noProof/>
              </w:rPr>
            </w:pPr>
            <w:r>
              <w:rPr>
                <w:noProof/>
              </w:rPr>
              <w:t>Interoperability Action Plan (Annex I to the Communication from the Commission to the European Parliament, the Council, the European Economic and Social Committee and the Committee of the Regions: European Interoperability Framework — Implementation Strategy. Interoperability Action Plan, Brussels, 23.3.2017, COM(2017) 134 final)</w:t>
            </w:r>
          </w:p>
        </w:tc>
      </w:tr>
      <w:tr>
        <w:trPr>
          <w:trHeight w:val="20"/>
        </w:trPr>
        <w:tc>
          <w:tcPr>
            <w:tcW w:w="3227" w:type="dxa"/>
            <w:tcMar>
              <w:top w:w="113" w:type="dxa"/>
              <w:bottom w:w="113" w:type="dxa"/>
            </w:tcMar>
          </w:tcPr>
          <w:p>
            <w:pPr>
              <w:rPr>
                <w:noProof/>
              </w:rPr>
            </w:pPr>
            <w:r>
              <w:rPr>
                <w:noProof/>
              </w:rPr>
              <w:t>ICT</w:t>
            </w:r>
          </w:p>
        </w:tc>
        <w:tc>
          <w:tcPr>
            <w:tcW w:w="5607" w:type="dxa"/>
            <w:tcMar>
              <w:top w:w="113" w:type="dxa"/>
              <w:bottom w:w="113" w:type="dxa"/>
            </w:tcMar>
          </w:tcPr>
          <w:p>
            <w:pPr>
              <w:rPr>
                <w:noProof/>
              </w:rPr>
            </w:pPr>
            <w:r>
              <w:rPr>
                <w:noProof/>
              </w:rPr>
              <w:t>information and communication technology</w:t>
            </w:r>
          </w:p>
        </w:tc>
      </w:tr>
      <w:tr>
        <w:trPr>
          <w:trHeight w:val="20"/>
        </w:trPr>
        <w:tc>
          <w:tcPr>
            <w:tcW w:w="3227" w:type="dxa"/>
            <w:tcMar>
              <w:top w:w="113" w:type="dxa"/>
              <w:bottom w:w="113" w:type="dxa"/>
            </w:tcMar>
          </w:tcPr>
          <w:p>
            <w:pPr>
              <w:rPr>
                <w:noProof/>
              </w:rPr>
            </w:pPr>
            <w:r>
              <w:rPr>
                <w:noProof/>
              </w:rPr>
              <w:t>IDA</w:t>
            </w:r>
          </w:p>
        </w:tc>
        <w:tc>
          <w:tcPr>
            <w:tcW w:w="5607" w:type="dxa"/>
            <w:tcMar>
              <w:top w:w="113" w:type="dxa"/>
              <w:bottom w:w="113" w:type="dxa"/>
            </w:tcMar>
          </w:tcPr>
          <w:p>
            <w:pPr>
              <w:rPr>
                <w:noProof/>
              </w:rPr>
            </w:pPr>
            <w:r>
              <w:rPr>
                <w:noProof/>
              </w:rPr>
              <w:t>Programme on Interchange of Data between Administrations</w:t>
            </w:r>
          </w:p>
        </w:tc>
      </w:tr>
      <w:tr>
        <w:trPr>
          <w:trHeight w:val="20"/>
        </w:trPr>
        <w:tc>
          <w:tcPr>
            <w:tcW w:w="3227" w:type="dxa"/>
            <w:tcMar>
              <w:top w:w="113" w:type="dxa"/>
              <w:bottom w:w="113" w:type="dxa"/>
            </w:tcMar>
          </w:tcPr>
          <w:p>
            <w:pPr>
              <w:rPr>
                <w:noProof/>
              </w:rPr>
            </w:pPr>
            <w:r>
              <w:rPr>
                <w:noProof/>
              </w:rPr>
              <w:t>IDABC</w:t>
            </w:r>
          </w:p>
        </w:tc>
        <w:tc>
          <w:tcPr>
            <w:tcW w:w="5607" w:type="dxa"/>
            <w:tcMar>
              <w:top w:w="113" w:type="dxa"/>
              <w:bottom w:w="113" w:type="dxa"/>
            </w:tcMar>
          </w:tcPr>
          <w:p>
            <w:pPr>
              <w:rPr>
                <w:noProof/>
              </w:rPr>
            </w:pPr>
            <w:r>
              <w:rPr>
                <w:noProof/>
              </w:rPr>
              <w:t>Programme on Interoperable Delivery of Pan-European eGovernment Services to public administrations, Business and Citizens</w:t>
            </w:r>
          </w:p>
        </w:tc>
      </w:tr>
      <w:tr>
        <w:trPr>
          <w:trHeight w:val="20"/>
        </w:trPr>
        <w:tc>
          <w:tcPr>
            <w:tcW w:w="3227" w:type="dxa"/>
            <w:tcMar>
              <w:top w:w="113" w:type="dxa"/>
              <w:bottom w:w="113" w:type="dxa"/>
            </w:tcMar>
          </w:tcPr>
          <w:p>
            <w:pPr>
              <w:rPr>
                <w:noProof/>
              </w:rPr>
            </w:pPr>
            <w:r>
              <w:rPr>
                <w:noProof/>
              </w:rPr>
              <w:t>IMAPS</w:t>
            </w:r>
          </w:p>
        </w:tc>
        <w:tc>
          <w:tcPr>
            <w:tcW w:w="5607" w:type="dxa"/>
            <w:tcMar>
              <w:top w:w="113" w:type="dxa"/>
              <w:bottom w:w="113" w:type="dxa"/>
            </w:tcMar>
          </w:tcPr>
          <w:p>
            <w:pPr>
              <w:rPr>
                <w:noProof/>
              </w:rPr>
            </w:pPr>
            <w:r>
              <w:rPr>
                <w:noProof/>
              </w:rPr>
              <w:t>Interoperability Maturity Assessment of a Public Service</w:t>
            </w:r>
          </w:p>
        </w:tc>
      </w:tr>
      <w:tr>
        <w:trPr>
          <w:trHeight w:val="20"/>
        </w:trPr>
        <w:tc>
          <w:tcPr>
            <w:tcW w:w="3227" w:type="dxa"/>
            <w:tcMar>
              <w:top w:w="113" w:type="dxa"/>
              <w:bottom w:w="113" w:type="dxa"/>
            </w:tcMar>
          </w:tcPr>
          <w:p>
            <w:pPr>
              <w:rPr>
                <w:noProof/>
              </w:rPr>
            </w:pPr>
            <w:r>
              <w:rPr>
                <w:noProof/>
              </w:rPr>
              <w:t>Interoperability</w:t>
            </w:r>
          </w:p>
        </w:tc>
        <w:tc>
          <w:tcPr>
            <w:tcW w:w="5607" w:type="dxa"/>
            <w:tcMar>
              <w:top w:w="113" w:type="dxa"/>
              <w:bottom w:w="113" w:type="dxa"/>
            </w:tcMar>
          </w:tcPr>
          <w:p>
            <w:pPr>
              <w:rPr>
                <w:noProof/>
              </w:rPr>
            </w:pPr>
            <w:r>
              <w:rPr>
                <w:noProof/>
              </w:rPr>
              <w:t xml:space="preserve">As explained in Article 2(1) of the </w:t>
            </w:r>
            <w:hyperlink r:id="rId25" w:history="1">
              <w:r>
                <w:rPr>
                  <w:rStyle w:val="Hyperlink"/>
                  <w:noProof/>
                </w:rPr>
                <w:t>ISA</w:t>
              </w:r>
              <w:r>
                <w:rPr>
                  <w:rStyle w:val="Hyperlink"/>
                  <w:noProof/>
                  <w:vertAlign w:val="superscript"/>
                </w:rPr>
                <w:t>2</w:t>
              </w:r>
              <w:r>
                <w:rPr>
                  <w:rStyle w:val="Hyperlink"/>
                  <w:noProof/>
                </w:rPr>
                <w:t xml:space="preserve"> Decision</w:t>
              </w:r>
            </w:hyperlink>
            <w:r>
              <w:rPr>
                <w:noProof/>
                <w:u w:val="single"/>
              </w:rPr>
              <w:t>,</w:t>
            </w:r>
            <w:r>
              <w:rPr>
                <w:noProof/>
              </w:rPr>
              <w:t xml:space="preserve"> ‘interoperability’ means the ability of diverse organisations to interact towards mutually beneficial and agreed common goals. It involves the sharing of information and knowledge between the organisations, through their business processes and by means of the exchange of data between their respective ICT systems.</w:t>
            </w:r>
          </w:p>
        </w:tc>
      </w:tr>
      <w:tr>
        <w:trPr>
          <w:trHeight w:val="20"/>
        </w:trPr>
        <w:tc>
          <w:tcPr>
            <w:tcW w:w="3227" w:type="dxa"/>
            <w:tcMar>
              <w:top w:w="113" w:type="dxa"/>
              <w:bottom w:w="113" w:type="dxa"/>
            </w:tcMar>
          </w:tcPr>
          <w:p>
            <w:pPr>
              <w:rPr>
                <w:noProof/>
              </w:rPr>
            </w:pPr>
            <w:r>
              <w:rPr>
                <w:noProof/>
              </w:rPr>
              <w:t>ISA</w:t>
            </w:r>
          </w:p>
        </w:tc>
        <w:tc>
          <w:tcPr>
            <w:tcW w:w="5607" w:type="dxa"/>
            <w:tcMar>
              <w:top w:w="113" w:type="dxa"/>
              <w:bottom w:w="113" w:type="dxa"/>
            </w:tcMar>
          </w:tcPr>
          <w:p>
            <w:pPr>
              <w:rPr>
                <w:noProof/>
              </w:rPr>
            </w:pPr>
            <w:r>
              <w:rPr>
                <w:noProof/>
              </w:rPr>
              <w:t>Programme on interoperability solutions for European public administrations</w:t>
            </w:r>
          </w:p>
        </w:tc>
      </w:tr>
      <w:tr>
        <w:trPr>
          <w:trHeight w:val="20"/>
        </w:trPr>
        <w:tc>
          <w:tcPr>
            <w:tcW w:w="3227" w:type="dxa"/>
            <w:tcMar>
              <w:top w:w="113" w:type="dxa"/>
              <w:bottom w:w="113" w:type="dxa"/>
            </w:tcMar>
          </w:tcPr>
          <w:p>
            <w:pPr>
              <w:rPr>
                <w:noProof/>
              </w:rPr>
            </w:pPr>
            <w:r>
              <w:rPr>
                <w:noProof/>
              </w:rPr>
              <w:t>ISA</w:t>
            </w:r>
            <w:r>
              <w:rPr>
                <w:noProof/>
                <w:vertAlign w:val="superscript"/>
              </w:rPr>
              <w:t>2</w:t>
            </w:r>
            <w:r>
              <w:rPr>
                <w:noProof/>
              </w:rPr>
              <w:t xml:space="preserve"> </w:t>
            </w:r>
          </w:p>
        </w:tc>
        <w:tc>
          <w:tcPr>
            <w:tcW w:w="5607" w:type="dxa"/>
            <w:tcMar>
              <w:top w:w="113" w:type="dxa"/>
              <w:bottom w:w="113" w:type="dxa"/>
            </w:tcMar>
          </w:tcPr>
          <w:p>
            <w:pPr>
              <w:rPr>
                <w:noProof/>
              </w:rPr>
            </w:pPr>
            <w:r>
              <w:rPr>
                <w:noProof/>
              </w:rPr>
              <w:t>Programme on interoperability solutions and common frameworks for European public administrations, businesses and citizens</w:t>
            </w:r>
          </w:p>
        </w:tc>
      </w:tr>
      <w:tr>
        <w:trPr>
          <w:trHeight w:val="20"/>
        </w:trPr>
        <w:tc>
          <w:tcPr>
            <w:tcW w:w="3227" w:type="dxa"/>
            <w:tcMar>
              <w:top w:w="113" w:type="dxa"/>
              <w:bottom w:w="113" w:type="dxa"/>
            </w:tcMar>
          </w:tcPr>
          <w:p>
            <w:pPr>
              <w:rPr>
                <w:noProof/>
              </w:rPr>
            </w:pPr>
            <w:r>
              <w:rPr>
                <w:noProof/>
              </w:rPr>
              <w:t>ISA</w:t>
            </w:r>
            <w:r>
              <w:rPr>
                <w:noProof/>
                <w:vertAlign w:val="superscript"/>
              </w:rPr>
              <w:t>2</w:t>
            </w:r>
            <w:r>
              <w:rPr>
                <w:noProof/>
              </w:rPr>
              <w:t xml:space="preserve"> actions webpage</w:t>
            </w:r>
          </w:p>
        </w:tc>
        <w:tc>
          <w:tcPr>
            <w:tcW w:w="5607" w:type="dxa"/>
            <w:tcMar>
              <w:top w:w="113" w:type="dxa"/>
              <w:bottom w:w="113" w:type="dxa"/>
            </w:tcMar>
          </w:tcPr>
          <w:p>
            <w:pPr>
              <w:rPr>
                <w:noProof/>
              </w:rPr>
            </w:pPr>
            <w:hyperlink r:id="rId26" w:history="1">
              <w:r>
                <w:rPr>
                  <w:rStyle w:val="Hyperlink"/>
                  <w:noProof/>
                </w:rPr>
                <w:t>https://ec.europa.eu/isa2/actions_en</w:t>
              </w:r>
            </w:hyperlink>
            <w:r>
              <w:rPr>
                <w:noProof/>
              </w:rPr>
              <w:t xml:space="preserve"> </w:t>
            </w:r>
          </w:p>
        </w:tc>
      </w:tr>
      <w:tr>
        <w:trPr>
          <w:trHeight w:val="20"/>
        </w:trPr>
        <w:tc>
          <w:tcPr>
            <w:tcW w:w="3227" w:type="dxa"/>
            <w:tcMar>
              <w:top w:w="113" w:type="dxa"/>
              <w:bottom w:w="113" w:type="dxa"/>
            </w:tcMar>
          </w:tcPr>
          <w:p>
            <w:pPr>
              <w:rPr>
                <w:noProof/>
              </w:rPr>
            </w:pPr>
            <w:r>
              <w:rPr>
                <w:noProof/>
              </w:rPr>
              <w:t>ISA</w:t>
            </w:r>
            <w:r>
              <w:rPr>
                <w:noProof/>
                <w:vertAlign w:val="superscript"/>
              </w:rPr>
              <w:t>2</w:t>
            </w:r>
            <w:r>
              <w:rPr>
                <w:noProof/>
              </w:rPr>
              <w:t xml:space="preserve"> dashboard</w:t>
            </w:r>
          </w:p>
        </w:tc>
        <w:tc>
          <w:tcPr>
            <w:tcW w:w="5607" w:type="dxa"/>
            <w:tcMar>
              <w:top w:w="113" w:type="dxa"/>
              <w:bottom w:w="113" w:type="dxa"/>
            </w:tcMar>
          </w:tcPr>
          <w:p>
            <w:pPr>
              <w:rPr>
                <w:noProof/>
              </w:rPr>
            </w:pPr>
            <w:hyperlink r:id="rId27" w:history="1">
              <w:r>
                <w:rPr>
                  <w:rStyle w:val="Hyperlink"/>
                  <w:noProof/>
                </w:rPr>
                <w:t>https://ec.europa.eu/isa2/dashboard/</w:t>
              </w:r>
            </w:hyperlink>
            <w:r>
              <w:rPr>
                <w:noProof/>
              </w:rPr>
              <w:t xml:space="preserve"> </w:t>
            </w:r>
          </w:p>
        </w:tc>
      </w:tr>
      <w:tr>
        <w:trPr>
          <w:trHeight w:val="20"/>
        </w:trPr>
        <w:tc>
          <w:tcPr>
            <w:tcW w:w="3227" w:type="dxa"/>
            <w:tcMar>
              <w:top w:w="113" w:type="dxa"/>
              <w:bottom w:w="113" w:type="dxa"/>
            </w:tcMar>
          </w:tcPr>
          <w:p>
            <w:pPr>
              <w:rPr>
                <w:noProof/>
              </w:rPr>
            </w:pPr>
            <w:r>
              <w:rPr>
                <w:noProof/>
              </w:rPr>
              <w:t>ISA</w:t>
            </w:r>
            <w:r>
              <w:rPr>
                <w:noProof/>
                <w:vertAlign w:val="superscript"/>
              </w:rPr>
              <w:t>2</w:t>
            </w:r>
            <w:r>
              <w:rPr>
                <w:noProof/>
              </w:rPr>
              <w:t xml:space="preserve"> Decision</w:t>
            </w:r>
          </w:p>
        </w:tc>
        <w:tc>
          <w:tcPr>
            <w:tcW w:w="5607" w:type="dxa"/>
            <w:tcMar>
              <w:top w:w="113" w:type="dxa"/>
              <w:bottom w:w="113" w:type="dxa"/>
            </w:tcMar>
          </w:tcPr>
          <w:p>
            <w:pPr>
              <w:rPr>
                <w:noProof/>
              </w:rPr>
            </w:pPr>
            <w:r>
              <w:rPr>
                <w:noProof/>
              </w:rPr>
              <w:t>L 318/1 Decision (EU) 2015/2240 of the European Parliament and of the Council of 25 November 2015 establishing a programme on interoperability solutions and common frameworks for European public administrations, businesses and citizens (ISA</w:t>
            </w:r>
            <w:r>
              <w:rPr>
                <w:noProof/>
                <w:vertAlign w:val="superscript"/>
              </w:rPr>
              <w:t>2</w:t>
            </w:r>
            <w:r>
              <w:rPr>
                <w:noProof/>
              </w:rPr>
              <w:t xml:space="preserve"> programme) as a means for modernising the public sector, Brussels 4.12.2015.</w:t>
            </w:r>
          </w:p>
        </w:tc>
      </w:tr>
      <w:tr>
        <w:trPr>
          <w:trHeight w:val="20"/>
        </w:trPr>
        <w:tc>
          <w:tcPr>
            <w:tcW w:w="3227" w:type="dxa"/>
            <w:tcMar>
              <w:top w:w="113" w:type="dxa"/>
              <w:bottom w:w="113" w:type="dxa"/>
            </w:tcMar>
          </w:tcPr>
          <w:p>
            <w:pPr>
              <w:rPr>
                <w:noProof/>
              </w:rPr>
            </w:pPr>
            <w:r>
              <w:rPr>
                <w:noProof/>
              </w:rPr>
              <w:t>ISA</w:t>
            </w:r>
            <w:r>
              <w:rPr>
                <w:noProof/>
                <w:vertAlign w:val="superscript"/>
              </w:rPr>
              <w:t>2</w:t>
            </w:r>
            <w:r>
              <w:rPr>
                <w:noProof/>
              </w:rPr>
              <w:t xml:space="preserve"> solutions webpage</w:t>
            </w:r>
          </w:p>
        </w:tc>
        <w:tc>
          <w:tcPr>
            <w:tcW w:w="5607" w:type="dxa"/>
            <w:tcMar>
              <w:top w:w="113" w:type="dxa"/>
              <w:bottom w:w="113" w:type="dxa"/>
            </w:tcMar>
          </w:tcPr>
          <w:p>
            <w:pPr>
              <w:rPr>
                <w:noProof/>
              </w:rPr>
            </w:pPr>
            <w:hyperlink r:id="rId28" w:history="1">
              <w:r>
                <w:rPr>
                  <w:rStyle w:val="Hyperlink"/>
                  <w:noProof/>
                </w:rPr>
                <w:t>https://ec.europa.eu/isa2/solutions_en</w:t>
              </w:r>
            </w:hyperlink>
            <w:r>
              <w:rPr>
                <w:noProof/>
              </w:rPr>
              <w:t xml:space="preserve"> </w:t>
            </w:r>
          </w:p>
        </w:tc>
      </w:tr>
      <w:tr>
        <w:trPr>
          <w:trHeight w:val="20"/>
        </w:trPr>
        <w:tc>
          <w:tcPr>
            <w:tcW w:w="3227" w:type="dxa"/>
            <w:tcMar>
              <w:top w:w="113" w:type="dxa"/>
              <w:bottom w:w="113" w:type="dxa"/>
            </w:tcMar>
          </w:tcPr>
          <w:p>
            <w:pPr>
              <w:rPr>
                <w:noProof/>
              </w:rPr>
            </w:pPr>
            <w:r>
              <w:rPr>
                <w:noProof/>
              </w:rPr>
              <w:t>ISA</w:t>
            </w:r>
            <w:r>
              <w:rPr>
                <w:noProof/>
                <w:vertAlign w:val="superscript"/>
              </w:rPr>
              <w:t>2</w:t>
            </w:r>
            <w:r>
              <w:rPr>
                <w:noProof/>
              </w:rPr>
              <w:t xml:space="preserve"> website</w:t>
            </w:r>
          </w:p>
        </w:tc>
        <w:tc>
          <w:tcPr>
            <w:tcW w:w="5607" w:type="dxa"/>
            <w:tcMar>
              <w:top w:w="113" w:type="dxa"/>
              <w:bottom w:w="113" w:type="dxa"/>
            </w:tcMar>
          </w:tcPr>
          <w:p>
            <w:pPr>
              <w:rPr>
                <w:noProof/>
              </w:rPr>
            </w:pPr>
            <w:hyperlink r:id="rId29" w:history="1">
              <w:r>
                <w:rPr>
                  <w:rStyle w:val="Hyperlink"/>
                  <w:noProof/>
                </w:rPr>
                <w:t>https://ec.europa.eu/isa2/isa2_en</w:t>
              </w:r>
            </w:hyperlink>
            <w:r>
              <w:rPr>
                <w:noProof/>
              </w:rPr>
              <w:t xml:space="preserve"> </w:t>
            </w:r>
          </w:p>
        </w:tc>
      </w:tr>
      <w:tr>
        <w:trPr>
          <w:trHeight w:val="20"/>
        </w:trPr>
        <w:tc>
          <w:tcPr>
            <w:tcW w:w="3227" w:type="dxa"/>
            <w:tcMar>
              <w:top w:w="113" w:type="dxa"/>
              <w:bottom w:w="113" w:type="dxa"/>
            </w:tcMar>
          </w:tcPr>
          <w:p>
            <w:pPr>
              <w:rPr>
                <w:noProof/>
              </w:rPr>
            </w:pPr>
            <w:r>
              <w:rPr>
                <w:noProof/>
              </w:rPr>
              <w:t>ISSG</w:t>
            </w:r>
          </w:p>
        </w:tc>
        <w:tc>
          <w:tcPr>
            <w:tcW w:w="5607" w:type="dxa"/>
            <w:tcMar>
              <w:top w:w="113" w:type="dxa"/>
              <w:bottom w:w="113" w:type="dxa"/>
            </w:tcMar>
          </w:tcPr>
          <w:p>
            <w:pPr>
              <w:rPr>
                <w:noProof/>
              </w:rPr>
            </w:pPr>
            <w:r>
              <w:rPr>
                <w:noProof/>
              </w:rPr>
              <w:t>Inter-Service Steering Group</w:t>
            </w:r>
          </w:p>
        </w:tc>
      </w:tr>
      <w:tr>
        <w:trPr>
          <w:trHeight w:val="20"/>
        </w:trPr>
        <w:tc>
          <w:tcPr>
            <w:tcW w:w="3227" w:type="dxa"/>
            <w:tcMar>
              <w:top w:w="113" w:type="dxa"/>
              <w:bottom w:w="113" w:type="dxa"/>
            </w:tcMar>
          </w:tcPr>
          <w:p>
            <w:pPr>
              <w:rPr>
                <w:noProof/>
              </w:rPr>
            </w:pPr>
            <w:r>
              <w:rPr>
                <w:noProof/>
              </w:rPr>
              <w:t>IT</w:t>
            </w:r>
          </w:p>
        </w:tc>
        <w:tc>
          <w:tcPr>
            <w:tcW w:w="5607" w:type="dxa"/>
            <w:tcMar>
              <w:top w:w="113" w:type="dxa"/>
              <w:bottom w:w="113" w:type="dxa"/>
            </w:tcMar>
          </w:tcPr>
          <w:p>
            <w:pPr>
              <w:rPr>
                <w:noProof/>
              </w:rPr>
            </w:pPr>
            <w:r>
              <w:rPr>
                <w:noProof/>
              </w:rPr>
              <w:t>information technology</w:t>
            </w:r>
          </w:p>
        </w:tc>
      </w:tr>
      <w:tr>
        <w:trPr>
          <w:trHeight w:val="20"/>
        </w:trPr>
        <w:tc>
          <w:tcPr>
            <w:tcW w:w="3227" w:type="dxa"/>
            <w:tcMar>
              <w:top w:w="113" w:type="dxa"/>
              <w:bottom w:w="113" w:type="dxa"/>
            </w:tcMar>
          </w:tcPr>
          <w:p>
            <w:pPr>
              <w:rPr>
                <w:noProof/>
              </w:rPr>
            </w:pPr>
            <w:r>
              <w:rPr>
                <w:noProof/>
              </w:rPr>
              <w:t>JC</w:t>
            </w:r>
          </w:p>
        </w:tc>
        <w:tc>
          <w:tcPr>
            <w:tcW w:w="5607" w:type="dxa"/>
            <w:tcMar>
              <w:top w:w="113" w:type="dxa"/>
              <w:bottom w:w="113" w:type="dxa"/>
            </w:tcMar>
          </w:tcPr>
          <w:p>
            <w:pPr>
              <w:rPr>
                <w:noProof/>
              </w:rPr>
            </w:pPr>
            <w:r>
              <w:rPr>
                <w:noProof/>
              </w:rPr>
              <w:t>judgment criterion</w:t>
            </w:r>
          </w:p>
        </w:tc>
      </w:tr>
      <w:tr>
        <w:trPr>
          <w:trHeight w:val="20"/>
        </w:trPr>
        <w:tc>
          <w:tcPr>
            <w:tcW w:w="3227" w:type="dxa"/>
            <w:tcMar>
              <w:top w:w="113" w:type="dxa"/>
              <w:bottom w:w="113" w:type="dxa"/>
            </w:tcMar>
          </w:tcPr>
          <w:p>
            <w:pPr>
              <w:rPr>
                <w:noProof/>
              </w:rPr>
            </w:pPr>
            <w:r>
              <w:rPr>
                <w:noProof/>
              </w:rPr>
              <w:t>Joinup</w:t>
            </w:r>
          </w:p>
        </w:tc>
        <w:tc>
          <w:tcPr>
            <w:tcW w:w="5607" w:type="dxa"/>
            <w:tcMar>
              <w:top w:w="113" w:type="dxa"/>
              <w:bottom w:w="113" w:type="dxa"/>
            </w:tcMar>
          </w:tcPr>
          <w:p>
            <w:pPr>
              <w:rPr>
                <w:noProof/>
              </w:rPr>
            </w:pPr>
            <w:r>
              <w:rPr>
                <w:noProof/>
              </w:rPr>
              <w:t>collaborative platform facilitating the sharing and reuse of IT solutions developed for public administrations</w:t>
            </w:r>
          </w:p>
        </w:tc>
      </w:tr>
      <w:tr>
        <w:trPr>
          <w:trHeight w:val="20"/>
        </w:trPr>
        <w:tc>
          <w:tcPr>
            <w:tcW w:w="3227" w:type="dxa"/>
            <w:tcMar>
              <w:top w:w="113" w:type="dxa"/>
              <w:bottom w:w="113" w:type="dxa"/>
            </w:tcMar>
          </w:tcPr>
          <w:p>
            <w:pPr>
              <w:rPr>
                <w:noProof/>
              </w:rPr>
            </w:pPr>
            <w:r>
              <w:rPr>
                <w:noProof/>
              </w:rPr>
              <w:t>NIFO</w:t>
            </w:r>
          </w:p>
        </w:tc>
        <w:tc>
          <w:tcPr>
            <w:tcW w:w="5607" w:type="dxa"/>
            <w:tcMar>
              <w:top w:w="113" w:type="dxa"/>
              <w:bottom w:w="113" w:type="dxa"/>
            </w:tcMar>
          </w:tcPr>
          <w:p>
            <w:pPr>
              <w:rPr>
                <w:noProof/>
              </w:rPr>
            </w:pPr>
            <w:r>
              <w:rPr>
                <w:noProof/>
              </w:rPr>
              <w:t>National Interoperability Framework Observatory</w:t>
            </w:r>
          </w:p>
        </w:tc>
      </w:tr>
      <w:tr>
        <w:trPr>
          <w:trHeight w:val="20"/>
        </w:trPr>
        <w:tc>
          <w:tcPr>
            <w:tcW w:w="3227" w:type="dxa"/>
            <w:tcMar>
              <w:top w:w="113" w:type="dxa"/>
              <w:bottom w:w="113" w:type="dxa"/>
            </w:tcMar>
          </w:tcPr>
          <w:p>
            <w:pPr>
              <w:rPr>
                <w:noProof/>
              </w:rPr>
            </w:pPr>
            <w:r>
              <w:rPr>
                <w:noProof/>
              </w:rPr>
              <w:t>OECD</w:t>
            </w:r>
          </w:p>
        </w:tc>
        <w:tc>
          <w:tcPr>
            <w:tcW w:w="5607" w:type="dxa"/>
            <w:tcMar>
              <w:top w:w="113" w:type="dxa"/>
              <w:bottom w:w="113" w:type="dxa"/>
            </w:tcMar>
          </w:tcPr>
          <w:p>
            <w:pPr>
              <w:rPr>
                <w:noProof/>
              </w:rPr>
            </w:pPr>
            <w:r>
              <w:rPr>
                <w:noProof/>
              </w:rPr>
              <w:t>Organisation for Economic Cooperation and Development</w:t>
            </w:r>
          </w:p>
        </w:tc>
      </w:tr>
      <w:tr>
        <w:trPr>
          <w:trHeight w:val="20"/>
        </w:trPr>
        <w:tc>
          <w:tcPr>
            <w:tcW w:w="3227" w:type="dxa"/>
            <w:tcMar>
              <w:top w:w="113" w:type="dxa"/>
              <w:bottom w:w="113" w:type="dxa"/>
            </w:tcMar>
          </w:tcPr>
          <w:p>
            <w:pPr>
              <w:rPr>
                <w:noProof/>
              </w:rPr>
            </w:pPr>
            <w:r>
              <w:rPr>
                <w:noProof/>
              </w:rPr>
              <w:t>PMKI</w:t>
            </w:r>
          </w:p>
        </w:tc>
        <w:tc>
          <w:tcPr>
            <w:tcW w:w="5607" w:type="dxa"/>
            <w:tcMar>
              <w:top w:w="113" w:type="dxa"/>
              <w:bottom w:w="113" w:type="dxa"/>
            </w:tcMar>
          </w:tcPr>
          <w:p>
            <w:pPr>
              <w:rPr>
                <w:noProof/>
              </w:rPr>
            </w:pPr>
            <w:r>
              <w:rPr>
                <w:noProof/>
              </w:rPr>
              <w:t>Public Multilingual Knowledge Management Infrastructure for the Digital Single Market</w:t>
            </w:r>
          </w:p>
        </w:tc>
      </w:tr>
      <w:tr>
        <w:trPr>
          <w:trHeight w:val="20"/>
        </w:trPr>
        <w:tc>
          <w:tcPr>
            <w:tcW w:w="3227" w:type="dxa"/>
            <w:tcMar>
              <w:top w:w="113" w:type="dxa"/>
              <w:bottom w:w="113" w:type="dxa"/>
            </w:tcMar>
          </w:tcPr>
          <w:p>
            <w:pPr>
              <w:rPr>
                <w:noProof/>
              </w:rPr>
            </w:pPr>
            <w:r>
              <w:rPr>
                <w:noProof/>
              </w:rPr>
              <w:t>REFIT</w:t>
            </w:r>
          </w:p>
        </w:tc>
        <w:tc>
          <w:tcPr>
            <w:tcW w:w="5607" w:type="dxa"/>
            <w:tcMar>
              <w:top w:w="113" w:type="dxa"/>
              <w:bottom w:w="113" w:type="dxa"/>
            </w:tcMar>
          </w:tcPr>
          <w:p>
            <w:pPr>
              <w:rPr>
                <w:noProof/>
              </w:rPr>
            </w:pPr>
            <w:r>
              <w:rPr>
                <w:noProof/>
              </w:rPr>
              <w:t>the European Commission's regulatory fitness and performance programme</w:t>
            </w:r>
          </w:p>
        </w:tc>
      </w:tr>
      <w:tr>
        <w:trPr>
          <w:trHeight w:val="20"/>
        </w:trPr>
        <w:tc>
          <w:tcPr>
            <w:tcW w:w="3227" w:type="dxa"/>
            <w:tcMar>
              <w:top w:w="113" w:type="dxa"/>
              <w:bottom w:w="113" w:type="dxa"/>
            </w:tcMar>
          </w:tcPr>
          <w:p>
            <w:pPr>
              <w:rPr>
                <w:noProof/>
              </w:rPr>
            </w:pPr>
            <w:r>
              <w:rPr>
                <w:noProof/>
              </w:rPr>
              <w:t>RegDel</w:t>
            </w:r>
          </w:p>
        </w:tc>
        <w:tc>
          <w:tcPr>
            <w:tcW w:w="5607" w:type="dxa"/>
            <w:tcMar>
              <w:top w:w="113" w:type="dxa"/>
              <w:bottom w:w="113" w:type="dxa"/>
            </w:tcMar>
          </w:tcPr>
          <w:p>
            <w:pPr>
              <w:rPr>
                <w:noProof/>
              </w:rPr>
            </w:pPr>
            <w:r>
              <w:rPr>
                <w:noProof/>
              </w:rPr>
              <w:t>Inter-institutional Register of Delegated Acts</w:t>
            </w:r>
          </w:p>
        </w:tc>
      </w:tr>
      <w:tr>
        <w:trPr>
          <w:trHeight w:val="20"/>
        </w:trPr>
        <w:tc>
          <w:tcPr>
            <w:tcW w:w="3227" w:type="dxa"/>
            <w:tcMar>
              <w:top w:w="113" w:type="dxa"/>
              <w:bottom w:w="113" w:type="dxa"/>
            </w:tcMar>
          </w:tcPr>
          <w:p>
            <w:pPr>
              <w:rPr>
                <w:noProof/>
              </w:rPr>
            </w:pPr>
            <w:r>
              <w:rPr>
                <w:noProof/>
              </w:rPr>
              <w:t>SCM</w:t>
            </w:r>
          </w:p>
        </w:tc>
        <w:tc>
          <w:tcPr>
            <w:tcW w:w="5607" w:type="dxa"/>
            <w:tcMar>
              <w:top w:w="113" w:type="dxa"/>
              <w:bottom w:w="113" w:type="dxa"/>
            </w:tcMar>
          </w:tcPr>
          <w:p>
            <w:pPr>
              <w:rPr>
                <w:noProof/>
              </w:rPr>
            </w:pPr>
            <w:r>
              <w:rPr>
                <w:noProof/>
              </w:rPr>
              <w:t>standard cost model</w:t>
            </w:r>
          </w:p>
        </w:tc>
      </w:tr>
      <w:tr>
        <w:trPr>
          <w:trHeight w:val="20"/>
        </w:trPr>
        <w:tc>
          <w:tcPr>
            <w:tcW w:w="3227" w:type="dxa"/>
            <w:tcMar>
              <w:top w:w="113" w:type="dxa"/>
              <w:bottom w:w="113" w:type="dxa"/>
            </w:tcMar>
          </w:tcPr>
          <w:p>
            <w:pPr>
              <w:rPr>
                <w:noProof/>
              </w:rPr>
            </w:pPr>
            <w:r>
              <w:rPr>
                <w:noProof/>
              </w:rPr>
              <w:t>SEMIC</w:t>
            </w:r>
          </w:p>
        </w:tc>
        <w:tc>
          <w:tcPr>
            <w:tcW w:w="5607" w:type="dxa"/>
            <w:tcMar>
              <w:top w:w="113" w:type="dxa"/>
              <w:bottom w:w="113" w:type="dxa"/>
            </w:tcMar>
          </w:tcPr>
          <w:p>
            <w:pPr>
              <w:rPr>
                <w:noProof/>
              </w:rPr>
            </w:pPr>
            <w:r>
              <w:rPr>
                <w:noProof/>
              </w:rPr>
              <w:t>The ISA</w:t>
            </w:r>
            <w:r>
              <w:rPr>
                <w:noProof/>
                <w:vertAlign w:val="superscript"/>
              </w:rPr>
              <w:t>2</w:t>
            </w:r>
            <w:r>
              <w:rPr>
                <w:noProof/>
              </w:rPr>
              <w:t xml:space="preserve"> programme action that promotes semantic interoperability among EU Member States </w:t>
            </w:r>
          </w:p>
        </w:tc>
      </w:tr>
      <w:tr>
        <w:trPr>
          <w:trHeight w:val="20"/>
        </w:trPr>
        <w:tc>
          <w:tcPr>
            <w:tcW w:w="3227" w:type="dxa"/>
            <w:tcMar>
              <w:top w:w="113" w:type="dxa"/>
              <w:bottom w:w="113" w:type="dxa"/>
            </w:tcMar>
          </w:tcPr>
          <w:p>
            <w:pPr>
              <w:rPr>
                <w:noProof/>
              </w:rPr>
            </w:pPr>
            <w:r>
              <w:rPr>
                <w:noProof/>
              </w:rPr>
              <w:t>SPI</w:t>
            </w:r>
          </w:p>
        </w:tc>
        <w:tc>
          <w:tcPr>
            <w:tcW w:w="5607" w:type="dxa"/>
            <w:tcMar>
              <w:top w:w="113" w:type="dxa"/>
              <w:bottom w:w="113" w:type="dxa"/>
            </w:tcMar>
          </w:tcPr>
          <w:p>
            <w:pPr>
              <w:rPr>
                <w:noProof/>
              </w:rPr>
            </w:pPr>
            <w:r>
              <w:rPr>
                <w:noProof/>
              </w:rPr>
              <w:t>schedule performance index</w:t>
            </w:r>
          </w:p>
        </w:tc>
      </w:tr>
      <w:tr>
        <w:trPr>
          <w:trHeight w:val="20"/>
        </w:trPr>
        <w:tc>
          <w:tcPr>
            <w:tcW w:w="3227" w:type="dxa"/>
            <w:tcMar>
              <w:top w:w="113" w:type="dxa"/>
              <w:bottom w:w="113" w:type="dxa"/>
            </w:tcMar>
          </w:tcPr>
          <w:p>
            <w:pPr>
              <w:rPr>
                <w:noProof/>
              </w:rPr>
            </w:pPr>
            <w:r>
              <w:rPr>
                <w:noProof/>
              </w:rPr>
              <w:t>SRSP</w:t>
            </w:r>
          </w:p>
        </w:tc>
        <w:tc>
          <w:tcPr>
            <w:tcW w:w="5607" w:type="dxa"/>
            <w:tcMar>
              <w:top w:w="113" w:type="dxa"/>
              <w:bottom w:w="113" w:type="dxa"/>
            </w:tcMar>
          </w:tcPr>
          <w:p>
            <w:pPr>
              <w:rPr>
                <w:noProof/>
              </w:rPr>
            </w:pPr>
            <w:r>
              <w:rPr>
                <w:noProof/>
              </w:rPr>
              <w:t>Structural Reform Support Programme</w:t>
            </w:r>
          </w:p>
        </w:tc>
      </w:tr>
      <w:tr>
        <w:trPr>
          <w:trHeight w:val="20"/>
        </w:trPr>
        <w:tc>
          <w:tcPr>
            <w:tcW w:w="3227" w:type="dxa"/>
            <w:tcMar>
              <w:top w:w="113" w:type="dxa"/>
              <w:bottom w:w="113" w:type="dxa"/>
            </w:tcMar>
          </w:tcPr>
          <w:p>
            <w:pPr>
              <w:rPr>
                <w:noProof/>
              </w:rPr>
            </w:pPr>
            <w:r>
              <w:rPr>
                <w:noProof/>
              </w:rPr>
              <w:t>TOOP</w:t>
            </w:r>
          </w:p>
        </w:tc>
        <w:tc>
          <w:tcPr>
            <w:tcW w:w="5607" w:type="dxa"/>
            <w:tcMar>
              <w:top w:w="113" w:type="dxa"/>
              <w:bottom w:w="113" w:type="dxa"/>
            </w:tcMar>
          </w:tcPr>
          <w:p>
            <w:pPr>
              <w:rPr>
                <w:noProof/>
              </w:rPr>
            </w:pPr>
            <w:r>
              <w:rPr>
                <w:noProof/>
              </w:rPr>
              <w:t>the ‘once-only’ principle project, http://www.toop.eu/</w:t>
            </w:r>
          </w:p>
        </w:tc>
      </w:tr>
      <w:tr>
        <w:trPr>
          <w:trHeight w:val="20"/>
        </w:trPr>
        <w:tc>
          <w:tcPr>
            <w:tcW w:w="3227" w:type="dxa"/>
            <w:tcMar>
              <w:top w:w="113" w:type="dxa"/>
              <w:bottom w:w="113" w:type="dxa"/>
            </w:tcMar>
          </w:tcPr>
          <w:p>
            <w:pPr>
              <w:rPr>
                <w:noProof/>
              </w:rPr>
            </w:pPr>
            <w:r>
              <w:rPr>
                <w:noProof/>
              </w:rPr>
              <w:t>UNPAN</w:t>
            </w:r>
          </w:p>
        </w:tc>
        <w:tc>
          <w:tcPr>
            <w:tcW w:w="5607" w:type="dxa"/>
            <w:tcMar>
              <w:top w:w="113" w:type="dxa"/>
              <w:bottom w:w="113" w:type="dxa"/>
            </w:tcMar>
          </w:tcPr>
          <w:p>
            <w:pPr>
              <w:rPr>
                <w:noProof/>
              </w:rPr>
            </w:pPr>
            <w:r>
              <w:rPr>
                <w:noProof/>
              </w:rPr>
              <w:t>United Nations Public Administrations Network</w:t>
            </w:r>
          </w:p>
        </w:tc>
      </w:tr>
      <w:tr>
        <w:trPr>
          <w:trHeight w:val="20"/>
        </w:trPr>
        <w:tc>
          <w:tcPr>
            <w:tcW w:w="3227" w:type="dxa"/>
            <w:tcMar>
              <w:top w:w="113" w:type="dxa"/>
              <w:bottom w:w="113" w:type="dxa"/>
            </w:tcMar>
          </w:tcPr>
          <w:p>
            <w:pPr>
              <w:rPr>
                <w:noProof/>
              </w:rPr>
            </w:pPr>
            <w:r>
              <w:rPr>
                <w:noProof/>
              </w:rPr>
              <w:t>VIES</w:t>
            </w:r>
          </w:p>
        </w:tc>
        <w:tc>
          <w:tcPr>
            <w:tcW w:w="5607" w:type="dxa"/>
            <w:tcMar>
              <w:top w:w="113" w:type="dxa"/>
              <w:bottom w:w="113" w:type="dxa"/>
            </w:tcMar>
          </w:tcPr>
          <w:p>
            <w:pPr>
              <w:rPr>
                <w:noProof/>
              </w:rPr>
            </w:pPr>
            <w:r>
              <w:rPr>
                <w:noProof/>
              </w:rPr>
              <w:t>Value Added Tax Information Exchange System</w:t>
            </w:r>
          </w:p>
        </w:tc>
      </w:tr>
      <w:tr>
        <w:trPr>
          <w:trHeight w:val="20"/>
        </w:trPr>
        <w:tc>
          <w:tcPr>
            <w:tcW w:w="3227" w:type="dxa"/>
            <w:tcMar>
              <w:top w:w="113" w:type="dxa"/>
              <w:bottom w:w="113" w:type="dxa"/>
            </w:tcMar>
          </w:tcPr>
          <w:p>
            <w:pPr>
              <w:rPr>
                <w:noProof/>
              </w:rPr>
            </w:pPr>
            <w:r>
              <w:rPr>
                <w:noProof/>
              </w:rPr>
              <w:t>W3C</w:t>
            </w:r>
          </w:p>
        </w:tc>
        <w:tc>
          <w:tcPr>
            <w:tcW w:w="5607" w:type="dxa"/>
            <w:tcMar>
              <w:top w:w="113" w:type="dxa"/>
              <w:bottom w:w="113" w:type="dxa"/>
            </w:tcMar>
          </w:tcPr>
          <w:p>
            <w:pPr>
              <w:rPr>
                <w:noProof/>
              </w:rPr>
            </w:pPr>
            <w:r>
              <w:rPr>
                <w:noProof/>
              </w:rPr>
              <w:t>World Wide Web Consortium</w:t>
            </w:r>
          </w:p>
        </w:tc>
      </w:tr>
    </w:tbl>
    <w:p>
      <w:pPr>
        <w:rPr>
          <w:rFonts w:cs="Times New Roman"/>
          <w:noProof/>
        </w:rPr>
        <w:sectPr>
          <w:headerReference w:type="even" r:id="rId30"/>
          <w:headerReference w:type="default" r:id="rId31"/>
          <w:footerReference w:type="even" r:id="rId32"/>
          <w:footerReference w:type="default" r:id="rId33"/>
          <w:headerReference w:type="first" r:id="rId34"/>
          <w:footerReference w:type="first" r:id="rId35"/>
          <w:pgSz w:w="11906" w:h="16838"/>
          <w:pgMar w:top="1020" w:right="1701" w:bottom="1020" w:left="1587" w:header="601" w:footer="1077" w:gutter="0"/>
          <w:cols w:space="720"/>
          <w:titlePg/>
        </w:sectPr>
      </w:pPr>
    </w:p>
    <w:p>
      <w:pPr>
        <w:pStyle w:val="Heading1"/>
        <w:rPr>
          <w:noProof/>
        </w:rPr>
      </w:pPr>
      <w:bookmarkStart w:id="2" w:name="_Toc14708126"/>
      <w:r>
        <w:rPr>
          <w:noProof/>
        </w:rPr>
        <w:t>Introduction</w:t>
      </w:r>
      <w:bookmarkEnd w:id="2"/>
    </w:p>
    <w:p>
      <w:pPr>
        <w:pStyle w:val="Heading2"/>
        <w:rPr>
          <w:noProof/>
        </w:rPr>
      </w:pPr>
      <w:bookmarkStart w:id="3" w:name="_Toc14708127"/>
      <w:r>
        <w:rPr>
          <w:noProof/>
        </w:rPr>
        <w:t>Purpose and scope</w:t>
      </w:r>
      <w:bookmarkEnd w:id="3"/>
    </w:p>
    <w:p>
      <w:pPr>
        <w:jc w:val="both"/>
        <w:rPr>
          <w:rFonts w:cs="Times New Roman"/>
          <w:noProof/>
          <w:szCs w:val="24"/>
          <w:lang w:val="en-GB"/>
        </w:rPr>
      </w:pPr>
      <w:hyperlink r:id="rId36" w:history="1">
        <w:r>
          <w:rPr>
            <w:rStyle w:val="Hyperlink"/>
            <w:rFonts w:cs="Times New Roman"/>
            <w:noProof/>
            <w:lang w:val="en-GB"/>
          </w:rPr>
          <w:t>ISA</w:t>
        </w:r>
        <w:r>
          <w:rPr>
            <w:rStyle w:val="Hyperlink"/>
            <w:rFonts w:cs="Times New Roman"/>
            <w:noProof/>
            <w:vertAlign w:val="superscript"/>
            <w:lang w:val="en-GB"/>
          </w:rPr>
          <w:t>2</w:t>
        </w:r>
      </w:hyperlink>
      <w:r>
        <w:rPr>
          <w:rFonts w:cs="Times New Roman"/>
          <w:noProof/>
          <w:szCs w:val="24"/>
          <w:lang w:val="en-GB"/>
        </w:rPr>
        <w:t xml:space="preserve"> (interoperability solutions for European public administrations, businesses and citizens) is an EU programme that supports the development of digital solutions and common frameworks that enable public administrations, businesses and citizens in Europe to benefit from</w:t>
      </w:r>
      <w:r>
        <w:rPr>
          <w:rFonts w:cs="Times New Roman"/>
          <w:b/>
          <w:noProof/>
          <w:szCs w:val="24"/>
          <w:lang w:val="en-GB"/>
        </w:rPr>
        <w:t xml:space="preserve"> </w:t>
      </w:r>
      <w:r>
        <w:rPr>
          <w:rFonts w:cs="Times New Roman"/>
          <w:b/>
          <w:bCs/>
          <w:noProof/>
          <w:szCs w:val="24"/>
          <w:lang w:val="en-GB"/>
        </w:rPr>
        <w:t>interoperable cross-border and cross-sector public services</w:t>
      </w:r>
      <w:r>
        <w:rPr>
          <w:rFonts w:cs="Times New Roman"/>
          <w:noProof/>
          <w:szCs w:val="24"/>
          <w:lang w:val="en-GB"/>
        </w:rPr>
        <w:t>.</w:t>
      </w:r>
    </w:p>
    <w:p>
      <w:pPr>
        <w:jc w:val="both"/>
        <w:rPr>
          <w:rFonts w:cs="Times New Roman"/>
          <w:noProof/>
          <w:szCs w:val="24"/>
          <w:lang w:val="en-GB"/>
        </w:rPr>
      </w:pPr>
      <w:r>
        <w:rPr>
          <w:rFonts w:cs="Times New Roman"/>
          <w:noProof/>
          <w:szCs w:val="24"/>
          <w:lang w:val="en-GB"/>
        </w:rPr>
        <w:t xml:space="preserve">The programme’s primary beneficiaries are </w:t>
      </w:r>
      <w:r>
        <w:rPr>
          <w:rFonts w:cs="Times New Roman"/>
          <w:b/>
          <w:noProof/>
          <w:szCs w:val="24"/>
          <w:lang w:val="en-GB"/>
        </w:rPr>
        <w:t>European public administrations</w:t>
      </w:r>
      <w:r>
        <w:rPr>
          <w:rFonts w:cs="Times New Roman"/>
          <w:noProof/>
          <w:szCs w:val="24"/>
          <w:lang w:val="en-GB"/>
        </w:rPr>
        <w:t xml:space="preserve"> </w:t>
      </w:r>
      <w:r>
        <w:rPr>
          <w:rFonts w:cs="Times New Roman"/>
          <w:b/>
          <w:noProof/>
          <w:szCs w:val="24"/>
          <w:lang w:val="en-GB"/>
        </w:rPr>
        <w:t xml:space="preserve">at all levels - EU, national, regional and local levels </w:t>
      </w:r>
      <w:r>
        <w:rPr>
          <w:rFonts w:cs="Times New Roman"/>
          <w:noProof/>
          <w:szCs w:val="24"/>
          <w:lang w:val="en-GB"/>
        </w:rPr>
        <w:t>- by reusing the solutions offered by ISA</w:t>
      </w:r>
      <w:r>
        <w:rPr>
          <w:rFonts w:cs="Times New Roman"/>
          <w:noProof/>
          <w:szCs w:val="24"/>
          <w:vertAlign w:val="superscript"/>
          <w:lang w:val="en-GB"/>
        </w:rPr>
        <w:t>2</w:t>
      </w:r>
      <w:r>
        <w:rPr>
          <w:rFonts w:cs="Times New Roman"/>
          <w:noProof/>
          <w:szCs w:val="24"/>
          <w:lang w:val="en-GB"/>
        </w:rPr>
        <w:t xml:space="preserve"> they can provide better – more interoperable, user-centric and digital – public services. However, the programme also benefits a wider group of stakeholders, including </w:t>
      </w:r>
      <w:r>
        <w:rPr>
          <w:rFonts w:cs="Times New Roman"/>
          <w:b/>
          <w:noProof/>
          <w:szCs w:val="24"/>
          <w:lang w:val="en-GB"/>
        </w:rPr>
        <w:t>EU businesses and citizens</w:t>
      </w:r>
      <w:r>
        <w:rPr>
          <w:rFonts w:cs="Times New Roman"/>
          <w:noProof/>
          <w:szCs w:val="24"/>
          <w:lang w:val="en-GB"/>
        </w:rPr>
        <w:t>.</w:t>
      </w:r>
    </w:p>
    <w:p>
      <w:pPr>
        <w:jc w:val="both"/>
        <w:rPr>
          <w:rFonts w:cs="Times New Roman"/>
          <w:noProof/>
          <w:szCs w:val="24"/>
          <w:lang w:val="en-GB"/>
        </w:rPr>
      </w:pPr>
      <w:r>
        <w:rPr>
          <w:rFonts w:cs="Times New Roman"/>
          <w:noProof/>
          <w:szCs w:val="24"/>
          <w:lang w:val="en-GB"/>
        </w:rPr>
        <w:t>ISA</w:t>
      </w:r>
      <w:r>
        <w:rPr>
          <w:rFonts w:cs="Times New Roman"/>
          <w:noProof/>
          <w:szCs w:val="24"/>
          <w:vertAlign w:val="superscript"/>
          <w:lang w:val="en-GB"/>
        </w:rPr>
        <w:t>2</w:t>
      </w:r>
      <w:r>
        <w:rPr>
          <w:rFonts w:cs="Times New Roman"/>
          <w:noProof/>
          <w:szCs w:val="24"/>
          <w:lang w:val="en-GB"/>
        </w:rPr>
        <w:t xml:space="preserve"> is open to EU Member States, other countries of the European Economic Area and candidate countries. In addition to the 28 EU Member States, three other countries take part in the programme: Iceland, Norway (since 2016) and Montenegro (since 2018). The programme encourages cooperation with other non-EU countries and with international organisations and bodies.</w:t>
      </w:r>
    </w:p>
    <w:p>
      <w:pPr>
        <w:jc w:val="both"/>
        <w:rPr>
          <w:rFonts w:cs="Times New Roman"/>
          <w:noProof/>
          <w:szCs w:val="24"/>
          <w:lang w:val="en-GB"/>
        </w:rPr>
      </w:pPr>
      <w:r>
        <w:rPr>
          <w:rFonts w:cs="Times New Roman"/>
          <w:noProof/>
          <w:szCs w:val="24"/>
          <w:lang w:val="en-GB"/>
        </w:rPr>
        <w:t>The ISA</w:t>
      </w:r>
      <w:r>
        <w:rPr>
          <w:rFonts w:cs="Times New Roman"/>
          <w:noProof/>
          <w:szCs w:val="24"/>
          <w:vertAlign w:val="superscript"/>
          <w:lang w:val="en-GB"/>
        </w:rPr>
        <w:t>2</w:t>
      </w:r>
      <w:r>
        <w:rPr>
          <w:rFonts w:cs="Times New Roman"/>
          <w:noProof/>
          <w:szCs w:val="24"/>
          <w:lang w:val="en-GB"/>
        </w:rPr>
        <w:t xml:space="preserve"> programme — established by the </w:t>
      </w:r>
      <w:hyperlink r:id="rId37" w:history="1">
        <w:r>
          <w:rPr>
            <w:rStyle w:val="Hyperlink"/>
            <w:rFonts w:cs="Times New Roman"/>
            <w:noProof/>
            <w:szCs w:val="24"/>
            <w:lang w:val="en-GB"/>
          </w:rPr>
          <w:t>ISA</w:t>
        </w:r>
        <w:r>
          <w:rPr>
            <w:rStyle w:val="Hyperlink"/>
            <w:rFonts w:cs="Times New Roman"/>
            <w:noProof/>
            <w:szCs w:val="24"/>
            <w:vertAlign w:val="superscript"/>
            <w:lang w:val="en-GB"/>
          </w:rPr>
          <w:t>2</w:t>
        </w:r>
        <w:r>
          <w:rPr>
            <w:rStyle w:val="Hyperlink"/>
            <w:rFonts w:cs="Times New Roman"/>
            <w:noProof/>
            <w:szCs w:val="24"/>
            <w:lang w:val="en-GB"/>
          </w:rPr>
          <w:t xml:space="preserve"> Decision</w:t>
        </w:r>
      </w:hyperlink>
      <w:r>
        <w:rPr>
          <w:rStyle w:val="FootnoteReference"/>
          <w:noProof/>
        </w:rPr>
        <w:footnoteReference w:id="2"/>
      </w:r>
      <w:r>
        <w:rPr>
          <w:rFonts w:cs="Times New Roman"/>
          <w:noProof/>
          <w:szCs w:val="24"/>
          <w:lang w:val="en-GB"/>
        </w:rPr>
        <w:t xml:space="preserve"> — has a </w:t>
      </w:r>
      <w:r>
        <w:rPr>
          <w:rFonts w:cs="Times New Roman"/>
          <w:b/>
          <w:noProof/>
          <w:szCs w:val="24"/>
          <w:lang w:val="en-GB"/>
        </w:rPr>
        <w:t>budget of €130.9 million</w:t>
      </w:r>
      <w:r>
        <w:rPr>
          <w:rFonts w:cs="Times New Roman"/>
          <w:noProof/>
          <w:szCs w:val="24"/>
          <w:lang w:val="en-GB"/>
        </w:rPr>
        <w:t xml:space="preserve"> and </w:t>
      </w:r>
      <w:r>
        <w:rPr>
          <w:rFonts w:cs="Times New Roman"/>
          <w:b/>
          <w:noProof/>
          <w:szCs w:val="24"/>
          <w:lang w:val="en-GB"/>
        </w:rPr>
        <w:t>runs for</w:t>
      </w:r>
      <w:r>
        <w:rPr>
          <w:rFonts w:cs="Times New Roman"/>
          <w:noProof/>
          <w:szCs w:val="24"/>
          <w:lang w:val="en-GB"/>
        </w:rPr>
        <w:t xml:space="preserve"> </w:t>
      </w:r>
      <w:r>
        <w:rPr>
          <w:rFonts w:cs="Times New Roman"/>
          <w:b/>
          <w:noProof/>
          <w:szCs w:val="24"/>
          <w:lang w:val="en-GB"/>
        </w:rPr>
        <w:t>five years</w:t>
      </w:r>
      <w:r>
        <w:rPr>
          <w:rFonts w:cs="Times New Roman"/>
          <w:noProof/>
          <w:szCs w:val="24"/>
          <w:lang w:val="en-GB"/>
        </w:rPr>
        <w:t xml:space="preserve"> from 1 January 2016 until 31 December 2020. In line with Article 13(3) of the ISA</w:t>
      </w:r>
      <w:r>
        <w:rPr>
          <w:rFonts w:cs="Times New Roman"/>
          <w:noProof/>
          <w:szCs w:val="24"/>
          <w:vertAlign w:val="superscript"/>
          <w:lang w:val="en-GB"/>
        </w:rPr>
        <w:t>2</w:t>
      </w:r>
      <w:r>
        <w:rPr>
          <w:rFonts w:cs="Times New Roman"/>
          <w:noProof/>
          <w:szCs w:val="24"/>
          <w:lang w:val="en-GB"/>
        </w:rPr>
        <w:t xml:space="preserve"> decision, </w:t>
      </w:r>
      <w:r>
        <w:rPr>
          <w:rFonts w:cs="Times New Roman"/>
          <w:b/>
          <w:noProof/>
          <w:szCs w:val="24"/>
          <w:lang w:val="en-GB"/>
        </w:rPr>
        <w:t>the Commission must carry out an interim evaluation of the ISA</w:t>
      </w:r>
      <w:r>
        <w:rPr>
          <w:rFonts w:cs="Times New Roman"/>
          <w:b/>
          <w:noProof/>
          <w:szCs w:val="24"/>
          <w:vertAlign w:val="superscript"/>
          <w:lang w:val="en-GB"/>
        </w:rPr>
        <w:t>2</w:t>
      </w:r>
      <w:r>
        <w:rPr>
          <w:rFonts w:cs="Times New Roman"/>
          <w:b/>
          <w:noProof/>
          <w:szCs w:val="24"/>
          <w:lang w:val="en-GB"/>
        </w:rPr>
        <w:t xml:space="preserve"> programme by 30 September 2019</w:t>
      </w:r>
      <w:r>
        <w:rPr>
          <w:rFonts w:cs="Times New Roman"/>
          <w:noProof/>
          <w:szCs w:val="24"/>
          <w:lang w:val="en-GB"/>
        </w:rPr>
        <w:t>. Besides fulfilling this legal obligation, the evaluation aims to improve the implementation of ISA</w:t>
      </w:r>
      <w:r>
        <w:rPr>
          <w:rFonts w:cs="Times New Roman"/>
          <w:noProof/>
          <w:szCs w:val="24"/>
          <w:vertAlign w:val="superscript"/>
          <w:lang w:val="en-GB"/>
        </w:rPr>
        <w:t>2</w:t>
      </w:r>
      <w:r>
        <w:rPr>
          <w:rFonts w:cs="Times New Roman"/>
          <w:noProof/>
          <w:szCs w:val="24"/>
          <w:lang w:val="en-GB"/>
        </w:rPr>
        <w:t xml:space="preserve"> and any of its successor programmes.</w:t>
      </w:r>
    </w:p>
    <w:p>
      <w:pPr>
        <w:jc w:val="both"/>
        <w:rPr>
          <w:rFonts w:cs="Times New Roman"/>
          <w:noProof/>
          <w:szCs w:val="24"/>
          <w:lang w:val="en-GB"/>
        </w:rPr>
      </w:pPr>
      <w:r>
        <w:rPr>
          <w:rFonts w:cs="Times New Roman"/>
          <w:noProof/>
          <w:szCs w:val="24"/>
          <w:lang w:val="en-GB"/>
        </w:rPr>
        <w:t>The evaluation covers ISA</w:t>
      </w:r>
      <w:r>
        <w:rPr>
          <w:rFonts w:cs="Times New Roman"/>
          <w:noProof/>
          <w:szCs w:val="24"/>
          <w:vertAlign w:val="superscript"/>
          <w:lang w:val="en-GB"/>
        </w:rPr>
        <w:t>2</w:t>
      </w:r>
      <w:r>
        <w:rPr>
          <w:rFonts w:cs="Times New Roman"/>
          <w:noProof/>
          <w:szCs w:val="24"/>
          <w:lang w:val="en-GB"/>
        </w:rPr>
        <w:t xml:space="preserve"> activities from the programme’s start until the third quarter of 2018 in all participating countries. The evaluation framework builds on the five evaluation criteria stemming from the </w:t>
      </w:r>
      <w:hyperlink r:id="rId38" w:history="1">
        <w:r>
          <w:rPr>
            <w:rStyle w:val="Hyperlink"/>
            <w:rFonts w:cs="Times New Roman"/>
            <w:noProof/>
            <w:szCs w:val="24"/>
            <w:lang w:val="en-GB"/>
          </w:rPr>
          <w:t>Commission’s better regulation</w:t>
        </w:r>
      </w:hyperlink>
      <w:r>
        <w:rPr>
          <w:rFonts w:cs="Times New Roman"/>
          <w:noProof/>
          <w:szCs w:val="24"/>
          <w:lang w:val="en-GB"/>
        </w:rPr>
        <w:t xml:space="preserve"> requirements: relevance, effectiveness, efficiency, EU added value and coherence. As shown in </w:t>
      </w:r>
      <w:r>
        <w:rPr>
          <w:rFonts w:cs="Times New Roman"/>
          <w:noProof/>
          <w:szCs w:val="24"/>
        </w:rPr>
        <w:fldChar w:fldCharType="begin"/>
      </w:r>
      <w:r>
        <w:rPr>
          <w:rFonts w:cs="Times New Roman"/>
          <w:noProof/>
          <w:szCs w:val="24"/>
          <w:lang w:val="en-GB"/>
        </w:rPr>
        <w:instrText xml:space="preserve"> REF _Ref9333370 \h  \* MERGEFORMAT </w:instrText>
      </w:r>
      <w:r>
        <w:rPr>
          <w:rFonts w:cs="Times New Roman"/>
          <w:noProof/>
          <w:szCs w:val="24"/>
        </w:rPr>
      </w:r>
      <w:r>
        <w:rPr>
          <w:rFonts w:cs="Times New Roman"/>
          <w:noProof/>
          <w:szCs w:val="24"/>
        </w:rPr>
        <w:fldChar w:fldCharType="separate"/>
      </w:r>
      <w:r>
        <w:rPr>
          <w:rFonts w:cs="Times New Roman"/>
          <w:noProof/>
          <w:lang w:val="en-GB"/>
        </w:rPr>
        <w:t>Box 1</w:t>
      </w:r>
      <w:r>
        <w:rPr>
          <w:rFonts w:cs="Times New Roman"/>
          <w:noProof/>
          <w:szCs w:val="24"/>
        </w:rPr>
        <w:fldChar w:fldCharType="end"/>
      </w:r>
      <w:r>
        <w:rPr>
          <w:rFonts w:cs="Times New Roman"/>
          <w:noProof/>
          <w:szCs w:val="24"/>
          <w:lang w:val="en-GB"/>
        </w:rPr>
        <w:t>, it also addresses utility and sustainability in line with the ISA</w:t>
      </w:r>
      <w:r>
        <w:rPr>
          <w:rFonts w:cs="Times New Roman"/>
          <w:noProof/>
          <w:szCs w:val="24"/>
          <w:vertAlign w:val="superscript"/>
          <w:lang w:val="en-GB"/>
        </w:rPr>
        <w:t>2</w:t>
      </w:r>
      <w:r>
        <w:rPr>
          <w:rFonts w:cs="Times New Roman"/>
          <w:noProof/>
          <w:szCs w:val="24"/>
          <w:lang w:val="en-GB"/>
        </w:rPr>
        <w:t xml:space="preserve"> Decision.</w:t>
      </w:r>
    </w:p>
    <w:p>
      <w:pPr>
        <w:rPr>
          <w:rFonts w:cs="Times New Roman"/>
          <w:b/>
          <w:bCs/>
          <w:iCs/>
          <w:noProof/>
          <w:szCs w:val="24"/>
          <w:lang w:val="en-GB"/>
        </w:rPr>
      </w:pPr>
      <w:r>
        <w:rPr>
          <w:rFonts w:cs="Times New Roman"/>
          <w:b/>
          <w:bCs/>
          <w:iCs/>
          <w:noProof/>
          <w:szCs w:val="24"/>
          <w:lang w:val="en-GB"/>
        </w:rPr>
        <w:br w:type="page"/>
      </w: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1</w:t>
      </w:r>
      <w:r>
        <w:rPr>
          <w:rFonts w:cs="Times New Roman"/>
          <w:noProof/>
        </w:rPr>
        <w:fldChar w:fldCharType="end"/>
      </w:r>
      <w:r>
        <w:rPr>
          <w:rFonts w:cs="Times New Roman"/>
          <w:noProof/>
        </w:rPr>
        <w:t>: Evaluation framework</w:t>
      </w:r>
    </w:p>
    <w:tbl>
      <w:tblPr>
        <w:tblW w:w="0" w:type="auto"/>
        <w:tblLook w:val="04A0" w:firstRow="1" w:lastRow="0" w:firstColumn="1" w:lastColumn="0" w:noHBand="0" w:noVBand="1"/>
      </w:tblPr>
      <w:tblGrid>
        <w:gridCol w:w="8834"/>
      </w:tblGrid>
      <w:tr>
        <w:tc>
          <w:tcPr>
            <w:tcW w:w="901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pPr>
              <w:spacing w:after="120" w:line="240" w:lineRule="auto"/>
              <w:jc w:val="both"/>
              <w:rPr>
                <w:rFonts w:cs="Times New Roman"/>
                <w:noProof/>
                <w:sz w:val="22"/>
                <w:szCs w:val="24"/>
                <w:lang w:val="en-GB"/>
              </w:rPr>
            </w:pPr>
            <w:r>
              <w:rPr>
                <w:rFonts w:cs="Times New Roman"/>
                <w:noProof/>
                <w:sz w:val="22"/>
                <w:szCs w:val="24"/>
                <w:lang w:val="en-GB"/>
              </w:rPr>
              <w:t>The evaluation was based on an evaluation framework composed of seven evaluation criteria and 10 evaluation questions (EQs). The evaluation criteria and the EQs are summarised below:</w:t>
            </w:r>
          </w:p>
          <w:p>
            <w:pPr>
              <w:spacing w:after="120" w:line="240" w:lineRule="auto"/>
              <w:jc w:val="both"/>
              <w:rPr>
                <w:rFonts w:cs="Times New Roman"/>
                <w:noProof/>
                <w:sz w:val="22"/>
                <w:szCs w:val="24"/>
                <w:lang w:val="en-GB"/>
              </w:rPr>
            </w:pPr>
            <w:hyperlink w:anchor="_Relevance" w:history="1">
              <w:r>
                <w:rPr>
                  <w:rStyle w:val="Hyperlink"/>
                  <w:rFonts w:cs="Times New Roman"/>
                  <w:b/>
                  <w:noProof/>
                  <w:sz w:val="22"/>
                  <w:szCs w:val="24"/>
                  <w:lang w:val="en-GB"/>
                </w:rPr>
                <w:t>Relevance</w:t>
              </w:r>
            </w:hyperlink>
            <w:r>
              <w:rPr>
                <w:rFonts w:cs="Times New Roman"/>
                <w:noProof/>
                <w:sz w:val="22"/>
                <w:szCs w:val="24"/>
                <w:lang w:val="en-GB"/>
              </w:rPr>
              <w:t xml:space="preserve"> refers to the alignment between the programme's objectives and the evolving needs and problems experienced by stakeholders.</w:t>
            </w:r>
          </w:p>
          <w:p>
            <w:pPr>
              <w:spacing w:after="120" w:line="240" w:lineRule="auto"/>
              <w:ind w:left="720"/>
              <w:jc w:val="both"/>
              <w:rPr>
                <w:rFonts w:cs="Times New Roman"/>
                <w:noProof/>
                <w:sz w:val="22"/>
                <w:szCs w:val="24"/>
                <w:lang w:val="en-GB"/>
              </w:rPr>
            </w:pPr>
            <w:r>
              <w:rPr>
                <w:rFonts w:cs="Times New Roman"/>
                <w:b/>
                <w:noProof/>
                <w:sz w:val="22"/>
                <w:szCs w:val="24"/>
                <w:lang w:val="en-GB"/>
              </w:rPr>
              <w:t>EQ1</w:t>
            </w:r>
            <w:r>
              <w:rPr>
                <w:rFonts w:cs="Times New Roman"/>
                <w:noProof/>
                <w:sz w:val="22"/>
                <w:szCs w:val="24"/>
                <w:lang w:val="en-GB"/>
              </w:rPr>
              <w:t>: To what extent are the objectives of the ISA² programme still pertinent in relation to the evolving needs and problems at both national and EU levels?</w:t>
            </w:r>
          </w:p>
          <w:p>
            <w:pPr>
              <w:spacing w:after="120" w:line="240" w:lineRule="auto"/>
              <w:jc w:val="both"/>
              <w:rPr>
                <w:rFonts w:cs="Times New Roman"/>
                <w:noProof/>
                <w:sz w:val="22"/>
                <w:szCs w:val="24"/>
                <w:lang w:val="en-GB"/>
              </w:rPr>
            </w:pPr>
            <w:hyperlink w:anchor="_Effectiveness" w:history="1">
              <w:r>
                <w:rPr>
                  <w:rStyle w:val="Hyperlink"/>
                  <w:rFonts w:cs="Times New Roman"/>
                  <w:b/>
                  <w:noProof/>
                  <w:sz w:val="22"/>
                  <w:szCs w:val="24"/>
                  <w:lang w:val="en-GB"/>
                </w:rPr>
                <w:t>Effectiveness</w:t>
              </w:r>
            </w:hyperlink>
            <w:r>
              <w:rPr>
                <w:rFonts w:cs="Times New Roman"/>
                <w:noProof/>
                <w:sz w:val="22"/>
                <w:szCs w:val="24"/>
                <w:lang w:val="en-GB"/>
              </w:rPr>
              <w:t xml:space="preserve"> focuses on the extent to which the ISA² programme has achieved the objectives it intended to achieve, and generated the results it intended to produce.</w:t>
            </w:r>
          </w:p>
          <w:p>
            <w:pPr>
              <w:spacing w:after="120" w:line="240" w:lineRule="auto"/>
              <w:ind w:left="720"/>
              <w:jc w:val="both"/>
              <w:rPr>
                <w:rFonts w:cs="Times New Roman"/>
                <w:noProof/>
                <w:sz w:val="22"/>
                <w:szCs w:val="24"/>
                <w:lang w:val="en-GB"/>
              </w:rPr>
            </w:pPr>
            <w:r>
              <w:rPr>
                <w:rFonts w:cs="Times New Roman"/>
                <w:b/>
                <w:noProof/>
                <w:sz w:val="22"/>
                <w:szCs w:val="24"/>
                <w:lang w:val="en-GB"/>
              </w:rPr>
              <w:t>EQ2</w:t>
            </w:r>
            <w:r>
              <w:rPr>
                <w:rFonts w:cs="Times New Roman"/>
                <w:noProof/>
                <w:sz w:val="22"/>
                <w:szCs w:val="24"/>
                <w:lang w:val="en-GB"/>
              </w:rPr>
              <w:t>: How far are the ISA² programme’s results in the process of achieving the programme’s objectives?</w:t>
            </w:r>
          </w:p>
          <w:p>
            <w:pPr>
              <w:spacing w:after="120" w:line="240" w:lineRule="auto"/>
              <w:ind w:left="720"/>
              <w:jc w:val="both"/>
              <w:rPr>
                <w:rFonts w:cs="Times New Roman"/>
                <w:noProof/>
                <w:sz w:val="22"/>
                <w:szCs w:val="24"/>
                <w:lang w:val="en-GB"/>
              </w:rPr>
            </w:pPr>
            <w:r>
              <w:rPr>
                <w:rFonts w:cs="Times New Roman"/>
                <w:b/>
                <w:noProof/>
                <w:sz w:val="22"/>
                <w:szCs w:val="24"/>
                <w:lang w:val="en-GB"/>
              </w:rPr>
              <w:t>EQ3</w:t>
            </w:r>
            <w:r>
              <w:rPr>
                <w:rFonts w:cs="Times New Roman"/>
                <w:noProof/>
                <w:sz w:val="22"/>
                <w:szCs w:val="24"/>
                <w:lang w:val="en-GB"/>
              </w:rPr>
              <w:t>: Are there aspects that are more or less effective than others are, and if so, what lessons can be drawn from this?</w:t>
            </w:r>
          </w:p>
          <w:p>
            <w:pPr>
              <w:spacing w:after="120" w:line="240" w:lineRule="auto"/>
              <w:jc w:val="both"/>
              <w:rPr>
                <w:rFonts w:cs="Times New Roman"/>
                <w:noProof/>
                <w:sz w:val="22"/>
                <w:szCs w:val="24"/>
                <w:lang w:val="en-GB"/>
              </w:rPr>
            </w:pPr>
            <w:hyperlink w:anchor="_Efficiency" w:history="1">
              <w:r>
                <w:rPr>
                  <w:rStyle w:val="Hyperlink"/>
                  <w:rFonts w:cs="Times New Roman"/>
                  <w:b/>
                  <w:noProof/>
                  <w:sz w:val="22"/>
                  <w:szCs w:val="24"/>
                  <w:lang w:val="en-GB"/>
                </w:rPr>
                <w:t>Efficiency</w:t>
              </w:r>
            </w:hyperlink>
            <w:r>
              <w:rPr>
                <w:rFonts w:cs="Times New Roman"/>
                <w:noProof/>
                <w:sz w:val="22"/>
                <w:szCs w:val="24"/>
                <w:lang w:val="en-GB"/>
              </w:rPr>
              <w:t xml:space="preserve"> concerns the minimisation of costs borne by various stakeholders in achieving the objectives/results identified under the ‘effectiveness’ criterion.</w:t>
            </w:r>
          </w:p>
          <w:p>
            <w:pPr>
              <w:spacing w:after="120" w:line="240" w:lineRule="auto"/>
              <w:ind w:left="720"/>
              <w:jc w:val="both"/>
              <w:rPr>
                <w:rFonts w:cs="Times New Roman"/>
                <w:noProof/>
                <w:sz w:val="22"/>
                <w:szCs w:val="24"/>
                <w:lang w:val="en-GB"/>
              </w:rPr>
            </w:pPr>
            <w:r>
              <w:rPr>
                <w:rFonts w:cs="Times New Roman"/>
                <w:b/>
                <w:noProof/>
                <w:sz w:val="22"/>
                <w:szCs w:val="24"/>
                <w:lang w:val="en-GB"/>
              </w:rPr>
              <w:t>EQ.4</w:t>
            </w:r>
            <w:r>
              <w:rPr>
                <w:rFonts w:cs="Times New Roman"/>
                <w:noProof/>
                <w:sz w:val="22"/>
                <w:szCs w:val="24"/>
                <w:lang w:val="en-GB"/>
              </w:rPr>
              <w:t>: To what extent has the programme been cost-effective?</w:t>
            </w:r>
          </w:p>
          <w:p>
            <w:pPr>
              <w:spacing w:after="120" w:line="240" w:lineRule="auto"/>
              <w:ind w:left="720"/>
              <w:jc w:val="both"/>
              <w:rPr>
                <w:rFonts w:cs="Times New Roman"/>
                <w:noProof/>
                <w:sz w:val="22"/>
                <w:szCs w:val="24"/>
                <w:lang w:val="en-GB"/>
              </w:rPr>
            </w:pPr>
            <w:r>
              <w:rPr>
                <w:rFonts w:cs="Times New Roman"/>
                <w:b/>
                <w:noProof/>
                <w:sz w:val="22"/>
                <w:szCs w:val="24"/>
                <w:lang w:val="en-GB"/>
              </w:rPr>
              <w:t>EQ.5</w:t>
            </w:r>
            <w:r>
              <w:rPr>
                <w:rFonts w:cs="Times New Roman"/>
                <w:noProof/>
                <w:sz w:val="22"/>
                <w:szCs w:val="24"/>
                <w:lang w:val="en-GB"/>
              </w:rPr>
              <w:t>: Which aspects of the programme are the most efficient or inefficient, especially in terms of resources mobilised?</w:t>
            </w:r>
          </w:p>
          <w:p>
            <w:pPr>
              <w:spacing w:after="120" w:line="240" w:lineRule="auto"/>
              <w:ind w:left="1440"/>
              <w:jc w:val="both"/>
              <w:rPr>
                <w:rFonts w:cs="Times New Roman"/>
                <w:noProof/>
                <w:sz w:val="22"/>
                <w:szCs w:val="24"/>
                <w:lang w:val="en-GB"/>
              </w:rPr>
            </w:pPr>
            <w:r>
              <w:rPr>
                <w:rFonts w:cs="Times New Roman"/>
                <w:noProof/>
                <w:sz w:val="22"/>
                <w:szCs w:val="24"/>
                <w:lang w:val="en-GB"/>
              </w:rPr>
              <w:t>EQ5.1: How is the programme performing relative to the planned work and budget?</w:t>
            </w:r>
          </w:p>
          <w:p>
            <w:pPr>
              <w:spacing w:after="120" w:line="240" w:lineRule="auto"/>
              <w:jc w:val="both"/>
              <w:rPr>
                <w:rFonts w:cs="Times New Roman"/>
                <w:noProof/>
                <w:sz w:val="22"/>
                <w:szCs w:val="24"/>
                <w:lang w:val="en-GB"/>
              </w:rPr>
            </w:pPr>
            <w:hyperlink w:anchor="_Coherence" w:history="1">
              <w:r>
                <w:rPr>
                  <w:rStyle w:val="Hyperlink"/>
                  <w:rFonts w:cs="Times New Roman"/>
                  <w:b/>
                  <w:noProof/>
                  <w:sz w:val="22"/>
                  <w:szCs w:val="24"/>
                  <w:lang w:val="en-GB"/>
                </w:rPr>
                <w:t>Coherence</w:t>
              </w:r>
            </w:hyperlink>
            <w:r>
              <w:rPr>
                <w:rFonts w:cs="Times New Roman"/>
                <w:noProof/>
                <w:sz w:val="22"/>
                <w:szCs w:val="24"/>
                <w:lang w:val="en-GB"/>
              </w:rPr>
              <w:t xml:space="preserve"> is a measure of the degree to which the actions supported by the ISA² programme are consistent with each other (internal coherence) and with the EU policy framework at large and relevant global initiatives (external coherence).</w:t>
            </w:r>
          </w:p>
          <w:p>
            <w:pPr>
              <w:spacing w:after="120" w:line="240" w:lineRule="auto"/>
              <w:ind w:left="720"/>
              <w:jc w:val="both"/>
              <w:rPr>
                <w:rFonts w:cs="Times New Roman"/>
                <w:noProof/>
                <w:sz w:val="22"/>
                <w:szCs w:val="24"/>
                <w:lang w:val="en-GB"/>
              </w:rPr>
            </w:pPr>
            <w:r>
              <w:rPr>
                <w:rFonts w:cs="Times New Roman"/>
                <w:b/>
                <w:noProof/>
                <w:sz w:val="22"/>
                <w:szCs w:val="24"/>
                <w:lang w:val="en-GB"/>
              </w:rPr>
              <w:t>EQ.6</w:t>
            </w:r>
            <w:r>
              <w:rPr>
                <w:rFonts w:cs="Times New Roman"/>
                <w:noProof/>
                <w:sz w:val="22"/>
                <w:szCs w:val="24"/>
                <w:lang w:val="en-GB"/>
              </w:rPr>
              <w:t>: To what extent do the ISA² actions form part of a ‘holistic’ approach within the framework of the programme? (Internal coherence)</w:t>
            </w:r>
          </w:p>
          <w:p>
            <w:pPr>
              <w:spacing w:after="120" w:line="240" w:lineRule="auto"/>
              <w:ind w:left="720"/>
              <w:jc w:val="both"/>
              <w:rPr>
                <w:rFonts w:cs="Times New Roman"/>
                <w:noProof/>
                <w:sz w:val="22"/>
                <w:szCs w:val="24"/>
                <w:lang w:val="en-GB"/>
              </w:rPr>
            </w:pPr>
            <w:r>
              <w:rPr>
                <w:rFonts w:cs="Times New Roman"/>
                <w:b/>
                <w:noProof/>
                <w:sz w:val="22"/>
                <w:szCs w:val="24"/>
                <w:lang w:val="en-GB"/>
              </w:rPr>
              <w:t>EQ.7</w:t>
            </w:r>
            <w:r>
              <w:rPr>
                <w:rFonts w:cs="Times New Roman"/>
                <w:noProof/>
                <w:sz w:val="22"/>
                <w:szCs w:val="24"/>
                <w:lang w:val="en-GB"/>
              </w:rPr>
              <w:t>: To what extent is the ISA² programme coherent with other EU interventions, which have similar objectives and with global initiatives in the same field? (External coherence)</w:t>
            </w:r>
          </w:p>
          <w:p>
            <w:pPr>
              <w:spacing w:after="120" w:line="240" w:lineRule="auto"/>
              <w:jc w:val="both"/>
              <w:rPr>
                <w:rFonts w:cs="Times New Roman"/>
                <w:noProof/>
                <w:sz w:val="22"/>
                <w:szCs w:val="24"/>
                <w:lang w:val="en-GB"/>
              </w:rPr>
            </w:pPr>
            <w:hyperlink w:anchor="_EU_added_value" w:history="1">
              <w:r>
                <w:rPr>
                  <w:rStyle w:val="Hyperlink"/>
                  <w:rFonts w:cs="Times New Roman"/>
                  <w:b/>
                  <w:noProof/>
                  <w:sz w:val="22"/>
                  <w:szCs w:val="24"/>
                  <w:lang w:val="en-GB"/>
                </w:rPr>
                <w:t>EU added value</w:t>
              </w:r>
            </w:hyperlink>
            <w:r>
              <w:rPr>
                <w:rFonts w:cs="Times New Roman"/>
                <w:noProof/>
                <w:sz w:val="22"/>
                <w:szCs w:val="24"/>
                <w:lang w:val="en-GB"/>
              </w:rPr>
              <w:t xml:space="preserve"> captures the programme's impacts additional to those that would be achieved if the issues addressed by ISA</w:t>
            </w:r>
            <w:r>
              <w:rPr>
                <w:rFonts w:cs="Times New Roman"/>
                <w:noProof/>
                <w:sz w:val="22"/>
                <w:szCs w:val="24"/>
                <w:vertAlign w:val="superscript"/>
                <w:lang w:val="en-GB"/>
              </w:rPr>
              <w:t xml:space="preserve">2 </w:t>
            </w:r>
            <w:r>
              <w:rPr>
                <w:rFonts w:cs="Times New Roman"/>
                <w:noProof/>
                <w:sz w:val="22"/>
                <w:szCs w:val="24"/>
                <w:lang w:val="en-GB"/>
              </w:rPr>
              <w:t>were left solely in the hands of national and sub-national authorities.</w:t>
            </w:r>
          </w:p>
          <w:p>
            <w:pPr>
              <w:spacing w:after="120" w:line="240" w:lineRule="auto"/>
              <w:ind w:left="720"/>
              <w:jc w:val="both"/>
              <w:rPr>
                <w:rFonts w:cs="Times New Roman"/>
                <w:noProof/>
                <w:sz w:val="22"/>
                <w:szCs w:val="24"/>
                <w:lang w:val="en-GB"/>
              </w:rPr>
            </w:pPr>
            <w:r>
              <w:rPr>
                <w:rFonts w:cs="Times New Roman"/>
                <w:b/>
                <w:noProof/>
                <w:sz w:val="22"/>
                <w:szCs w:val="24"/>
                <w:lang w:val="en-GB"/>
              </w:rPr>
              <w:t>EQ.8</w:t>
            </w:r>
            <w:r>
              <w:rPr>
                <w:rFonts w:cs="Times New Roman"/>
                <w:noProof/>
                <w:sz w:val="22"/>
                <w:szCs w:val="24"/>
                <w:lang w:val="en-GB"/>
              </w:rPr>
              <w:t>: What is the additional value resulting from the ISA² programme, compared to what could reasonably have been expected from Member States acting at national, regional and/or local levels?</w:t>
            </w:r>
          </w:p>
          <w:p>
            <w:pPr>
              <w:spacing w:after="120" w:line="240" w:lineRule="auto"/>
              <w:jc w:val="both"/>
              <w:rPr>
                <w:rFonts w:cs="Times New Roman"/>
                <w:noProof/>
                <w:sz w:val="22"/>
                <w:szCs w:val="24"/>
                <w:lang w:val="en-GB"/>
              </w:rPr>
            </w:pPr>
            <w:hyperlink w:anchor="_Utility" w:history="1">
              <w:r>
                <w:rPr>
                  <w:rStyle w:val="Hyperlink"/>
                  <w:rFonts w:cs="Times New Roman"/>
                  <w:b/>
                  <w:noProof/>
                  <w:sz w:val="22"/>
                  <w:szCs w:val="24"/>
                  <w:lang w:val="en-GB"/>
                </w:rPr>
                <w:t>Utility</w:t>
              </w:r>
            </w:hyperlink>
            <w:r>
              <w:rPr>
                <w:rFonts w:cs="Times New Roman"/>
                <w:noProof/>
                <w:sz w:val="22"/>
                <w:szCs w:val="24"/>
                <w:lang w:val="en-GB"/>
              </w:rPr>
              <w:t xml:space="preserve"> refers to (i) the extent to which the results of ISA</w:t>
            </w:r>
            <w:r>
              <w:rPr>
                <w:rFonts w:cs="Times New Roman"/>
                <w:noProof/>
                <w:sz w:val="22"/>
                <w:szCs w:val="24"/>
                <w:vertAlign w:val="superscript"/>
                <w:lang w:val="en-GB"/>
              </w:rPr>
              <w:t>2</w:t>
            </w:r>
            <w:r>
              <w:rPr>
                <w:rFonts w:cs="Times New Roman"/>
                <w:noProof/>
                <w:sz w:val="22"/>
                <w:szCs w:val="24"/>
                <w:lang w:val="en-GB"/>
              </w:rPr>
              <w:t xml:space="preserve"> meet stakeholders’ needs and (ii) the level of stakeholder satisfaction with the solutions offered by ISA</w:t>
            </w:r>
            <w:r>
              <w:rPr>
                <w:rFonts w:cs="Times New Roman"/>
                <w:noProof/>
                <w:sz w:val="22"/>
                <w:szCs w:val="24"/>
                <w:vertAlign w:val="superscript"/>
                <w:lang w:val="en-GB"/>
              </w:rPr>
              <w:t>2</w:t>
            </w:r>
            <w:r>
              <w:rPr>
                <w:rFonts w:cs="Times New Roman"/>
                <w:noProof/>
                <w:sz w:val="22"/>
                <w:szCs w:val="24"/>
                <w:lang w:val="en-GB"/>
              </w:rPr>
              <w:t>.</w:t>
            </w:r>
          </w:p>
          <w:p>
            <w:pPr>
              <w:spacing w:after="120" w:line="240" w:lineRule="auto"/>
              <w:ind w:left="720"/>
              <w:jc w:val="both"/>
              <w:rPr>
                <w:rFonts w:cs="Times New Roman"/>
                <w:noProof/>
                <w:sz w:val="22"/>
                <w:szCs w:val="24"/>
                <w:lang w:val="en-GB"/>
              </w:rPr>
            </w:pPr>
            <w:r>
              <w:rPr>
                <w:rFonts w:cs="Times New Roman"/>
                <w:b/>
                <w:noProof/>
                <w:sz w:val="22"/>
                <w:szCs w:val="24"/>
                <w:lang w:val="en-GB"/>
              </w:rPr>
              <w:t>EQ.9</w:t>
            </w:r>
            <w:r>
              <w:rPr>
                <w:rFonts w:cs="Times New Roman"/>
                <w:noProof/>
                <w:sz w:val="22"/>
                <w:szCs w:val="24"/>
                <w:lang w:val="en-GB"/>
              </w:rPr>
              <w:t>: How do the ISA² programme’s actions and results, achieved and anticipated, compare with the needs they are supposed to address?</w:t>
            </w:r>
          </w:p>
          <w:p>
            <w:pPr>
              <w:spacing w:after="120" w:line="240" w:lineRule="auto"/>
              <w:jc w:val="both"/>
              <w:rPr>
                <w:rFonts w:cs="Times New Roman"/>
                <w:noProof/>
                <w:sz w:val="22"/>
                <w:szCs w:val="24"/>
                <w:lang w:val="en-GB"/>
              </w:rPr>
            </w:pPr>
            <w:hyperlink w:anchor="_Sustainability" w:history="1">
              <w:r>
                <w:rPr>
                  <w:rStyle w:val="Hyperlink"/>
                  <w:rFonts w:cs="Times New Roman"/>
                  <w:b/>
                  <w:noProof/>
                  <w:sz w:val="22"/>
                  <w:szCs w:val="24"/>
                  <w:lang w:val="en-GB"/>
                </w:rPr>
                <w:t>Sustainability</w:t>
              </w:r>
            </w:hyperlink>
            <w:r>
              <w:rPr>
                <w:rFonts w:cs="Times New Roman"/>
                <w:b/>
                <w:noProof/>
                <w:sz w:val="22"/>
                <w:szCs w:val="24"/>
                <w:lang w:val="en-GB"/>
              </w:rPr>
              <w:t xml:space="preserve"> </w:t>
            </w:r>
            <w:r>
              <w:rPr>
                <w:rFonts w:cs="Times New Roman"/>
                <w:noProof/>
                <w:sz w:val="22"/>
                <w:szCs w:val="24"/>
                <w:lang w:val="en-GB"/>
              </w:rPr>
              <w:t>measures the likelihood of the ISA² programme's results lasting beyond its completion.</w:t>
            </w:r>
          </w:p>
          <w:p>
            <w:pPr>
              <w:spacing w:after="120" w:line="240" w:lineRule="auto"/>
              <w:ind w:left="720"/>
              <w:jc w:val="both"/>
              <w:rPr>
                <w:rFonts w:cs="Times New Roman"/>
                <w:noProof/>
                <w:sz w:val="22"/>
                <w:szCs w:val="24"/>
                <w:lang w:val="en-GB"/>
              </w:rPr>
            </w:pPr>
            <w:r>
              <w:rPr>
                <w:rFonts w:cs="Times New Roman"/>
                <w:b/>
                <w:noProof/>
                <w:sz w:val="22"/>
                <w:szCs w:val="24"/>
                <w:lang w:val="en-GB"/>
              </w:rPr>
              <w:t>EQ.10</w:t>
            </w:r>
            <w:r>
              <w:rPr>
                <w:rFonts w:cs="Times New Roman"/>
                <w:noProof/>
                <w:sz w:val="22"/>
                <w:szCs w:val="24"/>
                <w:lang w:val="en-GB"/>
              </w:rPr>
              <w:t>: To what extent is the financial, technical and operational sustainability of the developed solutions — maintained and operated through the ISA² programme — ensured?</w:t>
            </w:r>
          </w:p>
          <w:p>
            <w:pPr>
              <w:spacing w:after="120" w:line="240" w:lineRule="auto"/>
              <w:jc w:val="both"/>
              <w:rPr>
                <w:rFonts w:cs="Times New Roman"/>
                <w:noProof/>
                <w:sz w:val="22"/>
                <w:szCs w:val="24"/>
                <w:lang w:val="en-GB"/>
              </w:rPr>
            </w:pPr>
            <w:r>
              <w:rPr>
                <w:rFonts w:cs="Times New Roman"/>
                <w:noProof/>
                <w:sz w:val="22"/>
                <w:szCs w:val="24"/>
                <w:lang w:val="en-GB"/>
              </w:rPr>
              <w:t xml:space="preserve">For further details, please see </w:t>
            </w:r>
            <w:r>
              <w:rPr>
                <w:rFonts w:cs="Times New Roman"/>
                <w:noProof/>
                <w:sz w:val="22"/>
                <w:szCs w:val="24"/>
              </w:rPr>
              <w:fldChar w:fldCharType="begin"/>
            </w:r>
            <w:r>
              <w:rPr>
                <w:rFonts w:cs="Times New Roman"/>
                <w:noProof/>
                <w:sz w:val="22"/>
                <w:szCs w:val="24"/>
                <w:lang w:val="en-GB"/>
              </w:rPr>
              <w:instrText xml:space="preserve"> REF _Ref9330490 \h  \* MERGEFORMAT </w:instrText>
            </w:r>
            <w:r>
              <w:rPr>
                <w:rFonts w:cs="Times New Roman"/>
                <w:noProof/>
                <w:sz w:val="22"/>
                <w:szCs w:val="24"/>
              </w:rPr>
            </w:r>
            <w:r>
              <w:rPr>
                <w:rFonts w:cs="Times New Roman"/>
                <w:noProof/>
                <w:sz w:val="22"/>
                <w:szCs w:val="24"/>
              </w:rPr>
              <w:fldChar w:fldCharType="separate"/>
            </w:r>
            <w:r>
              <w:rPr>
                <w:rFonts w:cs="Times New Roman"/>
                <w:noProof/>
                <w:sz w:val="22"/>
                <w:lang w:val="en-GB"/>
              </w:rPr>
              <w:t>Annex 4: Evaluation Framework</w:t>
            </w:r>
            <w:r>
              <w:rPr>
                <w:rFonts w:cs="Times New Roman"/>
                <w:noProof/>
                <w:sz w:val="22"/>
                <w:szCs w:val="24"/>
              </w:rPr>
              <w:fldChar w:fldCharType="end"/>
            </w:r>
            <w:r>
              <w:rPr>
                <w:rFonts w:cs="Times New Roman"/>
                <w:noProof/>
                <w:sz w:val="22"/>
                <w:szCs w:val="24"/>
                <w:lang w:val="en-GB"/>
              </w:rPr>
              <w:t>.</w:t>
            </w:r>
          </w:p>
        </w:tc>
      </w:tr>
    </w:tbl>
    <w:p>
      <w:pPr>
        <w:pStyle w:val="Heading1"/>
        <w:rPr>
          <w:noProof/>
        </w:rPr>
      </w:pPr>
      <w:bookmarkStart w:id="4" w:name="_Toc14708128"/>
      <w:r>
        <w:rPr>
          <w:noProof/>
        </w:rPr>
        <w:t>Background to the intervention</w:t>
      </w:r>
      <w:bookmarkEnd w:id="4"/>
    </w:p>
    <w:p>
      <w:pPr>
        <w:pStyle w:val="Heading2"/>
        <w:rPr>
          <w:noProof/>
        </w:rPr>
      </w:pPr>
      <w:bookmarkStart w:id="5" w:name="_Toc14708129"/>
      <w:r>
        <w:rPr>
          <w:noProof/>
        </w:rPr>
        <w:t>Description of the intervention and its objectives</w:t>
      </w:r>
      <w:bookmarkEnd w:id="5"/>
    </w:p>
    <w:p>
      <w:pPr>
        <w:jc w:val="both"/>
        <w:rPr>
          <w:rFonts w:cs="Times New Roman"/>
          <w:noProof/>
          <w:szCs w:val="24"/>
          <w:lang w:val="en-GB"/>
        </w:rPr>
      </w:pPr>
      <w:r>
        <w:rPr>
          <w:rFonts w:cs="Times New Roman"/>
          <w:noProof/>
          <w:szCs w:val="24"/>
          <w:lang w:val="en-GB"/>
        </w:rPr>
        <w:t>The ISA</w:t>
      </w:r>
      <w:r>
        <w:rPr>
          <w:rFonts w:cs="Times New Roman"/>
          <w:noProof/>
          <w:szCs w:val="24"/>
          <w:vertAlign w:val="superscript"/>
          <w:lang w:val="en-GB"/>
        </w:rPr>
        <w:t>2</w:t>
      </w:r>
      <w:r>
        <w:rPr>
          <w:rFonts w:cs="Times New Roman"/>
          <w:noProof/>
          <w:szCs w:val="24"/>
          <w:lang w:val="en-GB"/>
        </w:rPr>
        <w:t xml:space="preserve"> programme’s ultimate objective is to promote the ICT-based modernisation of the public sector in Europe and to facilitate addressing the needs of businesses and citizens, via improved interoperability of European public administrations.</w:t>
      </w:r>
    </w:p>
    <w:p>
      <w:pPr>
        <w:jc w:val="both"/>
        <w:rPr>
          <w:rFonts w:cs="Times New Roman"/>
          <w:noProof/>
          <w:szCs w:val="24"/>
          <w:lang w:val="en-GB"/>
        </w:rPr>
      </w:pPr>
      <w:r>
        <w:rPr>
          <w:rFonts w:cs="Times New Roman"/>
          <w:noProof/>
          <w:szCs w:val="24"/>
          <w:lang w:val="en-GB"/>
        </w:rPr>
        <w:t>More specifically the programme aims to do the following:</w:t>
      </w:r>
    </w:p>
    <w:p>
      <w:pPr>
        <w:pStyle w:val="Firstlevellist"/>
        <w:rPr>
          <w:noProof/>
          <w:szCs w:val="24"/>
        </w:rPr>
      </w:pPr>
      <w:r>
        <w:rPr>
          <w:noProof/>
        </w:rPr>
        <w:t>Facilitate</w:t>
      </w:r>
      <w:r>
        <w:rPr>
          <w:noProof/>
          <w:szCs w:val="24"/>
        </w:rPr>
        <w:t xml:space="preserve"> efficient and effective electronic cross-border or cross-sector interaction between European public administrations, businesses and citizens.</w:t>
      </w:r>
    </w:p>
    <w:p>
      <w:pPr>
        <w:pStyle w:val="Firstlevellist"/>
        <w:rPr>
          <w:noProof/>
          <w:szCs w:val="24"/>
        </w:rPr>
      </w:pPr>
      <w:r>
        <w:rPr>
          <w:noProof/>
        </w:rPr>
        <w:t>Contribute</w:t>
      </w:r>
      <w:r>
        <w:rPr>
          <w:noProof/>
          <w:szCs w:val="24"/>
        </w:rPr>
        <w:t xml:space="preserve"> to the development of a more effective, simplified and user-friendly e-administration at the national, regional and local administration levels. </w:t>
      </w:r>
    </w:p>
    <w:p>
      <w:pPr>
        <w:pStyle w:val="Firstlevellist"/>
        <w:rPr>
          <w:noProof/>
          <w:szCs w:val="24"/>
        </w:rPr>
      </w:pPr>
      <w:r>
        <w:rPr>
          <w:noProof/>
          <w:szCs w:val="24"/>
        </w:rPr>
        <w:t>Promote a holistic approach to interoperability in the EU, by identifying, creating and operating interoperability solutions and facilitating their reuse by European public administrations. This will support the implementation of various EU policies and activities.</w:t>
      </w:r>
    </w:p>
    <w:p>
      <w:pPr>
        <w:jc w:val="both"/>
        <w:rPr>
          <w:rFonts w:cs="Times New Roman"/>
          <w:noProof/>
          <w:szCs w:val="24"/>
          <w:lang w:val="en-GB"/>
        </w:rPr>
      </w:pPr>
      <w:r>
        <w:rPr>
          <w:rFonts w:cs="Times New Roman"/>
          <w:noProof/>
          <w:szCs w:val="24"/>
          <w:lang w:val="en-GB"/>
        </w:rPr>
        <w:t xml:space="preserve">By working towards achieving the above objectives, the programme intends to address </w:t>
      </w:r>
      <w:r>
        <w:rPr>
          <w:rFonts w:cs="Times New Roman"/>
          <w:b/>
          <w:noProof/>
          <w:szCs w:val="24"/>
          <w:lang w:val="en-GB"/>
        </w:rPr>
        <w:t xml:space="preserve">the problem of </w:t>
      </w:r>
      <w:r>
        <w:rPr>
          <w:rFonts w:cs="Times New Roman"/>
          <w:noProof/>
          <w:szCs w:val="24"/>
          <w:lang w:val="en-GB"/>
        </w:rPr>
        <w:t>existing or emerging ‘</w:t>
      </w:r>
      <w:r>
        <w:rPr>
          <w:rFonts w:cs="Times New Roman"/>
          <w:b/>
          <w:noProof/>
          <w:szCs w:val="24"/>
          <w:lang w:val="en-GB"/>
        </w:rPr>
        <w:t>electronic barriers that impede the proper functioning of the internal market</w:t>
      </w:r>
      <w:r>
        <w:rPr>
          <w:rFonts w:cs="Times New Roman"/>
          <w:noProof/>
          <w:szCs w:val="24"/>
          <w:lang w:val="en-GB"/>
        </w:rPr>
        <w:t>’</w:t>
      </w:r>
      <w:r>
        <w:rPr>
          <w:rStyle w:val="FootnoteReference"/>
          <w:noProof/>
          <w:szCs w:val="24"/>
        </w:rPr>
        <w:footnoteReference w:id="3"/>
      </w:r>
      <w:r>
        <w:rPr>
          <w:rFonts w:cs="Times New Roman"/>
          <w:noProof/>
          <w:szCs w:val="24"/>
          <w:lang w:val="en-GB"/>
        </w:rPr>
        <w:t>.</w:t>
      </w:r>
    </w:p>
    <w:p>
      <w:pPr>
        <w:jc w:val="both"/>
        <w:rPr>
          <w:rFonts w:cs="Times New Roman"/>
          <w:noProof/>
          <w:lang w:val="en-GB"/>
        </w:rPr>
      </w:pPr>
      <w:r>
        <w:rPr>
          <w:rFonts w:cs="Times New Roman"/>
          <w:noProof/>
          <w:szCs w:val="24"/>
          <w:lang w:val="en-GB"/>
        </w:rPr>
        <w:t xml:space="preserve">It is important to note that </w:t>
      </w:r>
      <w:r>
        <w:rPr>
          <w:rFonts w:cs="Times New Roman"/>
          <w:noProof/>
          <w:lang w:val="en-GB"/>
        </w:rPr>
        <w:t>ISA</w:t>
      </w:r>
      <w:r>
        <w:rPr>
          <w:rFonts w:cs="Times New Roman"/>
          <w:noProof/>
          <w:vertAlign w:val="superscript"/>
          <w:lang w:val="en-GB"/>
        </w:rPr>
        <w:t>2</w:t>
      </w:r>
      <w:r>
        <w:rPr>
          <w:rFonts w:cs="Times New Roman"/>
          <w:noProof/>
          <w:lang w:val="en-GB"/>
        </w:rPr>
        <w:t xml:space="preserve"> is part of a wider policy framework related to the digitalisation of public administrations in the EU. In cooperation with the Member States and the Commission, the ISA</w:t>
      </w:r>
      <w:r>
        <w:rPr>
          <w:rFonts w:cs="Times New Roman"/>
          <w:noProof/>
          <w:vertAlign w:val="superscript"/>
          <w:lang w:val="en-GB"/>
        </w:rPr>
        <w:t>2</w:t>
      </w:r>
      <w:r>
        <w:rPr>
          <w:rFonts w:cs="Times New Roman"/>
          <w:noProof/>
          <w:lang w:val="en-GB"/>
        </w:rPr>
        <w:t xml:space="preserve"> programme promotes and maintains the </w:t>
      </w:r>
      <w:hyperlink r:id="rId39" w:history="1">
        <w:r>
          <w:rPr>
            <w:rStyle w:val="Hyperlink"/>
            <w:rFonts w:cs="Times New Roman"/>
            <w:b/>
            <w:noProof/>
            <w:lang w:val="en-GB"/>
          </w:rPr>
          <w:t>European Interoperability Framework (EIF)</w:t>
        </w:r>
      </w:hyperlink>
      <w:r>
        <w:rPr>
          <w:rStyle w:val="FootnoteReference"/>
          <w:noProof/>
        </w:rPr>
        <w:footnoteReference w:id="4"/>
      </w:r>
      <w:r>
        <w:rPr>
          <w:rFonts w:cs="Times New Roman"/>
          <w:noProof/>
          <w:lang w:val="en-GB"/>
        </w:rPr>
        <w:t>, which has been</w:t>
      </w:r>
      <w:r>
        <w:rPr>
          <w:rFonts w:cs="Times New Roman"/>
          <w:b/>
          <w:noProof/>
          <w:lang w:val="en-GB"/>
        </w:rPr>
        <w:t xml:space="preserve"> </w:t>
      </w:r>
      <w:r>
        <w:rPr>
          <w:rFonts w:cs="Times New Roman"/>
          <w:noProof/>
          <w:lang w:val="en-GB"/>
        </w:rPr>
        <w:t>in place since 2010 and was revised in 2017. The revision of the EIF was called for in the Communication on a</w:t>
      </w:r>
      <w:r>
        <w:rPr>
          <w:rFonts w:cs="Times New Roman"/>
          <w:b/>
          <w:noProof/>
          <w:lang w:val="en-GB"/>
        </w:rPr>
        <w:t xml:space="preserve"> </w:t>
      </w:r>
      <w:hyperlink r:id="rId40" w:history="1">
        <w:r>
          <w:rPr>
            <w:rStyle w:val="Hyperlink"/>
            <w:rFonts w:cs="Times New Roman"/>
            <w:b/>
            <w:noProof/>
            <w:lang w:val="en-GB"/>
          </w:rPr>
          <w:t>Digital Single Market Strategy</w:t>
        </w:r>
        <w:r>
          <w:rPr>
            <w:rStyle w:val="Hyperlink"/>
            <w:rFonts w:cs="Times New Roman"/>
            <w:noProof/>
            <w:lang w:val="en-GB"/>
          </w:rPr>
          <w:t xml:space="preserve"> </w:t>
        </w:r>
        <w:r>
          <w:rPr>
            <w:rStyle w:val="Hyperlink"/>
            <w:rFonts w:cs="Times New Roman"/>
            <w:b/>
            <w:noProof/>
            <w:lang w:val="en-GB"/>
          </w:rPr>
          <w:t>for Europe</w:t>
        </w:r>
      </w:hyperlink>
      <w:r>
        <w:rPr>
          <w:rStyle w:val="FootnoteReference"/>
          <w:noProof/>
        </w:rPr>
        <w:footnoteReference w:id="5"/>
      </w:r>
      <w:r>
        <w:rPr>
          <w:rFonts w:cs="Times New Roman"/>
          <w:noProof/>
          <w:lang w:val="en-GB"/>
        </w:rPr>
        <w:t>, which recognised the role of interoperability in cross-border and cross-sector connections between communities, public services and public administrations. Other initiatives related to the digitalisation of public administrations to which ISA</w:t>
      </w:r>
      <w:r>
        <w:rPr>
          <w:rFonts w:cs="Times New Roman"/>
          <w:noProof/>
          <w:vertAlign w:val="superscript"/>
          <w:lang w:val="en-GB"/>
        </w:rPr>
        <w:t>2</w:t>
      </w:r>
      <w:r>
        <w:rPr>
          <w:rFonts w:cs="Times New Roman"/>
          <w:noProof/>
          <w:lang w:val="en-GB"/>
        </w:rPr>
        <w:t xml:space="preserve"> contributes include:</w:t>
      </w:r>
    </w:p>
    <w:p>
      <w:pPr>
        <w:pStyle w:val="Firstlevellist"/>
        <w:rPr>
          <w:noProof/>
        </w:rPr>
      </w:pPr>
      <w:r>
        <w:rPr>
          <w:noProof/>
        </w:rPr>
        <w:t xml:space="preserve">The </w:t>
      </w:r>
      <w:hyperlink r:id="rId41" w:history="1">
        <w:r>
          <w:rPr>
            <w:rStyle w:val="Hyperlink"/>
            <w:b/>
            <w:noProof/>
          </w:rPr>
          <w:t>eGovernment Action Plans</w:t>
        </w:r>
      </w:hyperlink>
      <w:r>
        <w:rPr>
          <w:noProof/>
        </w:rPr>
        <w:t xml:space="preserve"> (the current version of which runs from 2016 to 2020), which aim to make ‘public administrations and institutions in the EU open, efficient and inclusive, providing borderless, personalised, user-friendly, end-to-end digital public services to all citizens and businesses in the EU’</w:t>
      </w:r>
      <w:r>
        <w:rPr>
          <w:rStyle w:val="FootnoteReference"/>
          <w:noProof/>
        </w:rPr>
        <w:footnoteReference w:id="6"/>
      </w:r>
      <w:r>
        <w:rPr>
          <w:noProof/>
        </w:rPr>
        <w:t>.</w:t>
      </w:r>
    </w:p>
    <w:p>
      <w:pPr>
        <w:pStyle w:val="Firstlevellist"/>
        <w:rPr>
          <w:noProof/>
        </w:rPr>
      </w:pPr>
      <w:r>
        <w:rPr>
          <w:noProof/>
        </w:rPr>
        <w:t xml:space="preserve">The 2017 </w:t>
      </w:r>
      <w:hyperlink r:id="rId42" w:history="1">
        <w:r>
          <w:rPr>
            <w:rStyle w:val="Hyperlink"/>
            <w:b/>
            <w:noProof/>
          </w:rPr>
          <w:t>Tallinn Declaration on eGovernment</w:t>
        </w:r>
      </w:hyperlink>
      <w:r>
        <w:rPr>
          <w:rStyle w:val="FootnoteReference"/>
          <w:noProof/>
        </w:rPr>
        <w:footnoteReference w:id="7"/>
      </w:r>
      <w:r>
        <w:rPr>
          <w:noProof/>
        </w:rPr>
        <w:t>, a declaration made by ministers in charge of eGovernment policy across the EU to spell out their commitment to a number of principles, including ‘interoperability by default’, which aims to ensure that public services are designed to work seamlessly within the single market and across organisational silos, relying on the free movement of data and digital services in the EU.</w:t>
      </w:r>
    </w:p>
    <w:p>
      <w:pPr>
        <w:pStyle w:val="Firstlevellist"/>
        <w:rPr>
          <w:noProof/>
        </w:rPr>
      </w:pPr>
      <w:r>
        <w:rPr>
          <w:noProof/>
        </w:rPr>
        <w:t xml:space="preserve">The </w:t>
      </w:r>
      <w:hyperlink r:id="rId43" w:history="1">
        <w:r>
          <w:rPr>
            <w:rStyle w:val="Hyperlink"/>
            <w:b/>
            <w:noProof/>
          </w:rPr>
          <w:t>Connecting Europe Facility (CEF)</w:t>
        </w:r>
      </w:hyperlink>
      <w:r>
        <w:rPr>
          <w:rStyle w:val="FootnoteReference"/>
          <w:noProof/>
        </w:rPr>
        <w:footnoteReference w:id="8"/>
      </w:r>
      <w:r>
        <w:rPr>
          <w:noProof/>
        </w:rPr>
        <w:t xml:space="preserve"> established in 2013 as a funding programme providing support to cross-border interaction between the digital services infrastructures of Member States. Based on interoperability agreements between Member States, CEF Digital provides building blocks that ensure that citizens, businesses and administrations can benefit from seamless digital public services across the EU.</w:t>
      </w:r>
    </w:p>
    <w:p>
      <w:pPr>
        <w:pStyle w:val="Firstlevellist"/>
        <w:rPr>
          <w:noProof/>
        </w:rPr>
      </w:pPr>
      <w:r>
        <w:rPr>
          <w:noProof/>
        </w:rPr>
        <w:t xml:space="preserve">The </w:t>
      </w:r>
      <w:hyperlink r:id="rId44" w:history="1">
        <w:r>
          <w:rPr>
            <w:rStyle w:val="Hyperlink"/>
            <w:b/>
            <w:noProof/>
          </w:rPr>
          <w:t>Single Digital Gateway</w:t>
        </w:r>
      </w:hyperlink>
      <w:r>
        <w:rPr>
          <w:rStyle w:val="FootnoteReference"/>
          <w:noProof/>
        </w:rPr>
        <w:footnoteReference w:id="9"/>
      </w:r>
      <w:r>
        <w:rPr>
          <w:noProof/>
        </w:rPr>
        <w:t xml:space="preserve">, to provide </w:t>
      </w:r>
      <w:r>
        <w:rPr>
          <w:noProof/>
          <w:color w:val="444444"/>
        </w:rPr>
        <w:t xml:space="preserve">citizens and businesses with </w:t>
      </w:r>
      <w:r>
        <w:rPr>
          <w:noProof/>
        </w:rPr>
        <w:t>online access to information and procedures and to assistance and problem-solving services</w:t>
      </w:r>
      <w:r>
        <w:rPr>
          <w:noProof/>
          <w:color w:val="444444"/>
        </w:rPr>
        <w:t>.</w:t>
      </w:r>
    </w:p>
    <w:p>
      <w:pPr>
        <w:pStyle w:val="Firstlevellist"/>
        <w:rPr>
          <w:noProof/>
        </w:rPr>
      </w:pPr>
      <w:r>
        <w:rPr>
          <w:noProof/>
        </w:rPr>
        <w:t xml:space="preserve">The </w:t>
      </w:r>
      <w:hyperlink r:id="rId45" w:history="1">
        <w:r>
          <w:rPr>
            <w:rStyle w:val="Hyperlink"/>
            <w:b/>
            <w:noProof/>
          </w:rPr>
          <w:t>Structural Reform Support Programme (SRSP)</w:t>
        </w:r>
      </w:hyperlink>
      <w:r>
        <w:rPr>
          <w:rStyle w:val="FootnoteReference"/>
          <w:noProof/>
        </w:rPr>
        <w:footnoteReference w:id="10"/>
      </w:r>
      <w:r>
        <w:rPr>
          <w:noProof/>
        </w:rPr>
        <w:t>, which provides support to Member States in five main reform areas, including IT capacity building in public administrations.</w:t>
      </w:r>
    </w:p>
    <w:p>
      <w:pPr>
        <w:pStyle w:val="FirstlevellistLAST"/>
        <w:rPr>
          <w:noProof/>
        </w:rPr>
      </w:pPr>
      <w:r>
        <w:rPr>
          <w:noProof/>
        </w:rPr>
        <w:t>Several other EU funding programmes,</w:t>
      </w:r>
      <w:r>
        <w:rPr>
          <w:b/>
          <w:noProof/>
        </w:rPr>
        <w:t xml:space="preserve"> like Horizon 2020</w:t>
      </w:r>
      <w:r>
        <w:rPr>
          <w:rStyle w:val="FootnoteReference"/>
          <w:noProof/>
        </w:rPr>
        <w:footnoteReference w:id="11"/>
      </w:r>
      <w:r>
        <w:rPr>
          <w:noProof/>
        </w:rPr>
        <w:t xml:space="preserve"> (dedicated to research and innovation), the </w:t>
      </w:r>
      <w:r>
        <w:rPr>
          <w:b/>
          <w:noProof/>
        </w:rPr>
        <w:t>European Social Fund (ESF)</w:t>
      </w:r>
      <w:r>
        <w:rPr>
          <w:rStyle w:val="FootnoteReference"/>
          <w:noProof/>
        </w:rPr>
        <w:footnoteReference w:id="12"/>
      </w:r>
      <w:r>
        <w:rPr>
          <w:noProof/>
        </w:rPr>
        <w:t xml:space="preserve"> and the </w:t>
      </w:r>
      <w:r>
        <w:rPr>
          <w:b/>
          <w:noProof/>
        </w:rPr>
        <w:t>European Regional Development Fund (ERDF)</w:t>
      </w:r>
      <w:r>
        <w:rPr>
          <w:rStyle w:val="FootnoteReference"/>
          <w:noProof/>
        </w:rPr>
        <w:footnoteReference w:id="13"/>
      </w:r>
      <w:r>
        <w:rPr>
          <w:noProof/>
        </w:rPr>
        <w:t>.</w:t>
      </w:r>
    </w:p>
    <w:p>
      <w:pPr>
        <w:jc w:val="both"/>
        <w:rPr>
          <w:rFonts w:cs="Times New Roman"/>
          <w:noProof/>
          <w:lang w:val="en-GB"/>
        </w:rPr>
      </w:pPr>
      <w:r>
        <w:rPr>
          <w:rFonts w:cs="Times New Roman"/>
          <w:noProof/>
          <w:lang w:val="en-GB"/>
        </w:rPr>
        <w:t>Chapter 5 provides further details of the links between ISA</w:t>
      </w:r>
      <w:r>
        <w:rPr>
          <w:rFonts w:cs="Times New Roman"/>
          <w:noProof/>
          <w:vertAlign w:val="superscript"/>
          <w:lang w:val="en-GB"/>
        </w:rPr>
        <w:t>2</w:t>
      </w:r>
      <w:r>
        <w:rPr>
          <w:rFonts w:cs="Times New Roman"/>
          <w:noProof/>
          <w:lang w:val="en-GB"/>
        </w:rPr>
        <w:t xml:space="preserve"> and the above-mentioned programmes and initiatives, under the coherence evaluation criterion (section 5.4).</w:t>
      </w:r>
    </w:p>
    <w:p>
      <w:pPr>
        <w:jc w:val="both"/>
        <w:rPr>
          <w:rFonts w:cs="Times New Roman"/>
          <w:noProof/>
        </w:rPr>
      </w:pPr>
      <w:r>
        <w:rPr>
          <w:rFonts w:cs="Times New Roman"/>
          <w:noProof/>
          <w:lang w:val="en-GB"/>
        </w:rPr>
        <w:t>The intervention logic aims to clarify the reasoning followed by EU decision makers when establishing the ISA</w:t>
      </w:r>
      <w:r>
        <w:rPr>
          <w:rFonts w:cs="Times New Roman"/>
          <w:noProof/>
          <w:vertAlign w:val="superscript"/>
          <w:lang w:val="en-GB"/>
        </w:rPr>
        <w:t>2</w:t>
      </w:r>
      <w:r>
        <w:rPr>
          <w:rFonts w:cs="Times New Roman"/>
          <w:noProof/>
          <w:lang w:val="en-GB"/>
        </w:rPr>
        <w:t xml:space="preserve"> programme. It includes a detailed description of:</w:t>
      </w:r>
    </w:p>
    <w:p>
      <w:pPr>
        <w:pStyle w:val="ListParagraph"/>
        <w:numPr>
          <w:ilvl w:val="0"/>
          <w:numId w:val="76"/>
        </w:numPr>
        <w:rPr>
          <w:noProof/>
        </w:rPr>
      </w:pPr>
      <w:r>
        <w:rPr>
          <w:noProof/>
        </w:rPr>
        <w:t xml:space="preserve">the </w:t>
      </w:r>
      <w:r>
        <w:rPr>
          <w:b/>
          <w:noProof/>
        </w:rPr>
        <w:t>needs, problems and drivers</w:t>
      </w:r>
      <w:r>
        <w:rPr>
          <w:noProof/>
        </w:rPr>
        <w:t xml:space="preserve"> that the programme intended to address; </w:t>
      </w:r>
    </w:p>
    <w:p>
      <w:pPr>
        <w:pStyle w:val="ListParagraph"/>
        <w:numPr>
          <w:ilvl w:val="0"/>
          <w:numId w:val="76"/>
        </w:numPr>
        <w:rPr>
          <w:noProof/>
        </w:rPr>
      </w:pPr>
      <w:r>
        <w:rPr>
          <w:noProof/>
        </w:rPr>
        <w:t xml:space="preserve">the </w:t>
      </w:r>
      <w:r>
        <w:rPr>
          <w:b/>
          <w:noProof/>
        </w:rPr>
        <w:t>objectives</w:t>
      </w:r>
      <w:r>
        <w:rPr>
          <w:noProof/>
        </w:rPr>
        <w:t xml:space="preserve"> set out for the programme (following a three-level hierarchy: global objective, specific objectives and operational objectives); </w:t>
      </w:r>
    </w:p>
    <w:p>
      <w:pPr>
        <w:pStyle w:val="ListParagraph"/>
        <w:numPr>
          <w:ilvl w:val="0"/>
          <w:numId w:val="76"/>
        </w:numPr>
        <w:rPr>
          <w:noProof/>
        </w:rPr>
      </w:pPr>
      <w:r>
        <w:rPr>
          <w:noProof/>
        </w:rPr>
        <w:t xml:space="preserve">the </w:t>
      </w:r>
      <w:r>
        <w:rPr>
          <w:b/>
          <w:noProof/>
        </w:rPr>
        <w:t>inputs or activities</w:t>
      </w:r>
      <w:r>
        <w:rPr>
          <w:noProof/>
        </w:rPr>
        <w:t xml:space="preserve"> of the programme;</w:t>
      </w:r>
    </w:p>
    <w:p>
      <w:pPr>
        <w:pStyle w:val="ListParagraph"/>
        <w:numPr>
          <w:ilvl w:val="0"/>
          <w:numId w:val="76"/>
        </w:numPr>
        <w:rPr>
          <w:noProof/>
        </w:rPr>
      </w:pPr>
      <w:r>
        <w:rPr>
          <w:noProof/>
        </w:rPr>
        <w:t xml:space="preserve">the programme's </w:t>
      </w:r>
      <w:r>
        <w:rPr>
          <w:b/>
          <w:noProof/>
        </w:rPr>
        <w:t>expected results</w:t>
      </w:r>
      <w:r>
        <w:rPr>
          <w:noProof/>
        </w:rPr>
        <w:t xml:space="preserve">; and </w:t>
      </w:r>
    </w:p>
    <w:p>
      <w:pPr>
        <w:pStyle w:val="ListParagraph"/>
        <w:numPr>
          <w:ilvl w:val="0"/>
          <w:numId w:val="76"/>
        </w:numPr>
        <w:rPr>
          <w:noProof/>
        </w:rPr>
      </w:pPr>
      <w:r>
        <w:rPr>
          <w:noProof/>
        </w:rPr>
        <w:t xml:space="preserve">the </w:t>
      </w:r>
      <w:r>
        <w:rPr>
          <w:b/>
          <w:noProof/>
        </w:rPr>
        <w:t>logical links</w:t>
      </w:r>
      <w:r>
        <w:rPr>
          <w:noProof/>
        </w:rPr>
        <w:t xml:space="preserve"> between these components. </w:t>
      </w:r>
    </w:p>
    <w:p>
      <w:pPr>
        <w:jc w:val="both"/>
        <w:rPr>
          <w:rFonts w:cs="Times New Roman"/>
          <w:noProof/>
          <w:lang w:val="en-GB"/>
        </w:rPr>
      </w:pPr>
      <w:r>
        <w:rPr>
          <w:rFonts w:cs="Times New Roman"/>
          <w:noProof/>
          <w:lang w:val="en-GB"/>
        </w:rPr>
        <w:t xml:space="preserve">The intervention logic elements and links provide a benchmark against which the interim evaluation can assess the programme's achievements in the first half of its period of operation. </w:t>
      </w:r>
      <w:r>
        <w:rPr>
          <w:rFonts w:cs="Times New Roman"/>
          <w:noProof/>
        </w:rPr>
        <w:fldChar w:fldCharType="begin"/>
      </w:r>
      <w:r>
        <w:rPr>
          <w:rFonts w:cs="Times New Roman"/>
          <w:noProof/>
          <w:lang w:val="en-GB"/>
        </w:rPr>
        <w:instrText xml:space="preserve"> REF _Ref1398290 \h  \* MERGEFORMAT </w:instrText>
      </w:r>
      <w:r>
        <w:rPr>
          <w:rFonts w:cs="Times New Roman"/>
          <w:noProof/>
        </w:rPr>
      </w:r>
      <w:r>
        <w:rPr>
          <w:rFonts w:cs="Times New Roman"/>
          <w:noProof/>
        </w:rPr>
        <w:fldChar w:fldCharType="separate"/>
      </w:r>
      <w:r>
        <w:rPr>
          <w:rFonts w:cs="Times New Roman"/>
          <w:noProof/>
          <w:lang w:val="en-GB"/>
        </w:rPr>
        <w:t>Figure 1</w:t>
      </w:r>
      <w:r>
        <w:rPr>
          <w:rFonts w:cs="Times New Roman"/>
          <w:noProof/>
        </w:rPr>
        <w:fldChar w:fldCharType="end"/>
      </w:r>
      <w:r>
        <w:rPr>
          <w:rFonts w:cs="Times New Roman"/>
          <w:noProof/>
          <w:lang w:val="en-GB"/>
        </w:rPr>
        <w:t xml:space="preserve"> provides an overview of the elements of the intervention logic and the links between them, and further details are provided in </w:t>
      </w:r>
      <w:r>
        <w:rPr>
          <w:rFonts w:cs="Times New Roman"/>
          <w:noProof/>
        </w:rPr>
        <w:fldChar w:fldCharType="begin"/>
      </w:r>
      <w:r>
        <w:rPr>
          <w:rFonts w:cs="Times New Roman"/>
          <w:noProof/>
          <w:lang w:val="en-GB"/>
        </w:rPr>
        <w:instrText xml:space="preserve"> REF _Ref9330511 \h  \* MERGEFORMAT </w:instrText>
      </w:r>
      <w:r>
        <w:rPr>
          <w:rFonts w:cs="Times New Roman"/>
          <w:noProof/>
        </w:rPr>
      </w:r>
      <w:r>
        <w:rPr>
          <w:rFonts w:cs="Times New Roman"/>
          <w:noProof/>
        </w:rPr>
        <w:fldChar w:fldCharType="separate"/>
      </w:r>
      <w:r>
        <w:rPr>
          <w:rFonts w:cs="Times New Roman"/>
          <w:noProof/>
          <w:lang w:val="en-GB"/>
        </w:rPr>
        <w:t>Annex 3: Intervention Logic</w:t>
      </w:r>
      <w:r>
        <w:rPr>
          <w:rFonts w:cs="Times New Roman"/>
          <w:noProof/>
        </w:rPr>
        <w:fldChar w:fldCharType="end"/>
      </w:r>
      <w:r>
        <w:rPr>
          <w:rFonts w:cs="Times New Roman"/>
          <w:noProof/>
          <w:lang w:val="en-GB"/>
        </w:rPr>
        <w:t>.</w:t>
      </w:r>
    </w:p>
    <w:p>
      <w:pPr>
        <w:jc w:val="both"/>
        <w:rPr>
          <w:rFonts w:cs="Times New Roman"/>
          <w:noProof/>
          <w:lang w:val="en-GB"/>
        </w:rPr>
        <w:sectPr>
          <w:headerReference w:type="even" r:id="rId46"/>
          <w:headerReference w:type="default" r:id="rId47"/>
          <w:footerReference w:type="even" r:id="rId48"/>
          <w:footerReference w:type="default" r:id="rId49"/>
          <w:headerReference w:type="first" r:id="rId50"/>
          <w:footerReference w:type="first" r:id="rId51"/>
          <w:pgSz w:w="11906" w:h="16838"/>
          <w:pgMar w:top="1020" w:right="1701" w:bottom="1020" w:left="1587" w:header="601" w:footer="1077" w:gutter="0"/>
          <w:cols w:space="720"/>
          <w:titlePg/>
        </w:sectPr>
      </w:pP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w:t>
      </w:r>
      <w:r>
        <w:rPr>
          <w:rFonts w:cs="Times New Roman"/>
          <w:noProof/>
        </w:rPr>
        <w:fldChar w:fldCharType="end"/>
      </w:r>
      <w:r>
        <w:rPr>
          <w:rFonts w:cs="Times New Roman"/>
          <w:noProof/>
        </w:rPr>
        <w:t>: Intervention logic of the ISA</w:t>
      </w:r>
      <w:r>
        <w:rPr>
          <w:rFonts w:cs="Times New Roman"/>
          <w:noProof/>
          <w:vertAlign w:val="superscript"/>
        </w:rPr>
        <w:t>2</w:t>
      </w:r>
      <w:r>
        <w:rPr>
          <w:rFonts w:cs="Times New Roman"/>
          <w:noProof/>
        </w:rPr>
        <w:t xml:space="preserve"> programme</w:t>
      </w:r>
    </w:p>
    <w:p>
      <w:pPr>
        <w:pStyle w:val="VISUAL"/>
        <w:rPr>
          <w:rFonts w:cs="Times New Roman"/>
          <w:noProof/>
        </w:rPr>
      </w:pPr>
      <w:r>
        <w:rPr>
          <w:rFonts w:cs="Times New Roman"/>
          <w:noProof/>
          <w:lang w:eastAsia="en-GB"/>
        </w:rPr>
        <w:drawing>
          <wp:inline distT="0" distB="0" distL="0" distR="0">
            <wp:extent cx="9434945" cy="504805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41611" cy="5051621"/>
                    </a:xfrm>
                    <a:prstGeom prst="rect">
                      <a:avLst/>
                    </a:prstGeom>
                    <a:noFill/>
                    <a:ln>
                      <a:noFill/>
                    </a:ln>
                  </pic:spPr>
                </pic:pic>
              </a:graphicData>
            </a:graphic>
          </wp:inline>
        </w:drawing>
      </w:r>
    </w:p>
    <w:p>
      <w:pPr>
        <w:rPr>
          <w:rFonts w:cs="Times New Roman"/>
          <w:noProof/>
        </w:rPr>
        <w:sectPr>
          <w:headerReference w:type="even" r:id="rId53"/>
          <w:headerReference w:type="default" r:id="rId54"/>
          <w:footerReference w:type="even" r:id="rId55"/>
          <w:footerReference w:type="default" r:id="rId56"/>
          <w:headerReference w:type="first" r:id="rId57"/>
          <w:footerReference w:type="first" r:id="rId58"/>
          <w:pgSz w:w="16838" w:h="11906" w:orient="landscape"/>
          <w:pgMar w:top="720" w:right="720" w:bottom="720" w:left="720" w:header="601" w:footer="1077" w:gutter="0"/>
          <w:cols w:space="720"/>
          <w:titlePg/>
          <w:docGrid w:linePitch="299"/>
        </w:sectPr>
      </w:pPr>
    </w:p>
    <w:p>
      <w:pPr>
        <w:pStyle w:val="Heading2"/>
        <w:rPr>
          <w:noProof/>
        </w:rPr>
      </w:pPr>
      <w:bookmarkStart w:id="6" w:name="_Toc14708130"/>
      <w:r>
        <w:rPr>
          <w:noProof/>
        </w:rPr>
        <w:t>Baseline and points of comparison</w:t>
      </w:r>
      <w:bookmarkEnd w:id="6"/>
    </w:p>
    <w:p>
      <w:pPr>
        <w:jc w:val="both"/>
        <w:rPr>
          <w:rFonts w:cs="Times New Roman"/>
          <w:noProof/>
          <w:lang w:val="en-GB"/>
        </w:rPr>
      </w:pPr>
      <w:r>
        <w:rPr>
          <w:rFonts w:cs="Times New Roman"/>
          <w:noProof/>
          <w:lang w:val="en-GB"/>
        </w:rPr>
        <w:t>ISA</w:t>
      </w:r>
      <w:r>
        <w:rPr>
          <w:rFonts w:cs="Times New Roman"/>
          <w:noProof/>
          <w:vertAlign w:val="superscript"/>
          <w:lang w:val="en-GB"/>
        </w:rPr>
        <w:t>2</w:t>
      </w:r>
      <w:r>
        <w:rPr>
          <w:rFonts w:cs="Times New Roman"/>
          <w:noProof/>
          <w:lang w:val="en-GB"/>
        </w:rPr>
        <w:t xml:space="preserve"> is the fifth in</w:t>
      </w:r>
      <w:r>
        <w:rPr>
          <w:rFonts w:cs="Times New Roman"/>
          <w:b/>
          <w:noProof/>
          <w:lang w:val="en-GB"/>
        </w:rPr>
        <w:t xml:space="preserve"> a series of EU programmes</w:t>
      </w:r>
      <w:r>
        <w:rPr>
          <w:rStyle w:val="FootnoteReference"/>
          <w:noProof/>
        </w:rPr>
        <w:footnoteReference w:id="14"/>
      </w:r>
      <w:r>
        <w:rPr>
          <w:rFonts w:cs="Times New Roman"/>
          <w:noProof/>
          <w:lang w:val="en-GB"/>
        </w:rPr>
        <w:t xml:space="preserve"> providing and promoting interoperability solutions for public administrations in the EU. ISA</w:t>
      </w:r>
      <w:r>
        <w:rPr>
          <w:rFonts w:cs="Times New Roman"/>
          <w:noProof/>
          <w:vertAlign w:val="superscript"/>
          <w:lang w:val="en-GB"/>
        </w:rPr>
        <w:t>2</w:t>
      </w:r>
      <w:r>
        <w:rPr>
          <w:rFonts w:cs="Times New Roman"/>
          <w:noProof/>
          <w:lang w:val="en-GB"/>
        </w:rPr>
        <w:t xml:space="preserve"> succeeded the </w:t>
      </w:r>
      <w:r>
        <w:rPr>
          <w:rFonts w:cs="Times New Roman"/>
          <w:b/>
          <w:noProof/>
          <w:lang w:val="en-GB"/>
        </w:rPr>
        <w:t>ISA programme,</w:t>
      </w:r>
      <w:r>
        <w:rPr>
          <w:rFonts w:cs="Times New Roman"/>
          <w:noProof/>
          <w:lang w:val="en-GB"/>
        </w:rPr>
        <w:t xml:space="preserve"> which implemented 51 actions during its 6-year period of operation (from 2010 to 2015) with a total budget of around €164 million</w:t>
      </w:r>
      <w:r>
        <w:rPr>
          <w:rStyle w:val="FootnoteReference"/>
          <w:noProof/>
        </w:rPr>
        <w:footnoteReference w:id="15"/>
      </w:r>
      <w:r>
        <w:rPr>
          <w:rFonts w:cs="Times New Roman"/>
          <w:noProof/>
          <w:lang w:val="en-GB"/>
        </w:rPr>
        <w:t xml:space="preserve">. The results of ISA represent the main </w:t>
      </w:r>
      <w:r>
        <w:rPr>
          <w:rFonts w:cs="Times New Roman"/>
          <w:b/>
          <w:noProof/>
          <w:lang w:val="en-GB"/>
        </w:rPr>
        <w:t xml:space="preserve">baseline </w:t>
      </w:r>
      <w:r>
        <w:rPr>
          <w:rFonts w:cs="Times New Roman"/>
          <w:noProof/>
          <w:lang w:val="en-GB"/>
        </w:rPr>
        <w:t>used</w:t>
      </w:r>
      <w:r>
        <w:rPr>
          <w:rFonts w:cs="Times New Roman"/>
          <w:b/>
          <w:noProof/>
          <w:lang w:val="en-GB"/>
        </w:rPr>
        <w:t xml:space="preserve"> </w:t>
      </w:r>
      <w:r>
        <w:rPr>
          <w:rFonts w:cs="Times New Roman"/>
          <w:noProof/>
          <w:lang w:val="en-GB"/>
        </w:rPr>
        <w:t>for the purpose of this interim evaluation.</w:t>
      </w:r>
    </w:p>
    <w:p>
      <w:pPr>
        <w:jc w:val="both"/>
        <w:rPr>
          <w:rFonts w:cs="Times New Roman"/>
          <w:noProof/>
          <w:lang w:val="en-GB"/>
        </w:rPr>
      </w:pPr>
      <w:r>
        <w:rPr>
          <w:rFonts w:cs="Times New Roman"/>
          <w:noProof/>
          <w:lang w:val="en-GB"/>
        </w:rPr>
        <w:t>The end of the ISA programme was marked by a</w:t>
      </w:r>
      <w:r>
        <w:rPr>
          <w:rFonts w:cs="Times New Roman"/>
          <w:b/>
          <w:noProof/>
          <w:lang w:val="en-GB"/>
        </w:rPr>
        <w:t xml:space="preserve"> final evaluation</w:t>
      </w:r>
      <w:r>
        <w:rPr>
          <w:rStyle w:val="FootnoteReference"/>
          <w:noProof/>
        </w:rPr>
        <w:footnoteReference w:id="16"/>
      </w:r>
      <w:r>
        <w:rPr>
          <w:rFonts w:cs="Times New Roman"/>
          <w:noProof/>
          <w:lang w:val="en-GB"/>
        </w:rPr>
        <w:t xml:space="preserve">, which took stock of the programme’s achievements and put forward three </w:t>
      </w:r>
      <w:r>
        <w:rPr>
          <w:rFonts w:cs="Times New Roman"/>
          <w:b/>
          <w:noProof/>
          <w:lang w:val="en-GB"/>
        </w:rPr>
        <w:t>recommendations for the future edition of the programme</w:t>
      </w:r>
      <w:r>
        <w:rPr>
          <w:rFonts w:cs="Times New Roman"/>
          <w:noProof/>
          <w:lang w:val="en-GB"/>
        </w:rPr>
        <w:t>, focusing on the below areas:</w:t>
      </w:r>
    </w:p>
    <w:p>
      <w:pPr>
        <w:pStyle w:val="Firstlevellist"/>
        <w:rPr>
          <w:noProof/>
        </w:rPr>
      </w:pPr>
      <w:r>
        <w:rPr>
          <w:noProof/>
        </w:rPr>
        <w:t>communication with public administrations and raising their awareness of interoperability;</w:t>
      </w:r>
    </w:p>
    <w:p>
      <w:pPr>
        <w:pStyle w:val="Firstlevellist"/>
        <w:rPr>
          <w:noProof/>
        </w:rPr>
      </w:pPr>
      <w:r>
        <w:rPr>
          <w:noProof/>
        </w:rPr>
        <w:t>a holistic approach to and cross-cutting view of interoperability; and</w:t>
      </w:r>
    </w:p>
    <w:p>
      <w:pPr>
        <w:pStyle w:val="FirstlevellistLAST"/>
        <w:rPr>
          <w:noProof/>
        </w:rPr>
      </w:pPr>
      <w:r>
        <w:rPr>
          <w:noProof/>
        </w:rPr>
        <w:t>cooperation with other EU policies and initiatives.</w:t>
      </w:r>
    </w:p>
    <w:p>
      <w:pPr>
        <w:jc w:val="both"/>
        <w:rPr>
          <w:rFonts w:cs="Times New Roman"/>
          <w:noProof/>
          <w:lang w:val="en-GB"/>
        </w:rPr>
      </w:pPr>
      <w:r>
        <w:rPr>
          <w:rFonts w:cs="Times New Roman"/>
          <w:noProof/>
          <w:lang w:val="en-GB"/>
        </w:rPr>
        <w:t>Although the present interim evaluation focuses on results achieved under ISA</w:t>
      </w:r>
      <w:r>
        <w:rPr>
          <w:rFonts w:cs="Times New Roman"/>
          <w:noProof/>
          <w:vertAlign w:val="superscript"/>
          <w:lang w:val="en-GB"/>
        </w:rPr>
        <w:t>2</w:t>
      </w:r>
      <w:r>
        <w:rPr>
          <w:rFonts w:cs="Times New Roman"/>
          <w:noProof/>
          <w:lang w:val="en-GB"/>
        </w:rPr>
        <w:t>, it also addresses the above-listed recommendations. It is also worth noting that ISA</w:t>
      </w:r>
      <w:r>
        <w:rPr>
          <w:rFonts w:cs="Times New Roman"/>
          <w:noProof/>
          <w:vertAlign w:val="superscript"/>
          <w:lang w:val="en-GB"/>
        </w:rPr>
        <w:t>2</w:t>
      </w:r>
      <w:r>
        <w:rPr>
          <w:rFonts w:cs="Times New Roman"/>
          <w:noProof/>
          <w:lang w:val="en-GB"/>
        </w:rPr>
        <w:t xml:space="preserve"> aims to achieve its objectives through a number of actions that continue from the previous edition of the programme, as well as through new actions. Where relevant, the impact of ISA on ISA</w:t>
      </w:r>
      <w:r>
        <w:rPr>
          <w:rFonts w:cs="Times New Roman"/>
          <w:noProof/>
          <w:vertAlign w:val="superscript"/>
          <w:lang w:val="en-GB"/>
        </w:rPr>
        <w:t>2</w:t>
      </w:r>
      <w:r>
        <w:rPr>
          <w:rFonts w:cs="Times New Roman"/>
          <w:noProof/>
          <w:lang w:val="en-GB"/>
        </w:rPr>
        <w:t xml:space="preserve"> was assessed by </w:t>
      </w:r>
      <w:r>
        <w:rPr>
          <w:rFonts w:cs="Times New Roman"/>
          <w:b/>
          <w:noProof/>
          <w:lang w:val="en-GB"/>
        </w:rPr>
        <w:t>comparing the performance of actions continued from ISA with that of actions started during ISA</w:t>
      </w:r>
      <w:r>
        <w:rPr>
          <w:rFonts w:cs="Times New Roman"/>
          <w:b/>
          <w:noProof/>
          <w:vertAlign w:val="superscript"/>
          <w:lang w:val="en-GB"/>
        </w:rPr>
        <w:t>2</w:t>
      </w:r>
      <w:r>
        <w:rPr>
          <w:rFonts w:cs="Times New Roman"/>
          <w:noProof/>
          <w:lang w:val="en-GB"/>
        </w:rPr>
        <w:t>.</w:t>
      </w:r>
    </w:p>
    <w:p>
      <w:pPr>
        <w:rPr>
          <w:rFonts w:cs="Times New Roman"/>
          <w:noProof/>
          <w:lang w:val="en-GB"/>
        </w:rPr>
      </w:pPr>
      <w:r>
        <w:rPr>
          <w:rFonts w:cs="Times New Roman"/>
          <w:noProof/>
          <w:lang w:val="en-GB"/>
        </w:rPr>
        <w:br w:type="page"/>
      </w:r>
    </w:p>
    <w:p>
      <w:pPr>
        <w:pStyle w:val="Heading1"/>
        <w:rPr>
          <w:noProof/>
        </w:rPr>
      </w:pPr>
      <w:bookmarkStart w:id="7" w:name="_Toc14708131"/>
      <w:r>
        <w:rPr>
          <w:noProof/>
        </w:rPr>
        <w:t>Implementation / State of Play</w:t>
      </w:r>
      <w:bookmarkEnd w:id="7"/>
    </w:p>
    <w:p>
      <w:pPr>
        <w:pStyle w:val="Heading2"/>
        <w:rPr>
          <w:noProof/>
        </w:rPr>
      </w:pPr>
      <w:bookmarkStart w:id="8" w:name="_Toc14708132"/>
      <w:r>
        <w:rPr>
          <w:noProof/>
        </w:rPr>
        <w:t>Description of the current situation</w:t>
      </w:r>
      <w:bookmarkEnd w:id="8"/>
    </w:p>
    <w:p>
      <w:pPr>
        <w:jc w:val="both"/>
        <w:rPr>
          <w:rFonts w:cs="Times New Roman"/>
          <w:noProof/>
          <w:lang w:val="en-GB"/>
        </w:rPr>
      </w:pPr>
      <w:r>
        <w:rPr>
          <w:rFonts w:cs="Times New Roman"/>
          <w:noProof/>
          <w:lang w:val="en-GB"/>
        </w:rPr>
        <w:t>ISA² has been operational from 1 January 2016 and will continue to run until 31 December 2020. It has a total budget of around €131 million. ISA</w:t>
      </w:r>
      <w:r>
        <w:rPr>
          <w:rFonts w:cs="Times New Roman"/>
          <w:noProof/>
          <w:vertAlign w:val="superscript"/>
          <w:lang w:val="en-GB"/>
        </w:rPr>
        <w:t>2</w:t>
      </w:r>
      <w:r>
        <w:rPr>
          <w:rFonts w:cs="Times New Roman"/>
          <w:noProof/>
          <w:lang w:val="en-GB"/>
        </w:rPr>
        <w:t xml:space="preserve"> consists of </w:t>
      </w:r>
      <w:r>
        <w:rPr>
          <w:rFonts w:cs="Times New Roman"/>
          <w:b/>
          <w:noProof/>
          <w:lang w:val="en-GB"/>
        </w:rPr>
        <w:t>nine groups of actions</w:t>
      </w:r>
      <w:r>
        <w:rPr>
          <w:rFonts w:cs="Times New Roman"/>
          <w:noProof/>
          <w:lang w:val="en-GB"/>
        </w:rPr>
        <w:t xml:space="preserve">, called packages, which are defined on a yearly basis through an </w:t>
      </w:r>
      <w:r>
        <w:rPr>
          <w:rFonts w:cs="Times New Roman"/>
          <w:b/>
          <w:noProof/>
          <w:lang w:val="en-GB"/>
        </w:rPr>
        <w:t>annual revision of the rolling work programme (rolling work programme)</w:t>
      </w:r>
      <w:r>
        <w:rPr>
          <w:rFonts w:cs="Times New Roman"/>
          <w:noProof/>
          <w:lang w:val="en-GB"/>
        </w:rPr>
        <w:t>:</w:t>
      </w:r>
    </w:p>
    <w:p>
      <w:pPr>
        <w:pStyle w:val="Firstlevellist"/>
        <w:rPr>
          <w:noProof/>
        </w:rPr>
      </w:pPr>
      <w:r>
        <w:rPr>
          <w:noProof/>
        </w:rPr>
        <w:t>key and generic interoperability enablers;</w:t>
      </w:r>
    </w:p>
    <w:p>
      <w:pPr>
        <w:pStyle w:val="Firstlevellist"/>
        <w:rPr>
          <w:noProof/>
        </w:rPr>
      </w:pPr>
      <w:r>
        <w:rPr>
          <w:noProof/>
        </w:rPr>
        <w:t>semantic interoperability</w:t>
      </w:r>
      <w:r>
        <w:rPr>
          <w:rStyle w:val="FootnoteReference"/>
          <w:noProof/>
        </w:rPr>
        <w:footnoteReference w:id="17"/>
      </w:r>
      <w:r>
        <w:rPr>
          <w:noProof/>
        </w:rPr>
        <w:t>;</w:t>
      </w:r>
    </w:p>
    <w:p>
      <w:pPr>
        <w:pStyle w:val="Firstlevellist"/>
        <w:rPr>
          <w:noProof/>
        </w:rPr>
      </w:pPr>
      <w:r>
        <w:rPr>
          <w:noProof/>
        </w:rPr>
        <w:t>access to data / data sharing / open data;</w:t>
      </w:r>
    </w:p>
    <w:p>
      <w:pPr>
        <w:pStyle w:val="Firstlevellist"/>
        <w:rPr>
          <w:noProof/>
        </w:rPr>
      </w:pPr>
      <w:r>
        <w:rPr>
          <w:noProof/>
        </w:rPr>
        <w:t>geospatial solutions;</w:t>
      </w:r>
    </w:p>
    <w:p>
      <w:pPr>
        <w:pStyle w:val="Firstlevellist"/>
        <w:rPr>
          <w:noProof/>
        </w:rPr>
      </w:pPr>
      <w:r>
        <w:rPr>
          <w:noProof/>
        </w:rPr>
        <w:t>eProcurement / eInvoicing;</w:t>
      </w:r>
    </w:p>
    <w:p>
      <w:pPr>
        <w:pStyle w:val="Firstlevellist"/>
        <w:rPr>
          <w:noProof/>
        </w:rPr>
      </w:pPr>
      <w:r>
        <w:rPr>
          <w:noProof/>
        </w:rPr>
        <w:t>decision-making and legislation;</w:t>
      </w:r>
    </w:p>
    <w:p>
      <w:pPr>
        <w:pStyle w:val="Firstlevellist"/>
        <w:rPr>
          <w:noProof/>
        </w:rPr>
      </w:pPr>
      <w:r>
        <w:rPr>
          <w:noProof/>
        </w:rPr>
        <w:t>EU policies — supporting instruments;</w:t>
      </w:r>
    </w:p>
    <w:p>
      <w:pPr>
        <w:pStyle w:val="Firstlevellist"/>
        <w:rPr>
          <w:noProof/>
        </w:rPr>
      </w:pPr>
      <w:r>
        <w:rPr>
          <w:noProof/>
        </w:rPr>
        <w:t>supporting instruments for public administrations; and</w:t>
      </w:r>
    </w:p>
    <w:p>
      <w:pPr>
        <w:pStyle w:val="FirstlevellistLAST"/>
        <w:rPr>
          <w:noProof/>
        </w:rPr>
      </w:pPr>
      <w:r>
        <w:rPr>
          <w:noProof/>
        </w:rPr>
        <w:t>accompanying measures.</w:t>
      </w:r>
    </w:p>
    <w:p>
      <w:pPr>
        <w:jc w:val="both"/>
        <w:rPr>
          <w:rFonts w:cs="Times New Roman"/>
          <w:noProof/>
          <w:lang w:val="en-GB"/>
        </w:rPr>
      </w:pPr>
      <w:r>
        <w:rPr>
          <w:rFonts w:cs="Times New Roman"/>
          <w:noProof/>
          <w:lang w:val="en-GB"/>
        </w:rPr>
        <w:t>The 2018 rolling work programme consists of 53 actions, categorised into the nine packages mentioned above. ISA</w:t>
      </w:r>
      <w:r>
        <w:rPr>
          <w:rFonts w:cs="Times New Roman"/>
          <w:noProof/>
          <w:vertAlign w:val="superscript"/>
          <w:lang w:val="en-GB"/>
        </w:rPr>
        <w:t>2</w:t>
      </w:r>
      <w:r>
        <w:rPr>
          <w:rFonts w:cs="Times New Roman"/>
          <w:noProof/>
          <w:lang w:val="en-GB"/>
        </w:rPr>
        <w:t xml:space="preserve"> managed 39 actions in its first year of operation, 43 actions in 2017, 53 actions in 2018, and is currently managing </w:t>
      </w:r>
      <w:r>
        <w:rPr>
          <w:rFonts w:cs="Times New Roman"/>
          <w:b/>
          <w:noProof/>
          <w:lang w:val="en-GB"/>
        </w:rPr>
        <w:t>54 actions under the 2019 rolling work programme</w:t>
      </w:r>
      <w:r>
        <w:rPr>
          <w:rFonts w:cs="Times New Roman"/>
          <w:noProof/>
          <w:lang w:val="en-GB"/>
        </w:rPr>
        <w:t xml:space="preserve">. </w:t>
      </w:r>
      <w:r>
        <w:rPr>
          <w:rFonts w:cs="Times New Roman"/>
          <w:noProof/>
        </w:rPr>
        <w:fldChar w:fldCharType="begin"/>
      </w:r>
      <w:r>
        <w:rPr>
          <w:rFonts w:cs="Times New Roman"/>
          <w:noProof/>
          <w:lang w:val="en-GB"/>
        </w:rPr>
        <w:instrText xml:space="preserve"> REF _Ref9338333 \h  \* MERGEFORMAT </w:instrText>
      </w:r>
      <w:r>
        <w:rPr>
          <w:rFonts w:cs="Times New Roman"/>
          <w:noProof/>
        </w:rPr>
      </w:r>
      <w:r>
        <w:rPr>
          <w:rFonts w:cs="Times New Roman"/>
          <w:noProof/>
        </w:rPr>
        <w:fldChar w:fldCharType="separate"/>
      </w:r>
      <w:r>
        <w:rPr>
          <w:rFonts w:cs="Times New Roman"/>
          <w:noProof/>
          <w:lang w:val="en-GB"/>
        </w:rPr>
        <w:t>Table 1</w:t>
      </w:r>
      <w:r>
        <w:rPr>
          <w:rFonts w:cs="Times New Roman"/>
          <w:noProof/>
        </w:rPr>
        <w:fldChar w:fldCharType="end"/>
      </w:r>
      <w:r>
        <w:rPr>
          <w:rFonts w:cs="Times New Roman"/>
          <w:noProof/>
          <w:lang w:val="en-GB"/>
        </w:rPr>
        <w:t xml:space="preserve"> provides a breakdown of actions and allocated budget per package and per year. As ISA</w:t>
      </w:r>
      <w:r>
        <w:rPr>
          <w:rFonts w:cs="Times New Roman"/>
          <w:noProof/>
          <w:vertAlign w:val="superscript"/>
          <w:lang w:val="en-GB"/>
        </w:rPr>
        <w:t>2</w:t>
      </w:r>
      <w:r>
        <w:rPr>
          <w:rFonts w:cs="Times New Roman"/>
          <w:noProof/>
          <w:lang w:val="en-GB"/>
        </w:rPr>
        <w:t xml:space="preserve"> is scheduled to end on 31 December 2020, one additional rolling work programme remains to be adopted. The present evaluation is based on the rolling work programme implemented in 2016, 2017 and 2018, as the 2019 rolling work programme had not yet been adopted when the data collection took place.</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w:t>
      </w:r>
      <w:r>
        <w:rPr>
          <w:rFonts w:cs="Times New Roman"/>
          <w:noProof/>
        </w:rPr>
        <w:fldChar w:fldCharType="end"/>
      </w:r>
      <w:r>
        <w:rPr>
          <w:rFonts w:cs="Times New Roman"/>
          <w:noProof/>
        </w:rPr>
        <w:t>: Overview of allocated budget and number of actions per package from 2016 to 2018</w:t>
      </w:r>
    </w:p>
    <w:tbl>
      <w:tblPr>
        <w:tblStyle w:val="GridTable5DarkAccent1"/>
        <w:tblW w:w="9039" w:type="dxa"/>
        <w:tblLook w:val="04A0" w:firstRow="1" w:lastRow="0" w:firstColumn="1" w:lastColumn="0" w:noHBand="0" w:noVBand="1"/>
      </w:tblPr>
      <w:tblGrid>
        <w:gridCol w:w="1945"/>
        <w:gridCol w:w="1439"/>
        <w:gridCol w:w="925"/>
        <w:gridCol w:w="1440"/>
        <w:gridCol w:w="925"/>
        <w:gridCol w:w="1440"/>
        <w:gridCol w:w="925"/>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Package</w:t>
            </w:r>
          </w:p>
        </w:tc>
        <w:tc>
          <w:tcPr>
            <w:tcW w:w="1473" w:type="dxa"/>
            <w:hideMark/>
          </w:tcPr>
          <w:p>
            <w:pPr>
              <w:spacing w:before="20" w:after="20"/>
              <w:cnfStyle w:val="100000000000" w:firstRow="1"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Allocated budget 2016 (thousand €)</w:t>
            </w:r>
          </w:p>
        </w:tc>
        <w:tc>
          <w:tcPr>
            <w:tcW w:w="881" w:type="dxa"/>
            <w:hideMark/>
          </w:tcPr>
          <w:p>
            <w:pPr>
              <w:spacing w:before="20" w:after="20"/>
              <w:cnfStyle w:val="100000000000" w:firstRow="1"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Actions 2016</w:t>
            </w:r>
          </w:p>
        </w:tc>
        <w:tc>
          <w:tcPr>
            <w:tcW w:w="1474" w:type="dxa"/>
            <w:hideMark/>
          </w:tcPr>
          <w:p>
            <w:pPr>
              <w:spacing w:before="20" w:after="20"/>
              <w:cnfStyle w:val="100000000000" w:firstRow="1"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Allocated budget 2017 (thousand €)</w:t>
            </w:r>
          </w:p>
        </w:tc>
        <w:tc>
          <w:tcPr>
            <w:tcW w:w="881" w:type="dxa"/>
            <w:hideMark/>
          </w:tcPr>
          <w:p>
            <w:pPr>
              <w:spacing w:before="20" w:after="20"/>
              <w:cnfStyle w:val="100000000000" w:firstRow="1"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Actions 2017</w:t>
            </w:r>
          </w:p>
        </w:tc>
        <w:tc>
          <w:tcPr>
            <w:tcW w:w="1474" w:type="dxa"/>
            <w:hideMark/>
          </w:tcPr>
          <w:p>
            <w:pPr>
              <w:spacing w:before="20" w:after="20"/>
              <w:cnfStyle w:val="100000000000" w:firstRow="1"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Allocated budget 2018 (thousand €)</w:t>
            </w:r>
          </w:p>
        </w:tc>
        <w:tc>
          <w:tcPr>
            <w:tcW w:w="881" w:type="dxa"/>
            <w:hideMark/>
          </w:tcPr>
          <w:p>
            <w:pPr>
              <w:spacing w:before="20" w:after="20"/>
              <w:cnfStyle w:val="100000000000" w:firstRow="1"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Actions 2018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Key and generic interoperability enablers</w:t>
            </w:r>
          </w:p>
        </w:tc>
        <w:tc>
          <w:tcPr>
            <w:tcW w:w="1473"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4 900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6</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5 407</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6</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4 250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7</w:t>
            </w:r>
          </w:p>
        </w:tc>
      </w:tr>
      <w:t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Semantic interoperability</w:t>
            </w:r>
          </w:p>
        </w:tc>
        <w:tc>
          <w:tcPr>
            <w:tcW w:w="1473"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2 008</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3</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1 831</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3</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1 503</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Access to data / data sharing / open data package</w:t>
            </w:r>
          </w:p>
        </w:tc>
        <w:tc>
          <w:tcPr>
            <w:tcW w:w="1473"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2 800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5</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3 548</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5</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3 925</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7</w:t>
            </w:r>
          </w:p>
        </w:tc>
      </w:tr>
      <w:t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 xml:space="preserve">Geospatial solutions </w:t>
            </w:r>
          </w:p>
        </w:tc>
        <w:tc>
          <w:tcPr>
            <w:tcW w:w="1473"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983</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2 240</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1 900</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 xml:space="preserve">eProcurement / eInvoicing </w:t>
            </w:r>
          </w:p>
        </w:tc>
        <w:tc>
          <w:tcPr>
            <w:tcW w:w="1473"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2 400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1</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1 445</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1</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1 063</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1</w:t>
            </w:r>
          </w:p>
        </w:tc>
      </w:tr>
      <w:t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Decision-making and legislation</w:t>
            </w:r>
          </w:p>
        </w:tc>
        <w:tc>
          <w:tcPr>
            <w:tcW w:w="1473"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2 260</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6</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2 608</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9</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2 235</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EU policies — supporting instruments</w:t>
            </w:r>
          </w:p>
        </w:tc>
        <w:tc>
          <w:tcPr>
            <w:tcW w:w="1473"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2 935</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3</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3 580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3</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4 820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5</w:t>
            </w:r>
          </w:p>
        </w:tc>
      </w:tr>
      <w:t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Supporting instruments for public administrations</w:t>
            </w:r>
          </w:p>
        </w:tc>
        <w:tc>
          <w:tcPr>
            <w:tcW w:w="1473"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4 425</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12</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3 533</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13</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5 315</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16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Accompanying measures</w:t>
            </w:r>
          </w:p>
        </w:tc>
        <w:tc>
          <w:tcPr>
            <w:tcW w:w="1473"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1 280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2</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730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2</w:t>
            </w:r>
          </w:p>
        </w:tc>
        <w:tc>
          <w:tcPr>
            <w:tcW w:w="1474"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1 290</w:t>
            </w:r>
          </w:p>
        </w:tc>
        <w:tc>
          <w:tcPr>
            <w:tcW w:w="88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sz w:val="22"/>
                <w:lang w:val="en-GB"/>
              </w:rPr>
            </w:pPr>
            <w:r>
              <w:rPr>
                <w:rFonts w:cs="Times New Roman"/>
                <w:noProof/>
                <w:sz w:val="22"/>
                <w:lang w:val="en-GB"/>
              </w:rPr>
              <w:t>2</w:t>
            </w:r>
          </w:p>
        </w:tc>
      </w:tr>
      <w:tr>
        <w:tc>
          <w:tcPr>
            <w:cnfStyle w:val="001000000000" w:firstRow="0" w:lastRow="0" w:firstColumn="1" w:lastColumn="0" w:oddVBand="0" w:evenVBand="0" w:oddHBand="0" w:evenHBand="0" w:firstRowFirstColumn="0" w:firstRowLastColumn="0" w:lastRowFirstColumn="0" w:lastRowLastColumn="0"/>
            <w:tcW w:w="1975" w:type="dxa"/>
            <w:hideMark/>
          </w:tcPr>
          <w:p>
            <w:pPr>
              <w:spacing w:before="20" w:after="20"/>
              <w:rPr>
                <w:rFonts w:cs="Times New Roman"/>
                <w:noProof/>
                <w:sz w:val="22"/>
                <w:lang w:val="en-GB"/>
              </w:rPr>
            </w:pPr>
            <w:r>
              <w:rPr>
                <w:rFonts w:cs="Times New Roman"/>
                <w:noProof/>
                <w:sz w:val="22"/>
                <w:lang w:val="en-GB"/>
              </w:rPr>
              <w:t>Total</w:t>
            </w:r>
          </w:p>
        </w:tc>
        <w:tc>
          <w:tcPr>
            <w:tcW w:w="1473"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23 991</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39</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25 545</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43</w:t>
            </w:r>
          </w:p>
        </w:tc>
        <w:tc>
          <w:tcPr>
            <w:tcW w:w="1474"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26 301</w:t>
            </w:r>
          </w:p>
        </w:tc>
        <w:tc>
          <w:tcPr>
            <w:tcW w:w="88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sz w:val="22"/>
                <w:lang w:val="en-GB"/>
              </w:rPr>
            </w:pPr>
            <w:r>
              <w:rPr>
                <w:rFonts w:cs="Times New Roman"/>
                <w:noProof/>
                <w:sz w:val="22"/>
                <w:lang w:val="en-GB"/>
              </w:rPr>
              <w:t>53</w:t>
            </w:r>
          </w:p>
        </w:tc>
      </w:tr>
    </w:tbl>
    <w:p>
      <w:pPr>
        <w:spacing w:line="240" w:lineRule="auto"/>
        <w:rPr>
          <w:rFonts w:cs="Times New Roman"/>
          <w:i/>
          <w:noProof/>
          <w:sz w:val="20"/>
          <w:lang w:val="en-GB"/>
        </w:rPr>
      </w:pPr>
      <w:r>
        <w:rPr>
          <w:rFonts w:cs="Times New Roman"/>
          <w:i/>
          <w:noProof/>
          <w:sz w:val="20"/>
          <w:lang w:val="en-GB"/>
        </w:rPr>
        <w:t>Source: ISA</w:t>
      </w:r>
      <w:r>
        <w:rPr>
          <w:rFonts w:cs="Times New Roman"/>
          <w:i/>
          <w:noProof/>
          <w:sz w:val="20"/>
          <w:vertAlign w:val="superscript"/>
          <w:lang w:val="en-GB"/>
        </w:rPr>
        <w:t>2</w:t>
      </w:r>
      <w:r>
        <w:rPr>
          <w:rFonts w:cs="Times New Roman"/>
          <w:i/>
          <w:noProof/>
          <w:sz w:val="20"/>
          <w:lang w:val="en-GB"/>
        </w:rPr>
        <w:t xml:space="preserve"> rolling work programmes (2016, 2017, 2018), indicative planning and financial overview.</w:t>
      </w:r>
    </w:p>
    <w:p>
      <w:pPr>
        <w:jc w:val="both"/>
        <w:rPr>
          <w:rFonts w:cs="Times New Roman"/>
          <w:noProof/>
          <w:lang w:val="en-GB"/>
        </w:rPr>
      </w:pPr>
      <w:r>
        <w:rPr>
          <w:rFonts w:cs="Times New Roman"/>
          <w:noProof/>
          <w:lang w:val="en-GB"/>
        </w:rPr>
        <w:t xml:space="preserve">The programme in its entirety is overseen by the </w:t>
      </w:r>
      <w:r>
        <w:rPr>
          <w:rFonts w:cs="Times New Roman"/>
          <w:b/>
          <w:noProof/>
          <w:lang w:val="en-GB"/>
        </w:rPr>
        <w:t>Interoperability Unit of DG DIGIT</w:t>
      </w:r>
      <w:r>
        <w:rPr>
          <w:rFonts w:cs="Times New Roman"/>
          <w:noProof/>
          <w:lang w:val="en-GB"/>
        </w:rPr>
        <w:t xml:space="preserve"> (DIGIT.D2), while individual actions are implemented by different Commission services, depending on the thematic scope. The Member States are also involved in programme governance through two channels: the </w:t>
      </w:r>
      <w:r>
        <w:rPr>
          <w:rFonts w:cs="Times New Roman"/>
          <w:b/>
          <w:noProof/>
          <w:lang w:val="en-GB"/>
        </w:rPr>
        <w:t>ISA² Committee</w:t>
      </w:r>
      <w:r>
        <w:rPr>
          <w:rFonts w:cs="Times New Roman"/>
          <w:noProof/>
          <w:lang w:val="en-GB"/>
        </w:rPr>
        <w:t xml:space="preserve">, the programme's high-level governing body, and the </w:t>
      </w:r>
      <w:r>
        <w:rPr>
          <w:rFonts w:cs="Times New Roman"/>
          <w:b/>
          <w:noProof/>
          <w:lang w:val="en-GB"/>
        </w:rPr>
        <w:t>ISA² Coordination Group</w:t>
      </w:r>
      <w:r>
        <w:rPr>
          <w:rFonts w:cs="Times New Roman"/>
          <w:noProof/>
          <w:lang w:val="en-GB"/>
        </w:rPr>
        <w:t>, a technical body mandated to ensure coherence between the programme’s actions</w:t>
      </w:r>
      <w:r>
        <w:rPr>
          <w:rStyle w:val="FootnoteReference"/>
          <w:noProof/>
        </w:rPr>
        <w:footnoteReference w:id="18"/>
      </w:r>
      <w:r>
        <w:rPr>
          <w:rFonts w:cs="Times New Roman"/>
          <w:noProof/>
          <w:lang w:val="en-GB"/>
        </w:rPr>
        <w:t>. All 28 EU Member States participate in the programme. Beyond the EU, ISA</w:t>
      </w:r>
      <w:r>
        <w:rPr>
          <w:rFonts w:cs="Times New Roman"/>
          <w:noProof/>
          <w:vertAlign w:val="superscript"/>
          <w:lang w:val="en-GB"/>
        </w:rPr>
        <w:t>2</w:t>
      </w:r>
      <w:r>
        <w:rPr>
          <w:rFonts w:cs="Times New Roman"/>
          <w:noProof/>
          <w:lang w:val="en-GB"/>
        </w:rPr>
        <w:t xml:space="preserve"> has three additional countries — Iceland, Montenegro and Norway — participate in ISA</w:t>
      </w:r>
      <w:r>
        <w:rPr>
          <w:rFonts w:cs="Times New Roman"/>
          <w:noProof/>
          <w:vertAlign w:val="superscript"/>
          <w:lang w:val="en-GB"/>
        </w:rPr>
        <w:t>2</w:t>
      </w:r>
      <w:r>
        <w:rPr>
          <w:rFonts w:cs="Times New Roman"/>
          <w:noProof/>
          <w:lang w:val="en-GB"/>
        </w:rPr>
        <w:t>. In addition, an administrative agreement between DG DIGIT and the Agency for the Development of the Government of Electronic Management and the Information and Knowledge Society of Uruguay has been in place since March 2018</w:t>
      </w:r>
      <w:r>
        <w:rPr>
          <w:rStyle w:val="FootnoteReference"/>
          <w:noProof/>
        </w:rPr>
        <w:footnoteReference w:id="19"/>
      </w:r>
      <w:r>
        <w:rPr>
          <w:rFonts w:cs="Times New Roman"/>
          <w:noProof/>
          <w:lang w:val="en-GB"/>
        </w:rPr>
        <w:t>.</w:t>
      </w:r>
    </w:p>
    <w:p>
      <w:pPr>
        <w:jc w:val="both"/>
        <w:rPr>
          <w:rFonts w:cs="Times New Roman"/>
          <w:noProof/>
          <w:lang w:val="en-GB"/>
        </w:rPr>
      </w:pPr>
      <w:r>
        <w:rPr>
          <w:rFonts w:cs="Times New Roman"/>
          <w:noProof/>
          <w:lang w:val="en-GB"/>
        </w:rPr>
        <w:t>ISA</w:t>
      </w:r>
      <w:r>
        <w:rPr>
          <w:rFonts w:cs="Times New Roman"/>
          <w:noProof/>
          <w:vertAlign w:val="superscript"/>
          <w:lang w:val="en-GB"/>
        </w:rPr>
        <w:t>2</w:t>
      </w:r>
      <w:r>
        <w:rPr>
          <w:rFonts w:cs="Times New Roman"/>
          <w:noProof/>
          <w:lang w:val="en-GB"/>
        </w:rPr>
        <w:t xml:space="preserve"> actions are selected and implemented through a process consisting of four steps taken each year:</w:t>
      </w:r>
    </w:p>
    <w:p>
      <w:pPr>
        <w:pStyle w:val="Firstlevellist"/>
        <w:rPr>
          <w:noProof/>
        </w:rPr>
      </w:pPr>
      <w:r>
        <w:rPr>
          <w:b/>
          <w:noProof/>
        </w:rPr>
        <w:t>Submission</w:t>
      </w:r>
      <w:r>
        <w:rPr>
          <w:noProof/>
        </w:rPr>
        <w:t>: Commission services, Member States, and other countries participating in ISA</w:t>
      </w:r>
      <w:r>
        <w:rPr>
          <w:noProof/>
          <w:vertAlign w:val="superscript"/>
        </w:rPr>
        <w:t>2</w:t>
      </w:r>
      <w:r>
        <w:rPr>
          <w:noProof/>
        </w:rPr>
        <w:t xml:space="preserve"> are invited to submit proposals for actions to be included in the rolling work programme via a call for proposals.</w:t>
      </w:r>
    </w:p>
    <w:p>
      <w:pPr>
        <w:pStyle w:val="Firstlevellist"/>
        <w:rPr>
          <w:noProof/>
        </w:rPr>
      </w:pPr>
      <w:r>
        <w:rPr>
          <w:b/>
          <w:noProof/>
        </w:rPr>
        <w:t>Evaluation and consultation of the ISA</w:t>
      </w:r>
      <w:r>
        <w:rPr>
          <w:b/>
          <w:noProof/>
          <w:vertAlign w:val="superscript"/>
        </w:rPr>
        <w:t>2</w:t>
      </w:r>
      <w:r>
        <w:rPr>
          <w:b/>
          <w:noProof/>
        </w:rPr>
        <w:t xml:space="preserve"> Committee</w:t>
      </w:r>
      <w:r>
        <w:rPr>
          <w:noProof/>
        </w:rPr>
        <w:t>: The submitted proposals are analysed by DIGIT.D2, which compiles a list of proposals that qualify to be included in the rolling work programme, based on the selection and prioritisation criteria as defined in the ISA</w:t>
      </w:r>
      <w:r>
        <w:rPr>
          <w:noProof/>
          <w:vertAlign w:val="superscript"/>
        </w:rPr>
        <w:t>2</w:t>
      </w:r>
      <w:r>
        <w:rPr>
          <w:noProof/>
        </w:rPr>
        <w:t xml:space="preserve"> Decision. The ISA</w:t>
      </w:r>
      <w:r>
        <w:rPr>
          <w:noProof/>
          <w:vertAlign w:val="superscript"/>
        </w:rPr>
        <w:t>2</w:t>
      </w:r>
      <w:r>
        <w:rPr>
          <w:noProof/>
        </w:rPr>
        <w:t xml:space="preserve"> Committee gives an opinion on the proposed action list.</w:t>
      </w:r>
    </w:p>
    <w:p>
      <w:pPr>
        <w:pStyle w:val="Firstlevellist"/>
        <w:rPr>
          <w:noProof/>
        </w:rPr>
      </w:pPr>
      <w:r>
        <w:rPr>
          <w:b/>
          <w:noProof/>
        </w:rPr>
        <w:t>Adoption</w:t>
      </w:r>
      <w:r>
        <w:rPr>
          <w:noProof/>
        </w:rPr>
        <w:t>: The annual rolling work programme is adopted by the Commission and the budget is released.</w:t>
      </w:r>
    </w:p>
    <w:p>
      <w:pPr>
        <w:pStyle w:val="FirstlevellistLAST"/>
        <w:rPr>
          <w:noProof/>
        </w:rPr>
      </w:pPr>
      <w:r>
        <w:rPr>
          <w:b/>
          <w:noProof/>
        </w:rPr>
        <w:t>Implementation</w:t>
      </w:r>
      <w:r>
        <w:rPr>
          <w:noProof/>
        </w:rPr>
        <w:t>: The actions in the adopted annual rolling work programme are implemented by the Commission services in charge.</w:t>
      </w:r>
    </w:p>
    <w:p>
      <w:pPr>
        <w:jc w:val="both"/>
        <w:rPr>
          <w:rFonts w:cs="Times New Roman"/>
          <w:noProof/>
          <w:lang w:val="en-GB"/>
        </w:rPr>
      </w:pPr>
      <w:r>
        <w:rPr>
          <w:rFonts w:cs="Times New Roman"/>
          <w:noProof/>
          <w:lang w:val="en-GB"/>
        </w:rPr>
        <w:t>The programme's overall performance and the progress of each action are frequently recorded through the quarterly and annual monitoring and evaluation reports, which feed into the ISA</w:t>
      </w:r>
      <w:r>
        <w:rPr>
          <w:rFonts w:cs="Times New Roman"/>
          <w:noProof/>
          <w:vertAlign w:val="superscript"/>
          <w:lang w:val="en-GB"/>
        </w:rPr>
        <w:t>2</w:t>
      </w:r>
      <w:r>
        <w:rPr>
          <w:rFonts w:cs="Times New Roman"/>
          <w:noProof/>
          <w:lang w:val="en-GB"/>
        </w:rPr>
        <w:t xml:space="preserve"> dashboard</w:t>
      </w:r>
      <w:r>
        <w:rPr>
          <w:rStyle w:val="FootnoteReference"/>
          <w:noProof/>
        </w:rPr>
        <w:footnoteReference w:id="20"/>
      </w:r>
      <w:r>
        <w:rPr>
          <w:rFonts w:cs="Times New Roman"/>
          <w:noProof/>
          <w:lang w:val="en-GB"/>
        </w:rPr>
        <w:t xml:space="preserve">. The dashboard is an online interactive tool that facilitates the dissemination of information about action activities and achievements, and their efficiency, effectiveness and coherence. The efficiency of actions is measured using the earned value management (EVM) analysis (see section 5.3 </w:t>
      </w:r>
      <w:r>
        <w:rPr>
          <w:rFonts w:cs="Times New Roman"/>
          <w:noProof/>
        </w:rPr>
        <w:fldChar w:fldCharType="begin"/>
      </w:r>
      <w:r>
        <w:rPr>
          <w:rFonts w:cs="Times New Roman"/>
          <w:noProof/>
          <w:lang w:val="en-GB"/>
        </w:rPr>
        <w:instrText xml:space="preserve"> REF _Ref9590260 \h  \* MERGEFORMAT </w:instrText>
      </w:r>
      <w:r>
        <w:rPr>
          <w:rFonts w:cs="Times New Roman"/>
          <w:noProof/>
        </w:rPr>
      </w:r>
      <w:r>
        <w:rPr>
          <w:rFonts w:cs="Times New Roman"/>
          <w:noProof/>
        </w:rPr>
        <w:fldChar w:fldCharType="separate"/>
      </w:r>
      <w:r>
        <w:rPr>
          <w:rFonts w:cs="Times New Roman"/>
          <w:noProof/>
          <w:lang w:val="en-GB"/>
        </w:rPr>
        <w:t>Efficiency</w:t>
      </w:r>
      <w:r>
        <w:rPr>
          <w:rFonts w:cs="Times New Roman"/>
          <w:noProof/>
        </w:rPr>
        <w:fldChar w:fldCharType="end"/>
      </w:r>
      <w:r>
        <w:rPr>
          <w:rFonts w:cs="Times New Roman"/>
          <w:noProof/>
          <w:lang w:val="en-GB"/>
        </w:rPr>
        <w:t xml:space="preserve">), effectiveness is presented in terms of performance indicators (see section 5.2 </w:t>
      </w:r>
      <w:r>
        <w:rPr>
          <w:rFonts w:cs="Times New Roman"/>
          <w:noProof/>
        </w:rPr>
        <w:fldChar w:fldCharType="begin"/>
      </w:r>
      <w:r>
        <w:rPr>
          <w:rFonts w:cs="Times New Roman"/>
          <w:noProof/>
          <w:lang w:val="en-GB"/>
        </w:rPr>
        <w:instrText xml:space="preserve"> REF _Ref9590329 \h  \* MERGEFORMAT </w:instrText>
      </w:r>
      <w:r>
        <w:rPr>
          <w:rFonts w:cs="Times New Roman"/>
          <w:noProof/>
        </w:rPr>
      </w:r>
      <w:r>
        <w:rPr>
          <w:rFonts w:cs="Times New Roman"/>
          <w:noProof/>
        </w:rPr>
        <w:fldChar w:fldCharType="separate"/>
      </w:r>
      <w:r>
        <w:rPr>
          <w:rFonts w:cs="Times New Roman"/>
          <w:noProof/>
          <w:lang w:val="en-GB"/>
        </w:rPr>
        <w:t>Effectiveness</w:t>
      </w:r>
      <w:r>
        <w:rPr>
          <w:rFonts w:cs="Times New Roman"/>
          <w:noProof/>
        </w:rPr>
        <w:fldChar w:fldCharType="end"/>
      </w:r>
      <w:r>
        <w:rPr>
          <w:rFonts w:cs="Times New Roman"/>
          <w:noProof/>
          <w:lang w:val="en-GB"/>
        </w:rPr>
        <w:t xml:space="preserve">), and the coherence of actions is mapped using network analysis (see section 5.4 </w:t>
      </w:r>
      <w:r>
        <w:rPr>
          <w:rFonts w:cs="Times New Roman"/>
          <w:noProof/>
        </w:rPr>
        <w:fldChar w:fldCharType="begin"/>
      </w:r>
      <w:r>
        <w:rPr>
          <w:rFonts w:cs="Times New Roman"/>
          <w:noProof/>
          <w:lang w:val="en-GB"/>
        </w:rPr>
        <w:instrText xml:space="preserve"> REF _Ref9590394 \h  \* MERGEFORMAT </w:instrText>
      </w:r>
      <w:r>
        <w:rPr>
          <w:rFonts w:cs="Times New Roman"/>
          <w:noProof/>
        </w:rPr>
      </w:r>
      <w:r>
        <w:rPr>
          <w:rFonts w:cs="Times New Roman"/>
          <w:noProof/>
        </w:rPr>
        <w:fldChar w:fldCharType="separate"/>
      </w:r>
      <w:r>
        <w:rPr>
          <w:rFonts w:cs="Times New Roman"/>
          <w:noProof/>
          <w:lang w:val="en-GB"/>
        </w:rPr>
        <w:t>Coherence</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_Ref9340333 \h  \* MERGEFORMAT </w:instrText>
      </w:r>
      <w:r>
        <w:rPr>
          <w:rFonts w:cs="Times New Roman"/>
          <w:noProof/>
        </w:rPr>
      </w:r>
      <w:r>
        <w:rPr>
          <w:rFonts w:cs="Times New Roman"/>
          <w:noProof/>
        </w:rPr>
        <w:fldChar w:fldCharType="separate"/>
      </w:r>
      <w:r>
        <w:rPr>
          <w:rFonts w:cs="Times New Roman"/>
          <w:noProof/>
          <w:lang w:val="en-GB"/>
        </w:rPr>
        <w:t>Figure 2</w:t>
      </w:r>
      <w:r>
        <w:rPr>
          <w:rFonts w:cs="Times New Roman"/>
          <w:noProof/>
        </w:rPr>
        <w:fldChar w:fldCharType="end"/>
      </w:r>
      <w:r>
        <w:rPr>
          <w:rFonts w:cs="Times New Roman"/>
          <w:noProof/>
          <w:lang w:val="en-GB"/>
        </w:rPr>
        <w:t xml:space="preserve"> illustrates the performance of the ISA</w:t>
      </w:r>
      <w:r>
        <w:rPr>
          <w:rFonts w:cs="Times New Roman"/>
          <w:noProof/>
          <w:vertAlign w:val="superscript"/>
          <w:lang w:val="en-GB"/>
        </w:rPr>
        <w:t>2</w:t>
      </w:r>
      <w:r>
        <w:rPr>
          <w:rFonts w:cs="Times New Roman"/>
          <w:noProof/>
          <w:lang w:val="en-GB"/>
        </w:rPr>
        <w:t xml:space="preserve"> programme until Q1 2019, as captured by the ISA</w:t>
      </w:r>
      <w:r>
        <w:rPr>
          <w:rFonts w:cs="Times New Roman"/>
          <w:noProof/>
          <w:vertAlign w:val="superscript"/>
          <w:lang w:val="en-GB"/>
        </w:rPr>
        <w:t>2</w:t>
      </w:r>
      <w:r>
        <w:rPr>
          <w:rFonts w:cs="Times New Roman"/>
          <w:noProof/>
          <w:lang w:val="en-GB"/>
        </w:rPr>
        <w:t xml:space="preserve"> dashboard based on data from the EVM mechanism.</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w:t>
      </w:r>
      <w:r>
        <w:rPr>
          <w:rFonts w:cs="Times New Roman"/>
          <w:noProof/>
        </w:rPr>
        <w:fldChar w:fldCharType="end"/>
      </w:r>
      <w:r>
        <w:rPr>
          <w:rFonts w:cs="Times New Roman"/>
          <w:noProof/>
        </w:rPr>
        <w:t>: Earned value analysis at programme level</w:t>
      </w:r>
    </w:p>
    <w:p>
      <w:pPr>
        <w:pStyle w:val="VISUAL"/>
        <w:rPr>
          <w:rFonts w:cs="Times New Roman"/>
          <w:noProof/>
        </w:rPr>
      </w:pPr>
      <w:r>
        <w:rPr>
          <w:rFonts w:cs="Times New Roman"/>
          <w:noProof/>
          <w:lang w:eastAsia="en-GB"/>
        </w:rPr>
        <w:drawing>
          <wp:inline distT="0" distB="0" distL="0" distR="0">
            <wp:extent cx="5472430" cy="23634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 Earned Value Analysis at Programme level Q4 2018.jpg"/>
                    <pic:cNvPicPr/>
                  </pic:nvPicPr>
                  <pic:blipFill>
                    <a:blip r:embed="rId59">
                      <a:extLst>
                        <a:ext uri="{28A0092B-C50C-407E-A947-70E740481C1C}">
                          <a14:useLocalDpi xmlns:a14="http://schemas.microsoft.com/office/drawing/2010/main" val="0"/>
                        </a:ext>
                      </a:extLst>
                    </a:blip>
                    <a:stretch>
                      <a:fillRect/>
                    </a:stretch>
                  </pic:blipFill>
                  <pic:spPr>
                    <a:xfrm>
                      <a:off x="0" y="0"/>
                      <a:ext cx="5472430" cy="2363470"/>
                    </a:xfrm>
                    <a:prstGeom prst="rect">
                      <a:avLst/>
                    </a:prstGeom>
                  </pic:spPr>
                </pic:pic>
              </a:graphicData>
            </a:graphic>
          </wp:inline>
        </w:drawing>
      </w:r>
    </w:p>
    <w:p>
      <w:pPr>
        <w:spacing w:after="0" w:line="240" w:lineRule="auto"/>
        <w:jc w:val="both"/>
        <w:rPr>
          <w:rFonts w:cs="Times New Roman"/>
          <w:i/>
          <w:noProof/>
          <w:sz w:val="20"/>
          <w:szCs w:val="20"/>
          <w:lang w:val="en-GB"/>
        </w:rPr>
      </w:pPr>
      <w:r>
        <w:rPr>
          <w:rFonts w:cs="Times New Roman"/>
          <w:i/>
          <w:noProof/>
          <w:sz w:val="20"/>
          <w:szCs w:val="20"/>
          <w:lang w:val="en-GB"/>
        </w:rPr>
        <w:t>Note: The cumulated planned value is the sum of the planned values of the programme's different actions for which the EVM is used. The cumulated earned value is the sum of the earned values of the programme's different actions for which the EVM is used. The budget at completion (BAC) is the sum of all undergoing and completed specific contracts financed by the ISA</w:t>
      </w:r>
      <w:r>
        <w:rPr>
          <w:rFonts w:cs="Times New Roman"/>
          <w:i/>
          <w:noProof/>
          <w:sz w:val="20"/>
          <w:szCs w:val="20"/>
          <w:vertAlign w:val="superscript"/>
          <w:lang w:val="en-GB"/>
        </w:rPr>
        <w:t>2</w:t>
      </w:r>
      <w:r>
        <w:rPr>
          <w:rFonts w:cs="Times New Roman"/>
          <w:i/>
          <w:noProof/>
          <w:sz w:val="20"/>
          <w:szCs w:val="20"/>
          <w:lang w:val="en-GB"/>
        </w:rPr>
        <w:t xml:space="preserve"> budget.</w:t>
      </w:r>
    </w:p>
    <w:p>
      <w:pPr>
        <w:spacing w:line="240" w:lineRule="auto"/>
        <w:jc w:val="both"/>
        <w:rPr>
          <w:rFonts w:cs="Times New Roman"/>
          <w:i/>
          <w:noProof/>
          <w:sz w:val="20"/>
          <w:lang w:val="en-GB"/>
        </w:rPr>
      </w:pPr>
      <w:r>
        <w:rPr>
          <w:rFonts w:cs="Times New Roman"/>
          <w:i/>
          <w:noProof/>
          <w:sz w:val="20"/>
          <w:lang w:val="en-GB"/>
        </w:rPr>
        <w:t>Source: Monitoring team of the ISA</w:t>
      </w:r>
      <w:r>
        <w:rPr>
          <w:rFonts w:cs="Times New Roman"/>
          <w:i/>
          <w:noProof/>
          <w:sz w:val="20"/>
          <w:vertAlign w:val="superscript"/>
          <w:lang w:val="en-GB"/>
        </w:rPr>
        <w:t>2</w:t>
      </w:r>
      <w:r>
        <w:rPr>
          <w:rFonts w:cs="Times New Roman"/>
          <w:i/>
          <w:noProof/>
          <w:sz w:val="20"/>
          <w:lang w:val="en-GB"/>
        </w:rPr>
        <w:t xml:space="preserve"> programme (see also the </w:t>
      </w:r>
      <w:hyperlink r:id="rId60" w:history="1">
        <w:r>
          <w:rPr>
            <w:rStyle w:val="Hyperlink"/>
            <w:rFonts w:cs="Times New Roman"/>
            <w:i/>
            <w:noProof/>
            <w:sz w:val="20"/>
            <w:lang w:val="en-GB"/>
          </w:rPr>
          <w:t>Efficiency view of the ISA</w:t>
        </w:r>
        <w:r>
          <w:rPr>
            <w:rStyle w:val="Hyperlink"/>
            <w:rFonts w:cs="Times New Roman"/>
            <w:i/>
            <w:noProof/>
            <w:sz w:val="20"/>
            <w:vertAlign w:val="superscript"/>
            <w:lang w:val="en-GB"/>
          </w:rPr>
          <w:t>2</w:t>
        </w:r>
        <w:r>
          <w:rPr>
            <w:rStyle w:val="Hyperlink"/>
            <w:rFonts w:cs="Times New Roman"/>
            <w:i/>
            <w:noProof/>
            <w:sz w:val="20"/>
            <w:lang w:val="en-GB"/>
          </w:rPr>
          <w:t xml:space="preserve"> Programme</w:t>
        </w:r>
      </w:hyperlink>
      <w:r>
        <w:rPr>
          <w:rStyle w:val="Hyperlink"/>
          <w:rFonts w:cs="Times New Roman"/>
          <w:i/>
          <w:noProof/>
          <w:color w:val="000000" w:themeColor="text1"/>
          <w:sz w:val="20"/>
          <w:lang w:val="en-GB"/>
        </w:rPr>
        <w:t>)</w:t>
      </w:r>
      <w:r>
        <w:rPr>
          <w:rFonts w:cs="Times New Roman"/>
          <w:i/>
          <w:noProof/>
          <w:sz w:val="20"/>
          <w:lang w:val="en-GB"/>
        </w:rPr>
        <w:t>.</w:t>
      </w:r>
    </w:p>
    <w:p>
      <w:pPr>
        <w:rPr>
          <w:rFonts w:cs="Times New Roman"/>
          <w:i/>
          <w:noProof/>
          <w:sz w:val="20"/>
          <w:lang w:val="en-GB"/>
        </w:rPr>
      </w:pPr>
      <w:r>
        <w:rPr>
          <w:rFonts w:cs="Times New Roman"/>
          <w:i/>
          <w:noProof/>
          <w:sz w:val="20"/>
          <w:lang w:val="en-GB"/>
        </w:rPr>
        <w:br w:type="page"/>
      </w:r>
    </w:p>
    <w:p>
      <w:pPr>
        <w:pStyle w:val="Heading1"/>
        <w:rPr>
          <w:noProof/>
        </w:rPr>
      </w:pPr>
      <w:bookmarkStart w:id="9" w:name="_Toc14708133"/>
      <w:r>
        <w:rPr>
          <w:noProof/>
        </w:rPr>
        <w:t>Method</w:t>
      </w:r>
      <w:bookmarkEnd w:id="9"/>
    </w:p>
    <w:p>
      <w:pPr>
        <w:pStyle w:val="Heading2"/>
        <w:rPr>
          <w:noProof/>
        </w:rPr>
      </w:pPr>
      <w:bookmarkStart w:id="10" w:name="_Toc14708134"/>
      <w:r>
        <w:rPr>
          <w:noProof/>
        </w:rPr>
        <w:t>Short description of methodology</w:t>
      </w:r>
      <w:bookmarkEnd w:id="10"/>
    </w:p>
    <w:p>
      <w:pPr>
        <w:jc w:val="both"/>
        <w:rPr>
          <w:rFonts w:cs="Times New Roman"/>
          <w:noProof/>
          <w:lang w:val="en-GB"/>
        </w:rPr>
      </w:pPr>
      <w:r>
        <w:rPr>
          <w:rFonts w:cs="Times New Roman"/>
          <w:noProof/>
          <w:lang w:val="en-GB"/>
        </w:rPr>
        <w:t xml:space="preserve">As a first step, the Commission outlined and agreed on the draft evaluation design (including the intervention logic and the evaluation questions). It then reached out to external experts and asked them to support the evaluation process (see </w:t>
      </w:r>
      <w:r>
        <w:rPr>
          <w:rFonts w:cs="Times New Roman"/>
          <w:noProof/>
        </w:rPr>
        <w:fldChar w:fldCharType="begin"/>
      </w:r>
      <w:r>
        <w:rPr>
          <w:rFonts w:cs="Times New Roman"/>
          <w:noProof/>
          <w:lang w:val="en-GB"/>
        </w:rPr>
        <w:instrText xml:space="preserve"> REF _Ref9346654 \h  \* MERGEFORMAT </w:instrText>
      </w:r>
      <w:r>
        <w:rPr>
          <w:rFonts w:cs="Times New Roman"/>
          <w:noProof/>
        </w:rPr>
      </w:r>
      <w:r>
        <w:rPr>
          <w:rFonts w:cs="Times New Roman"/>
          <w:noProof/>
        </w:rPr>
        <w:fldChar w:fldCharType="separate"/>
      </w:r>
      <w:r>
        <w:rPr>
          <w:rFonts w:cs="Times New Roman"/>
          <w:noProof/>
          <w:lang w:val="en-GB"/>
        </w:rPr>
        <w:t>Annex 1</w:t>
      </w:r>
      <w:r>
        <w:rPr>
          <w:rFonts w:cs="Times New Roman"/>
          <w:noProof/>
        </w:rPr>
        <w:fldChar w:fldCharType="end"/>
      </w:r>
      <w:r>
        <w:rPr>
          <w:rFonts w:cs="Times New Roman"/>
          <w:noProof/>
          <w:lang w:val="en-GB"/>
        </w:rPr>
        <w:t>). The consultant refined the evaluation design and — with the help and under the close monitoring of the Commission — moved to action. First, it collected data, then validated and analysed them, as explained in the following sections. At the end, the consultant summarised its findings in an independent evaluation study (referred to as the CEPS final study in this report)</w:t>
      </w:r>
      <w:r>
        <w:rPr>
          <w:rStyle w:val="FootnoteReference"/>
          <w:noProof/>
        </w:rPr>
        <w:footnoteReference w:id="21"/>
      </w:r>
      <w:r>
        <w:rPr>
          <w:rFonts w:cs="Times New Roman"/>
          <w:noProof/>
          <w:lang w:val="en-GB"/>
        </w:rPr>
        <w:t>.</w:t>
      </w:r>
    </w:p>
    <w:p>
      <w:pPr>
        <w:pStyle w:val="Heading3"/>
        <w:rPr>
          <w:noProof/>
          <w:lang w:val="en-GB"/>
        </w:rPr>
      </w:pPr>
      <w:r>
        <w:rPr>
          <w:noProof/>
          <w:lang w:val="en-GB"/>
        </w:rPr>
        <w:t>Data collection</w:t>
      </w:r>
    </w:p>
    <w:p>
      <w:pPr>
        <w:jc w:val="both"/>
        <w:rPr>
          <w:rFonts w:cs="Times New Roman"/>
          <w:noProof/>
          <w:lang w:val="en-GB"/>
        </w:rPr>
      </w:pPr>
      <w:r>
        <w:rPr>
          <w:rFonts w:cs="Times New Roman"/>
          <w:noProof/>
          <w:lang w:val="en-GB"/>
        </w:rPr>
        <w:t>The data collection phase involved a mix of quantitative and qualitative data collection methods and aimed to gather the evidence base to respond to the evaluation questions (EQs) specified in the evaluation framework (</w:t>
      </w:r>
      <w:r>
        <w:rPr>
          <w:rFonts w:cs="Times New Roman"/>
          <w:noProof/>
        </w:rPr>
        <w:fldChar w:fldCharType="begin"/>
      </w:r>
      <w:r>
        <w:rPr>
          <w:rFonts w:cs="Times New Roman"/>
          <w:noProof/>
          <w:lang w:val="en-GB"/>
        </w:rPr>
        <w:instrText xml:space="preserve"> REF _Ref9341586 \h  \* MERGEFORMAT </w:instrText>
      </w:r>
      <w:r>
        <w:rPr>
          <w:rFonts w:cs="Times New Roman"/>
          <w:noProof/>
        </w:rPr>
      </w:r>
      <w:r>
        <w:rPr>
          <w:rFonts w:cs="Times New Roman"/>
          <w:noProof/>
        </w:rPr>
        <w:fldChar w:fldCharType="separate"/>
      </w:r>
      <w:r>
        <w:rPr>
          <w:rFonts w:cs="Times New Roman"/>
          <w:noProof/>
          <w:lang w:val="en-GB"/>
        </w:rPr>
        <w:t>Annex 4</w:t>
      </w:r>
      <w:r>
        <w:rPr>
          <w:rFonts w:cs="Times New Roman"/>
          <w:noProof/>
        </w:rPr>
        <w:fldChar w:fldCharType="end"/>
      </w:r>
      <w:r>
        <w:rPr>
          <w:rFonts w:cs="Times New Roman"/>
          <w:noProof/>
          <w:lang w:val="en-GB"/>
        </w:rPr>
        <w:t>). More specifically, data were drawn from two main sources: consultation activities (</w:t>
      </w:r>
      <w:r>
        <w:rPr>
          <w:rFonts w:cs="Times New Roman"/>
          <w:b/>
          <w:noProof/>
          <w:lang w:val="en-GB"/>
        </w:rPr>
        <w:t>primary data</w:t>
      </w:r>
      <w:r>
        <w:rPr>
          <w:rFonts w:cs="Times New Roman"/>
          <w:noProof/>
          <w:lang w:val="en-GB"/>
        </w:rPr>
        <w:t>) and desk research (</w:t>
      </w:r>
      <w:r>
        <w:rPr>
          <w:rFonts w:cs="Times New Roman"/>
          <w:b/>
          <w:noProof/>
          <w:lang w:val="en-GB"/>
        </w:rPr>
        <w:t>secondary data</w:t>
      </w:r>
      <w:r>
        <w:rPr>
          <w:rFonts w:cs="Times New Roman"/>
          <w:noProof/>
          <w:lang w:val="en-GB"/>
        </w:rPr>
        <w:t>).</w:t>
      </w:r>
    </w:p>
    <w:p>
      <w:pPr>
        <w:pStyle w:val="Heading4"/>
        <w:rPr>
          <w:noProof/>
        </w:rPr>
      </w:pPr>
      <w:r>
        <w:rPr>
          <w:noProof/>
        </w:rPr>
        <w:t>Primary data</w:t>
      </w:r>
    </w:p>
    <w:p>
      <w:pPr>
        <w:jc w:val="both"/>
        <w:rPr>
          <w:rFonts w:cs="Times New Roman"/>
          <w:noProof/>
          <w:lang w:val="en-GB"/>
        </w:rPr>
      </w:pPr>
      <w:r>
        <w:rPr>
          <w:rFonts w:cs="Times New Roman"/>
          <w:noProof/>
          <w:lang w:val="en-GB"/>
        </w:rPr>
        <w:t>Primary data were collected between 29 November 2018 and 1 March 2019 via the following consultation activities</w:t>
      </w:r>
      <w:r>
        <w:rPr>
          <w:rStyle w:val="FootnoteReference"/>
          <w:noProof/>
        </w:rPr>
        <w:footnoteReference w:id="22"/>
      </w:r>
      <w:r>
        <w:rPr>
          <w:rFonts w:cs="Times New Roman"/>
          <w:noProof/>
          <w:lang w:val="en-GB"/>
        </w:rPr>
        <w:t>:</w:t>
      </w:r>
    </w:p>
    <w:p>
      <w:pPr>
        <w:pStyle w:val="Firstlevellist"/>
        <w:rPr>
          <w:noProof/>
        </w:rPr>
      </w:pPr>
      <w:r>
        <w:rPr>
          <w:noProof/>
        </w:rPr>
        <w:t>short questionnaire distributed during the ISA</w:t>
      </w:r>
      <w:r>
        <w:rPr>
          <w:noProof/>
          <w:vertAlign w:val="superscript"/>
        </w:rPr>
        <w:t>2</w:t>
      </w:r>
      <w:r>
        <w:rPr>
          <w:noProof/>
        </w:rPr>
        <w:t xml:space="preserve"> Mid-Term Conference and the kick-off workshop;</w:t>
      </w:r>
    </w:p>
    <w:p>
      <w:pPr>
        <w:pStyle w:val="Firstlevellist"/>
        <w:rPr>
          <w:noProof/>
        </w:rPr>
      </w:pPr>
      <w:r>
        <w:rPr>
          <w:noProof/>
        </w:rPr>
        <w:t>public consultation;</w:t>
      </w:r>
    </w:p>
    <w:p>
      <w:pPr>
        <w:pStyle w:val="Firstlevellist"/>
        <w:rPr>
          <w:noProof/>
        </w:rPr>
      </w:pPr>
      <w:r>
        <w:rPr>
          <w:noProof/>
        </w:rPr>
        <w:t>targeted online surveys;</w:t>
      </w:r>
    </w:p>
    <w:p>
      <w:pPr>
        <w:pStyle w:val="Firstlevellist"/>
        <w:rPr>
          <w:noProof/>
        </w:rPr>
      </w:pPr>
      <w:r>
        <w:rPr>
          <w:noProof/>
        </w:rPr>
        <w:t>targeted in-depth interviews; and</w:t>
      </w:r>
    </w:p>
    <w:p>
      <w:pPr>
        <w:pStyle w:val="FirstlevellistLAST"/>
        <w:rPr>
          <w:noProof/>
        </w:rPr>
      </w:pPr>
      <w:r>
        <w:rPr>
          <w:noProof/>
        </w:rPr>
        <w:t>kick-off workshop.</w:t>
      </w:r>
    </w:p>
    <w:p>
      <w:pPr>
        <w:jc w:val="both"/>
        <w:rPr>
          <w:rFonts w:cs="Times New Roman"/>
          <w:noProof/>
          <w:lang w:val="en-GB"/>
        </w:rPr>
      </w:pPr>
      <w:r>
        <w:rPr>
          <w:rFonts w:cs="Times New Roman"/>
          <w:noProof/>
          <w:lang w:val="en-GB"/>
        </w:rPr>
        <w:t>These activities resulted in</w:t>
      </w:r>
      <w:r>
        <w:rPr>
          <w:rFonts w:cs="Times New Roman"/>
          <w:b/>
          <w:noProof/>
          <w:lang w:val="en-GB"/>
        </w:rPr>
        <w:t xml:space="preserve"> </w:t>
      </w:r>
      <w:r>
        <w:rPr>
          <w:rFonts w:cs="Times New Roman"/>
          <w:noProof/>
          <w:lang w:val="en-GB"/>
        </w:rPr>
        <w:t>a</w:t>
      </w:r>
      <w:r>
        <w:rPr>
          <w:rFonts w:cs="Times New Roman"/>
          <w:b/>
          <w:noProof/>
          <w:lang w:val="en-GB"/>
        </w:rPr>
        <w:t xml:space="preserve"> </w:t>
      </w:r>
      <w:r>
        <w:rPr>
          <w:rFonts w:cs="Times New Roman"/>
          <w:noProof/>
          <w:lang w:val="en-GB"/>
        </w:rPr>
        <w:t xml:space="preserve">total of </w:t>
      </w:r>
      <w:r>
        <w:rPr>
          <w:rFonts w:cs="Times New Roman"/>
          <w:b/>
          <w:noProof/>
          <w:lang w:val="en-GB"/>
        </w:rPr>
        <w:t>129 responses</w:t>
      </w:r>
      <w:r>
        <w:rPr>
          <w:rFonts w:cs="Times New Roman"/>
          <w:noProof/>
          <w:lang w:val="en-GB"/>
        </w:rPr>
        <w:t xml:space="preserve"> from stakeholders, out of which 14 replies arrived during the public consultation. The low consultation response rate is mainly explained by two reasons:</w:t>
      </w:r>
    </w:p>
    <w:p>
      <w:pPr>
        <w:pStyle w:val="Firstlevellist"/>
        <w:rPr>
          <w:noProof/>
        </w:rPr>
      </w:pPr>
      <w:r>
        <w:rPr>
          <w:noProof/>
        </w:rPr>
        <w:t>ISA</w:t>
      </w:r>
      <w:r>
        <w:rPr>
          <w:noProof/>
          <w:vertAlign w:val="superscript"/>
        </w:rPr>
        <w:t>2</w:t>
      </w:r>
      <w:r>
        <w:rPr>
          <w:noProof/>
        </w:rPr>
        <w:t xml:space="preserve"> is a technical programme producing solutions addressed mainly to European public administrations. Understanding how the programme works requires specific knowledge in the field. Therefore, direct contact between the average citizen/business and the programme tends to be very limited, and this most probably led to the reduced response rate. In order to increase the participation of citizens/businesses, a short questionnaire with the same questions as those of the public consultation was distributed during the ISA</w:t>
      </w:r>
      <w:r>
        <w:rPr>
          <w:noProof/>
          <w:vertAlign w:val="superscript"/>
        </w:rPr>
        <w:t>2</w:t>
      </w:r>
      <w:r>
        <w:rPr>
          <w:noProof/>
        </w:rPr>
        <w:t xml:space="preserve"> Mid-Term Conference, which resulted in 15 additional responses. It is worth noting, however, that businesses and citizens benefit from ISA</w:t>
      </w:r>
      <w:r>
        <w:rPr>
          <w:noProof/>
          <w:vertAlign w:val="superscript"/>
        </w:rPr>
        <w:t>2</w:t>
      </w:r>
      <w:r>
        <w:rPr>
          <w:noProof/>
        </w:rPr>
        <w:t xml:space="preserve"> solutions and activities indirectly, through their interactions with public administrations. Thus, a low response rate among these groups of stakeholders does not reflect negatively on the programme.</w:t>
      </w:r>
    </w:p>
    <w:p>
      <w:pPr>
        <w:pStyle w:val="FirstlevellistLAST"/>
        <w:rPr>
          <w:noProof/>
        </w:rPr>
      </w:pPr>
      <w:r>
        <w:rPr>
          <w:noProof/>
        </w:rPr>
        <w:t xml:space="preserve">Stakeholder groups that are in direct contact with the programme (e.g. solution users, action owners, etc.) were consulted via targeted online surveys and interviews, which covered </w:t>
      </w:r>
      <w:r>
        <w:rPr>
          <w:i/>
          <w:noProof/>
        </w:rPr>
        <w:t xml:space="preserve">inter alia </w:t>
      </w:r>
      <w:r>
        <w:rPr>
          <w:noProof/>
        </w:rPr>
        <w:t>the same topics addressed by the public consultation. Therefore, stakeholders belonging to these groups were asked not to respond to the public consultation in order to avoid duplicate answers.</w:t>
      </w:r>
    </w:p>
    <w:p>
      <w:pPr>
        <w:jc w:val="both"/>
        <w:rPr>
          <w:rFonts w:cs="Times New Roman"/>
          <w:noProof/>
          <w:lang w:val="en-GB"/>
        </w:rPr>
      </w:pPr>
      <w:r>
        <w:rPr>
          <w:rFonts w:cs="Times New Roman"/>
          <w:noProof/>
          <w:lang w:val="en-GB"/>
        </w:rPr>
        <w:t xml:space="preserve">Despite the relatively low response rate, the consultation activities allowed for a </w:t>
      </w:r>
      <w:r>
        <w:rPr>
          <w:rFonts w:cs="Times New Roman"/>
          <w:b/>
          <w:noProof/>
          <w:lang w:val="en-GB"/>
        </w:rPr>
        <w:t xml:space="preserve">wide coverage of the different stakeholders </w:t>
      </w:r>
      <w:r>
        <w:rPr>
          <w:rFonts w:cs="Times New Roman"/>
          <w:noProof/>
          <w:lang w:val="en-GB"/>
        </w:rPr>
        <w:t>of the ISA</w:t>
      </w:r>
      <w:r>
        <w:rPr>
          <w:rFonts w:cs="Times New Roman"/>
          <w:noProof/>
          <w:vertAlign w:val="superscript"/>
          <w:lang w:val="en-GB"/>
        </w:rPr>
        <w:t>2</w:t>
      </w:r>
      <w:r>
        <w:rPr>
          <w:rFonts w:cs="Times New Roman"/>
          <w:noProof/>
          <w:lang w:val="en-GB"/>
        </w:rPr>
        <w:t xml:space="preserve"> programme, ranging from actors involved in programme governance to citizens, i.e. the indirect beneficiaries of ISA</w:t>
      </w:r>
      <w:r>
        <w:rPr>
          <w:rFonts w:cs="Times New Roman"/>
          <w:noProof/>
          <w:vertAlign w:val="superscript"/>
          <w:lang w:val="en-GB"/>
        </w:rPr>
        <w:t>2</w:t>
      </w:r>
      <w:r>
        <w:rPr>
          <w:rFonts w:cs="Times New Roman"/>
          <w:noProof/>
          <w:lang w:val="en-GB"/>
        </w:rPr>
        <w:t xml:space="preserve">. Moreover, on average, the </w:t>
      </w:r>
      <w:r>
        <w:rPr>
          <w:rFonts w:cs="Times New Roman"/>
          <w:b/>
          <w:noProof/>
          <w:lang w:val="en-GB"/>
        </w:rPr>
        <w:t>respondents were characterised by a high level of</w:t>
      </w:r>
      <w:r>
        <w:rPr>
          <w:rFonts w:cs="Times New Roman"/>
          <w:noProof/>
          <w:lang w:val="en-GB"/>
        </w:rPr>
        <w:t xml:space="preserve"> </w:t>
      </w:r>
      <w:r>
        <w:rPr>
          <w:rFonts w:cs="Times New Roman"/>
          <w:b/>
          <w:noProof/>
          <w:lang w:val="en-GB"/>
        </w:rPr>
        <w:t>expertise</w:t>
      </w:r>
      <w:r>
        <w:rPr>
          <w:rFonts w:cs="Times New Roman"/>
          <w:noProof/>
          <w:lang w:val="en-GB"/>
        </w:rPr>
        <w:t xml:space="preserve">, which contributed to the quality and reliability of primary data collected. The in-depth interviews and targeted surveys provided particularly useful input to the interim evaluation. They were tailored to stakeholders closely related to the programme and allowed them to provide extensive details, thus making it possible for the evaluation to get deep insights into the subject areas covered. In general, primary data contributed to the assessment of all evaluation criteria. Overall, the </w:t>
      </w:r>
      <w:r>
        <w:rPr>
          <w:rFonts w:cs="Times New Roman"/>
          <w:b/>
          <w:noProof/>
          <w:lang w:val="en-GB"/>
        </w:rPr>
        <w:t>answers collected are consistent across stakeholder groups</w:t>
      </w:r>
      <w:r>
        <w:rPr>
          <w:rFonts w:cs="Times New Roman"/>
          <w:noProof/>
          <w:lang w:val="en-GB"/>
        </w:rPr>
        <w:t>.</w:t>
      </w:r>
    </w:p>
    <w:p>
      <w:pPr>
        <w:jc w:val="both"/>
        <w:rPr>
          <w:rFonts w:cs="Times New Roman"/>
          <w:noProof/>
          <w:lang w:val="en-GB"/>
        </w:rPr>
      </w:pPr>
      <w:r>
        <w:rPr>
          <w:rFonts w:cs="Times New Roman"/>
          <w:noProof/>
          <w:lang w:val="en-GB"/>
        </w:rPr>
        <w:t xml:space="preserve">For more details, please consult </w:t>
      </w:r>
      <w:r>
        <w:rPr>
          <w:rFonts w:cs="Times New Roman"/>
          <w:b/>
          <w:noProof/>
        </w:rPr>
        <w:fldChar w:fldCharType="begin"/>
      </w:r>
      <w:r>
        <w:rPr>
          <w:rFonts w:cs="Times New Roman"/>
          <w:b/>
          <w:noProof/>
          <w:lang w:val="en-GB"/>
        </w:rPr>
        <w:instrText xml:space="preserve"> REF _Ref9351660 \h  \* MERGEFORMAT </w:instrText>
      </w:r>
      <w:r>
        <w:rPr>
          <w:rFonts w:cs="Times New Roman"/>
          <w:b/>
          <w:noProof/>
        </w:rPr>
      </w:r>
      <w:r>
        <w:rPr>
          <w:rFonts w:cs="Times New Roman"/>
          <w:b/>
          <w:noProof/>
        </w:rPr>
        <w:fldChar w:fldCharType="separate"/>
      </w:r>
      <w:r>
        <w:rPr>
          <w:rFonts w:cs="Times New Roman"/>
          <w:b/>
          <w:noProof/>
          <w:lang w:val="en-GB"/>
        </w:rPr>
        <w:t>Annex 2: Synopsis report of the consultation activities</w:t>
      </w:r>
      <w:r>
        <w:rPr>
          <w:rFonts w:cs="Times New Roman"/>
          <w:b/>
          <w:noProof/>
        </w:rPr>
        <w:fldChar w:fldCharType="end"/>
      </w:r>
      <w:r>
        <w:rPr>
          <w:rFonts w:cs="Times New Roman"/>
          <w:b/>
          <w:noProof/>
          <w:lang w:val="en-GB"/>
        </w:rPr>
        <w:t xml:space="preserve">, </w:t>
      </w:r>
      <w:r>
        <w:rPr>
          <w:rFonts w:cs="Times New Roman"/>
          <w:noProof/>
          <w:lang w:val="en-GB"/>
        </w:rPr>
        <w:t>which presents a breakdown of responses by consultation activity and stakeholder category along with respondent characteristics.</w:t>
      </w:r>
    </w:p>
    <w:p>
      <w:pPr>
        <w:jc w:val="both"/>
        <w:rPr>
          <w:rFonts w:cs="Times New Roman"/>
          <w:noProof/>
          <w:lang w:val="en-GB"/>
        </w:rPr>
      </w:pPr>
      <w:r>
        <w:rPr>
          <w:rFonts w:cs="Times New Roman"/>
          <w:noProof/>
          <w:lang w:val="en-GB"/>
        </w:rPr>
        <w:t xml:space="preserve">Chapter 5 of this report presents the results of the consultation activities using mainly </w:t>
      </w:r>
      <w:r>
        <w:rPr>
          <w:rFonts w:cs="Times New Roman"/>
          <w:b/>
          <w:noProof/>
          <w:lang w:val="en-GB"/>
        </w:rPr>
        <w:t>bar charts with averages</w:t>
      </w:r>
      <w:r>
        <w:rPr>
          <w:rFonts w:cs="Times New Roman"/>
          <w:noProof/>
          <w:lang w:val="en-GB"/>
        </w:rPr>
        <w:t>. The results of the public and targeted consultation activities are combined and presented in aggregated form throughout the evaluation. For each question, average scores were computed for each stakeholder group that provided feedback on the specific question. Averages do not take into account those respondents who answered ‘don’t know/no opinion’ to the question under analysis. The data labels of the bar charts show the average score first, then the number of respondents in brackets.</w:t>
      </w:r>
    </w:p>
    <w:p>
      <w:pPr>
        <w:pStyle w:val="Heading4"/>
        <w:rPr>
          <w:noProof/>
        </w:rPr>
      </w:pPr>
      <w:r>
        <w:rPr>
          <w:noProof/>
        </w:rPr>
        <w:t>Secondary data</w:t>
      </w:r>
    </w:p>
    <w:p>
      <w:pPr>
        <w:jc w:val="both"/>
        <w:rPr>
          <w:rFonts w:cs="Times New Roman"/>
          <w:noProof/>
          <w:lang w:val="en-GB"/>
        </w:rPr>
      </w:pPr>
      <w:r>
        <w:rPr>
          <w:rFonts w:cs="Times New Roman"/>
          <w:noProof/>
          <w:lang w:val="en-GB"/>
        </w:rPr>
        <w:t>The desk research reviewed the following resources:</w:t>
      </w:r>
    </w:p>
    <w:p>
      <w:pPr>
        <w:pStyle w:val="Firstlevellist"/>
        <w:rPr>
          <w:noProof/>
          <w:sz w:val="20"/>
          <w:lang w:eastAsia="de-DE"/>
        </w:rPr>
      </w:pPr>
      <w:r>
        <w:rPr>
          <w:noProof/>
          <w:lang w:eastAsia="de-DE"/>
        </w:rPr>
        <w:t>publicly available documents and data sources, including the ISA</w:t>
      </w:r>
      <w:r>
        <w:rPr>
          <w:noProof/>
          <w:vertAlign w:val="superscript"/>
          <w:lang w:eastAsia="de-DE"/>
        </w:rPr>
        <w:t xml:space="preserve">2 </w:t>
      </w:r>
      <w:r>
        <w:rPr>
          <w:noProof/>
          <w:lang w:eastAsia="de-DE"/>
        </w:rPr>
        <w:t>annual rolling work programmes, the ISA</w:t>
      </w:r>
      <w:r>
        <w:rPr>
          <w:noProof/>
          <w:vertAlign w:val="superscript"/>
          <w:lang w:eastAsia="de-DE"/>
        </w:rPr>
        <w:t>2</w:t>
      </w:r>
      <w:r>
        <w:rPr>
          <w:noProof/>
          <w:lang w:eastAsia="de-DE"/>
        </w:rPr>
        <w:t xml:space="preserve"> dashboard, and the webpages dedicated to actions and solutions; and</w:t>
      </w:r>
    </w:p>
    <w:p>
      <w:pPr>
        <w:pStyle w:val="FirstlevellistLAST"/>
        <w:rPr>
          <w:noProof/>
          <w:lang w:eastAsia="de-DE"/>
        </w:rPr>
      </w:pPr>
      <w:r>
        <w:rPr>
          <w:noProof/>
          <w:lang w:eastAsia="de-DE"/>
        </w:rPr>
        <w:t>additional operational documents including monitoring and evaluation reports, overviews of communication activities, and lists of participants in the ISA</w:t>
      </w:r>
      <w:r>
        <w:rPr>
          <w:noProof/>
          <w:vertAlign w:val="superscript"/>
          <w:lang w:eastAsia="de-DE"/>
        </w:rPr>
        <w:t>2</w:t>
      </w:r>
      <w:r>
        <w:rPr>
          <w:noProof/>
          <w:lang w:eastAsia="de-DE"/>
        </w:rPr>
        <w:t xml:space="preserve"> Committee and Coordination Group.</w:t>
      </w:r>
    </w:p>
    <w:p>
      <w:pPr>
        <w:jc w:val="both"/>
        <w:rPr>
          <w:rFonts w:cs="Times New Roman"/>
          <w:noProof/>
          <w:lang w:val="en-GB"/>
        </w:rPr>
      </w:pP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provides an overview of the supporting evidence collected from desk research.</w:t>
      </w:r>
    </w:p>
    <w:p>
      <w:pPr>
        <w:jc w:val="both"/>
        <w:rPr>
          <w:rFonts w:cs="Times New Roman"/>
          <w:noProof/>
          <w:lang w:val="en-GB"/>
        </w:rPr>
      </w:pPr>
      <w:r>
        <w:rPr>
          <w:rFonts w:cs="Times New Roman"/>
          <w:noProof/>
          <w:lang w:val="en-GB"/>
        </w:rPr>
        <w:t xml:space="preserve">Note that, in order to better guide the data collection activities, </w:t>
      </w:r>
      <w:r>
        <w:rPr>
          <w:rFonts w:cs="Times New Roman"/>
          <w:b/>
          <w:noProof/>
          <w:lang w:val="en-GB"/>
        </w:rPr>
        <w:t>a sample of 20 actions was selected</w:t>
      </w:r>
      <w:r>
        <w:rPr>
          <w:rFonts w:cs="Times New Roman"/>
          <w:noProof/>
          <w:lang w:val="en-GB"/>
        </w:rPr>
        <w:t xml:space="preserve"> from the total of 53 actions funded by the ISA</w:t>
      </w:r>
      <w:r>
        <w:rPr>
          <w:rFonts w:cs="Times New Roman"/>
          <w:noProof/>
          <w:vertAlign w:val="superscript"/>
          <w:lang w:val="en-GB"/>
        </w:rPr>
        <w:t>2</w:t>
      </w:r>
      <w:r>
        <w:rPr>
          <w:rFonts w:cs="Times New Roman"/>
          <w:noProof/>
          <w:lang w:val="en-GB"/>
        </w:rPr>
        <w:t xml:space="preserve"> programme up to 2018. The criteria used for sampling and the sampled actions are presented in </w:t>
      </w:r>
      <w:r>
        <w:rPr>
          <w:rFonts w:cs="Times New Roman"/>
          <w:noProof/>
        </w:rPr>
        <w:fldChar w:fldCharType="begin"/>
      </w:r>
      <w:r>
        <w:rPr>
          <w:rFonts w:cs="Times New Roman"/>
          <w:noProof/>
          <w:lang w:val="en-GB"/>
        </w:rPr>
        <w:instrText xml:space="preserve"> REF _Ref9348102 \h  \* MERGEFORMAT </w:instrText>
      </w:r>
      <w:r>
        <w:rPr>
          <w:rFonts w:cs="Times New Roman"/>
          <w:noProof/>
        </w:rPr>
      </w:r>
      <w:r>
        <w:rPr>
          <w:rFonts w:cs="Times New Roman"/>
          <w:noProof/>
        </w:rPr>
        <w:fldChar w:fldCharType="separate"/>
      </w:r>
      <w:r>
        <w:rPr>
          <w:rFonts w:cs="Times New Roman"/>
          <w:noProof/>
          <w:lang w:val="en-GB"/>
        </w:rPr>
        <w:t xml:space="preserve">Annex 5: </w:t>
      </w:r>
      <w:r>
        <w:rPr>
          <w:rStyle w:val="Strong"/>
          <w:rFonts w:cs="Times New Roman"/>
          <w:noProof/>
          <w:lang w:val="en-GB"/>
        </w:rPr>
        <w:t>Sample of actions</w:t>
      </w:r>
      <w:r>
        <w:rPr>
          <w:rFonts w:cs="Times New Roman"/>
          <w:noProof/>
        </w:rPr>
        <w:fldChar w:fldCharType="end"/>
      </w:r>
      <w:r>
        <w:rPr>
          <w:rFonts w:cs="Times New Roman"/>
          <w:noProof/>
          <w:lang w:val="en-GB"/>
        </w:rPr>
        <w:t>.</w:t>
      </w:r>
    </w:p>
    <w:p>
      <w:pPr>
        <w:jc w:val="both"/>
        <w:rPr>
          <w:rFonts w:cs="Times New Roman"/>
          <w:noProof/>
          <w:lang w:val="en-GB"/>
        </w:rPr>
      </w:pPr>
      <w:r>
        <w:rPr>
          <w:rFonts w:cs="Times New Roman"/>
          <w:noProof/>
          <w:lang w:val="en-GB"/>
        </w:rPr>
        <w:t>The desk research, review of the programme's operational documents and targeted in-depth interviews focused on the 20 sampled actions. However, stakeholders involved in all sampled actions had the opportunity to respond to either the targeted online surveys or the public consultation, to participate in the kick-off workshop and to complete the short questionnaire distributed during the ISA</w:t>
      </w:r>
      <w:r>
        <w:rPr>
          <w:rFonts w:cs="Times New Roman"/>
          <w:noProof/>
          <w:vertAlign w:val="superscript"/>
          <w:lang w:val="en-GB"/>
        </w:rPr>
        <w:t>2</w:t>
      </w:r>
      <w:r>
        <w:rPr>
          <w:rFonts w:cs="Times New Roman"/>
          <w:noProof/>
          <w:lang w:val="en-GB"/>
        </w:rPr>
        <w:t xml:space="preserve"> Mid-Term Conference.</w:t>
      </w:r>
    </w:p>
    <w:p>
      <w:pPr>
        <w:jc w:val="both"/>
        <w:rPr>
          <w:rFonts w:cs="Times New Roman"/>
          <w:noProof/>
          <w:lang w:val="en-GB"/>
        </w:rPr>
      </w:pPr>
      <w:r>
        <w:rPr>
          <w:rFonts w:cs="Times New Roman"/>
          <w:noProof/>
          <w:lang w:val="en-GB"/>
        </w:rPr>
        <w:t>The data collection was complemented by an expert assessment of the programme, performed by four technical interoperability experts who were part of the consultant’s evaluation team.</w:t>
      </w:r>
    </w:p>
    <w:p>
      <w:pPr>
        <w:pStyle w:val="Heading3"/>
        <w:rPr>
          <w:noProof/>
          <w:lang w:val="en-GB"/>
        </w:rPr>
      </w:pPr>
      <w:r>
        <w:rPr>
          <w:noProof/>
          <w:lang w:val="en-GB"/>
        </w:rPr>
        <w:t>Data validation</w:t>
      </w:r>
    </w:p>
    <w:p>
      <w:pPr>
        <w:jc w:val="both"/>
        <w:rPr>
          <w:rFonts w:cs="Times New Roman"/>
          <w:noProof/>
          <w:lang w:val="en-GB"/>
        </w:rPr>
      </w:pPr>
      <w:r>
        <w:rPr>
          <w:rFonts w:cs="Times New Roman"/>
          <w:noProof/>
          <w:lang w:val="en-GB"/>
        </w:rPr>
        <w:t xml:space="preserve">The collected data were </w:t>
      </w:r>
      <w:r>
        <w:rPr>
          <w:rFonts w:cs="Times New Roman"/>
          <w:b/>
          <w:noProof/>
          <w:lang w:val="en-GB"/>
        </w:rPr>
        <w:t>validated via triangulation</w:t>
      </w:r>
      <w:r>
        <w:rPr>
          <w:rFonts w:cs="Times New Roman"/>
          <w:noProof/>
          <w:lang w:val="en-GB"/>
        </w:rPr>
        <w:t xml:space="preserve"> in order to ensure the robustness of evidence. The Commission’s Better Regulation Toolbox defines triangulation as ‘the application and combination of several research methodologies in the study of the same phenomenon’</w:t>
      </w:r>
      <w:r>
        <w:rPr>
          <w:rStyle w:val="FootnoteReference"/>
          <w:noProof/>
        </w:rPr>
        <w:footnoteReference w:id="23"/>
      </w:r>
      <w:r>
        <w:rPr>
          <w:rFonts w:cs="Times New Roman"/>
          <w:noProof/>
          <w:lang w:val="en-GB"/>
        </w:rPr>
        <w:t xml:space="preserve">. In fact, for all evaluation criteria and questions, data were </w:t>
      </w:r>
      <w:r>
        <w:rPr>
          <w:rFonts w:cs="Times New Roman"/>
          <w:b/>
          <w:noProof/>
          <w:lang w:val="en-GB"/>
        </w:rPr>
        <w:t>collected from multiple sources and via at least two different data collection methods</w:t>
      </w:r>
      <w:r>
        <w:rPr>
          <w:rFonts w:cs="Times New Roman"/>
          <w:noProof/>
          <w:lang w:val="en-GB"/>
        </w:rPr>
        <w:t xml:space="preserve"> (e.g. interviews, targeted questionnaire, public consultation, desk research).</w:t>
      </w:r>
    </w:p>
    <w:p>
      <w:pPr>
        <w:pStyle w:val="Heading3"/>
        <w:rPr>
          <w:noProof/>
          <w:lang w:val="en-GB"/>
        </w:rPr>
      </w:pPr>
      <w:r>
        <w:rPr>
          <w:noProof/>
          <w:lang w:val="en-GB"/>
        </w:rPr>
        <w:t>Quantitative methods of data analysis</w:t>
      </w:r>
    </w:p>
    <w:p>
      <w:pPr>
        <w:jc w:val="both"/>
        <w:rPr>
          <w:rFonts w:cs="Times New Roman"/>
          <w:noProof/>
          <w:lang w:val="en-GB"/>
        </w:rPr>
      </w:pPr>
      <w:r>
        <w:rPr>
          <w:rFonts w:cs="Times New Roman"/>
          <w:noProof/>
          <w:lang w:val="en-GB"/>
        </w:rPr>
        <w:t>Besides the statistical analysis of data collected via consultation activities, desk research and the qualitative analysis of open responses provided by consulted stakeholders and information contained in documentary evidence, three specific quantitative methods were used in order to evaluate the programme's efficiency:</w:t>
      </w:r>
    </w:p>
    <w:p>
      <w:pPr>
        <w:pStyle w:val="Firstlevellist"/>
        <w:rPr>
          <w:noProof/>
        </w:rPr>
      </w:pPr>
      <w:r>
        <w:rPr>
          <w:noProof/>
        </w:rPr>
        <w:t xml:space="preserve">The </w:t>
      </w:r>
      <w:r>
        <w:rPr>
          <w:b/>
          <w:noProof/>
        </w:rPr>
        <w:t>standard cost model</w:t>
      </w:r>
      <w:r>
        <w:rPr>
          <w:noProof/>
        </w:rPr>
        <w:t xml:space="preserve"> (SCM)</w:t>
      </w:r>
      <w:r>
        <w:rPr>
          <w:rStyle w:val="FootnoteReference"/>
          <w:noProof/>
        </w:rPr>
        <w:footnoteReference w:id="24"/>
      </w:r>
      <w:r>
        <w:rPr>
          <w:noProof/>
        </w:rPr>
        <w:t xml:space="preserve"> is a method of assessing administrative costs imposed by rules or policies </w:t>
      </w:r>
      <w:r>
        <w:rPr>
          <w:i/>
          <w:iCs/>
          <w:noProof/>
        </w:rPr>
        <w:t>inter alia</w:t>
      </w:r>
      <w:r>
        <w:rPr>
          <w:noProof/>
        </w:rPr>
        <w:t xml:space="preserve"> on businesses and public administrations. It is based on the identification of the basic components of a rule, the </w:t>
      </w:r>
      <w:r>
        <w:rPr>
          <w:b/>
          <w:noProof/>
        </w:rPr>
        <w:t>information obligations</w:t>
      </w:r>
      <w:r>
        <w:rPr>
          <w:noProof/>
        </w:rPr>
        <w:t>, whose costs for the addressees can be measured and quantified. An information obligation is a specific duty to gather, process or submit information to the public authority or a third party. The SCM was used to measure the costs borne by action owners in preparing and submitting proposals for ISA</w:t>
      </w:r>
      <w:r>
        <w:rPr>
          <w:noProof/>
          <w:vertAlign w:val="superscript"/>
        </w:rPr>
        <w:t>2</w:t>
      </w:r>
      <w:r>
        <w:rPr>
          <w:noProof/>
        </w:rPr>
        <w:t xml:space="preserve"> actions.</w:t>
      </w:r>
    </w:p>
    <w:p>
      <w:pPr>
        <w:pStyle w:val="Firstlevellist"/>
        <w:rPr>
          <w:noProof/>
        </w:rPr>
      </w:pPr>
      <w:r>
        <w:rPr>
          <w:b/>
          <w:noProof/>
        </w:rPr>
        <w:t xml:space="preserve">Cost-effectiveness analysis </w:t>
      </w:r>
      <w:r>
        <w:rPr>
          <w:noProof/>
        </w:rPr>
        <w:t>(CEA)</w:t>
      </w:r>
      <w:r>
        <w:rPr>
          <w:rStyle w:val="FootnoteReference"/>
          <w:noProof/>
        </w:rPr>
        <w:footnoteReference w:id="25"/>
      </w:r>
      <w:r>
        <w:rPr>
          <w:noProof/>
        </w:rPr>
        <w:t xml:space="preserve"> is a method of assessing the merits of a policy in an interim and </w:t>
      </w:r>
      <w:r>
        <w:rPr>
          <w:i/>
          <w:noProof/>
        </w:rPr>
        <w:t>ex post</w:t>
      </w:r>
      <w:r>
        <w:rPr>
          <w:noProof/>
        </w:rPr>
        <w:t xml:space="preserve"> evaluation setting. In a nutshell, CEA measures the value-for-money of past policies, i.e. the amount of benefit generated by unitary costs. </w:t>
      </w:r>
      <w:r>
        <w:rPr>
          <w:b/>
          <w:noProof/>
        </w:rPr>
        <w:t>Costs are measured in monetary terms,</w:t>
      </w:r>
      <w:r>
        <w:rPr>
          <w:noProof/>
        </w:rPr>
        <w:t xml:space="preserve"> whereas </w:t>
      </w:r>
      <w:r>
        <w:rPr>
          <w:b/>
          <w:noProof/>
        </w:rPr>
        <w:t>effectiveness is measured in ‘natural units’</w:t>
      </w:r>
      <w:r>
        <w:rPr>
          <w:noProof/>
        </w:rPr>
        <w:t>, and the unit of account varies depending on the nature of the problem addressed (e.g. the number of users of key and generic interoperability enablers). The heterogeneity of performance indicators available for ISA</w:t>
      </w:r>
      <w:r>
        <w:rPr>
          <w:noProof/>
          <w:vertAlign w:val="superscript"/>
        </w:rPr>
        <w:t>2</w:t>
      </w:r>
      <w:r>
        <w:rPr>
          <w:noProof/>
        </w:rPr>
        <w:t xml:space="preserve"> actions makes it difficult to draw conclusions about the programme's overall cost-effectiveness and thus using CEA was only possible for certain action packages and indicators, as described in Chapter 5.</w:t>
      </w:r>
    </w:p>
    <w:p>
      <w:pPr>
        <w:pStyle w:val="FirstlevellistLAST"/>
        <w:rPr>
          <w:noProof/>
        </w:rPr>
      </w:pPr>
      <w:r>
        <w:rPr>
          <w:noProof/>
        </w:rPr>
        <w:t>In line with the PM</w:t>
      </w:r>
      <w:r>
        <w:rPr>
          <w:noProof/>
          <w:vertAlign w:val="superscript"/>
        </w:rPr>
        <w:t>2</w:t>
      </w:r>
      <w:r>
        <w:rPr>
          <w:noProof/>
        </w:rPr>
        <w:t xml:space="preserve"> methodology developed by the Commission</w:t>
      </w:r>
      <w:r>
        <w:rPr>
          <w:rStyle w:val="FootnoteReference"/>
          <w:noProof/>
        </w:rPr>
        <w:footnoteReference w:id="26"/>
      </w:r>
      <w:r>
        <w:rPr>
          <w:noProof/>
        </w:rPr>
        <w:t xml:space="preserve">, the </w:t>
      </w:r>
      <w:r>
        <w:rPr>
          <w:b/>
          <w:noProof/>
        </w:rPr>
        <w:t>earned value management</w:t>
      </w:r>
      <w:r>
        <w:rPr>
          <w:noProof/>
        </w:rPr>
        <w:t xml:space="preserve"> (EVM) and </w:t>
      </w:r>
      <w:r>
        <w:rPr>
          <w:b/>
          <w:noProof/>
        </w:rPr>
        <w:t>earned schedule</w:t>
      </w:r>
      <w:r>
        <w:rPr>
          <w:noProof/>
        </w:rPr>
        <w:t xml:space="preserve"> (ES) methods are currently used to monitor and assess the </w:t>
      </w:r>
      <w:r>
        <w:rPr>
          <w:b/>
          <w:noProof/>
        </w:rPr>
        <w:t>efficiency of the ISA</w:t>
      </w:r>
      <w:r>
        <w:rPr>
          <w:b/>
          <w:noProof/>
          <w:vertAlign w:val="superscript"/>
        </w:rPr>
        <w:t xml:space="preserve">2 </w:t>
      </w:r>
      <w:r>
        <w:rPr>
          <w:b/>
          <w:noProof/>
        </w:rPr>
        <w:t>programme</w:t>
      </w:r>
      <w:r>
        <w:rPr>
          <w:noProof/>
        </w:rPr>
        <w:t>. EVM is a project management technique that helps determine work progress against a given baseline, so that costs, time, and scope of a certain activity are constantly tracked. In the context of the ISA</w:t>
      </w:r>
      <w:r>
        <w:rPr>
          <w:noProof/>
          <w:vertAlign w:val="superscript"/>
        </w:rPr>
        <w:t xml:space="preserve">2 </w:t>
      </w:r>
      <w:r>
        <w:rPr>
          <w:noProof/>
        </w:rPr>
        <w:t xml:space="preserve">programme, efficiency is assessed at action and programme levels. The implementation of EVM requires managers to calculate the </w:t>
      </w:r>
      <w:r>
        <w:rPr>
          <w:b/>
          <w:noProof/>
        </w:rPr>
        <w:t>earned value</w:t>
      </w:r>
      <w:r>
        <w:rPr>
          <w:noProof/>
        </w:rPr>
        <w:t xml:space="preserve">, i.e. a quantification of the ‘worth’ of the work done to date, and the </w:t>
      </w:r>
      <w:r>
        <w:rPr>
          <w:b/>
          <w:noProof/>
        </w:rPr>
        <w:t>actual costs</w:t>
      </w:r>
      <w:r>
        <w:rPr>
          <w:noProof/>
        </w:rPr>
        <w:t xml:space="preserve">, i.e. the </w:t>
      </w:r>
      <w:r>
        <w:rPr>
          <w:b/>
          <w:noProof/>
        </w:rPr>
        <w:t>executed budget for achieving the work</w:t>
      </w:r>
      <w:r>
        <w:rPr>
          <w:noProof/>
        </w:rPr>
        <w:t xml:space="preserve">, and to compare them with the </w:t>
      </w:r>
      <w:r>
        <w:rPr>
          <w:b/>
          <w:noProof/>
        </w:rPr>
        <w:t>planned value</w:t>
      </w:r>
      <w:r>
        <w:rPr>
          <w:noProof/>
        </w:rPr>
        <w:t xml:space="preserve"> of such activity. This allows for a better understanding of the programme's performance. The ES is an extension of the EVM method that deepens the level of analysis to a ‘units of time’ layer. In the framework of the ISA</w:t>
      </w:r>
      <w:r>
        <w:rPr>
          <w:noProof/>
          <w:vertAlign w:val="superscript"/>
        </w:rPr>
        <w:t xml:space="preserve">2 </w:t>
      </w:r>
      <w:r>
        <w:rPr>
          <w:noProof/>
        </w:rPr>
        <w:t>programme, tailored versions of the EVM and ES approaches are adopted</w:t>
      </w:r>
      <w:r>
        <w:rPr>
          <w:rStyle w:val="FootnoteReference"/>
          <w:noProof/>
        </w:rPr>
        <w:footnoteReference w:id="27"/>
      </w:r>
      <w:r>
        <w:rPr>
          <w:noProof/>
        </w:rPr>
        <w:t>.</w:t>
      </w:r>
    </w:p>
    <w:p>
      <w:pPr>
        <w:pStyle w:val="Heading2"/>
        <w:rPr>
          <w:noProof/>
        </w:rPr>
      </w:pPr>
      <w:bookmarkStart w:id="11" w:name="_Toc14708135"/>
      <w:r>
        <w:rPr>
          <w:noProof/>
        </w:rPr>
        <w:t>Limitations and robustness of findings</w:t>
      </w:r>
      <w:bookmarkEnd w:id="11"/>
    </w:p>
    <w:p>
      <w:pPr>
        <w:jc w:val="both"/>
        <w:rPr>
          <w:rFonts w:cs="Times New Roman"/>
          <w:noProof/>
          <w:lang w:val="en-GB"/>
        </w:rPr>
      </w:pPr>
      <w:r>
        <w:rPr>
          <w:rFonts w:cs="Times New Roman"/>
          <w:noProof/>
          <w:lang w:val="en-GB"/>
        </w:rPr>
        <w:t xml:space="preserve">The </w:t>
      </w:r>
      <w:hyperlink r:id="rId61" w:history="1">
        <w:r>
          <w:rPr>
            <w:rStyle w:val="Hyperlink"/>
            <w:rFonts w:cs="Times New Roman"/>
            <w:noProof/>
            <w:lang w:val="en-GB"/>
          </w:rPr>
          <w:t>consultation strategy</w:t>
        </w:r>
      </w:hyperlink>
      <w:r>
        <w:rPr>
          <w:rStyle w:val="FootnoteReference"/>
          <w:noProof/>
        </w:rPr>
        <w:footnoteReference w:id="28"/>
      </w:r>
      <w:r>
        <w:rPr>
          <w:rFonts w:cs="Times New Roman"/>
          <w:noProof/>
          <w:lang w:val="en-GB"/>
        </w:rPr>
        <w:t xml:space="preserve"> and the data collection plan put forward in the Evaluation Framework (</w:t>
      </w:r>
      <w:r>
        <w:rPr>
          <w:rFonts w:cs="Times New Roman"/>
          <w:noProof/>
        </w:rPr>
        <w:fldChar w:fldCharType="begin"/>
      </w:r>
      <w:r>
        <w:rPr>
          <w:rFonts w:cs="Times New Roman"/>
          <w:noProof/>
          <w:lang w:val="en-GB"/>
        </w:rPr>
        <w:instrText xml:space="preserve"> REF _Ref9341586 \h  \* MERGEFORMAT </w:instrText>
      </w:r>
      <w:r>
        <w:rPr>
          <w:rFonts w:cs="Times New Roman"/>
          <w:noProof/>
        </w:rPr>
      </w:r>
      <w:r>
        <w:rPr>
          <w:rFonts w:cs="Times New Roman"/>
          <w:noProof/>
        </w:rPr>
        <w:fldChar w:fldCharType="separate"/>
      </w:r>
      <w:r>
        <w:rPr>
          <w:rFonts w:cs="Times New Roman"/>
          <w:noProof/>
          <w:lang w:val="en-GB"/>
        </w:rPr>
        <w:t>Annex 4</w:t>
      </w:r>
      <w:r>
        <w:rPr>
          <w:rFonts w:cs="Times New Roman"/>
          <w:noProof/>
        </w:rPr>
        <w:fldChar w:fldCharType="end"/>
      </w:r>
      <w:r>
        <w:rPr>
          <w:rFonts w:cs="Times New Roman"/>
          <w:noProof/>
          <w:lang w:val="en-GB"/>
        </w:rPr>
        <w:t xml:space="preserve">) were fully implemented. Therefore, the evaluation was able to draw robust conclusions for all EQs based on both primary and secondary data. Nevertheless, some emphasis needs to be placed on </w:t>
      </w:r>
      <w:r>
        <w:rPr>
          <w:rFonts w:cs="Times New Roman"/>
          <w:b/>
          <w:noProof/>
          <w:lang w:val="en-GB"/>
        </w:rPr>
        <w:t>caveats</w:t>
      </w:r>
      <w:r>
        <w:rPr>
          <w:rFonts w:cs="Times New Roman"/>
          <w:noProof/>
          <w:lang w:val="en-GB"/>
        </w:rPr>
        <w:t xml:space="preserve"> that may have an impact on the main findings of the interim evaluation as well as on future evaluation exercises:</w:t>
      </w:r>
    </w:p>
    <w:p>
      <w:pPr>
        <w:pStyle w:val="Firstlevellist"/>
        <w:rPr>
          <w:noProof/>
        </w:rPr>
      </w:pPr>
      <w:r>
        <w:rPr>
          <w:noProof/>
        </w:rPr>
        <w:t xml:space="preserve">The </w:t>
      </w:r>
      <w:r>
        <w:rPr>
          <w:b/>
          <w:noProof/>
        </w:rPr>
        <w:t>timing of this evaluation</w:t>
      </w:r>
      <w:r>
        <w:rPr>
          <w:noProof/>
        </w:rPr>
        <w:t xml:space="preserve"> is compliant with Article 13 of the ISA</w:t>
      </w:r>
      <w:r>
        <w:rPr>
          <w:noProof/>
          <w:vertAlign w:val="superscript"/>
        </w:rPr>
        <w:t>2</w:t>
      </w:r>
      <w:r>
        <w:rPr>
          <w:noProof/>
        </w:rPr>
        <w:t xml:space="preserve"> Decision, which requires the Commission to present an interim evaluation to the European Parliament and the Council by 30 September 2019. Given this constraint, the evaluation confined the analysis to actions funded during the programme's first three years (2016, 2017 and 2018). In particular, some actions under evaluation are still ongoing; hence, their outputs and outcomes can only be recorded to some extent. On a more general note, as discussed in the intervention logic (</w:t>
      </w:r>
      <w:r>
        <w:rPr>
          <w:noProof/>
        </w:rPr>
        <w:fldChar w:fldCharType="begin"/>
      </w:r>
      <w:r>
        <w:rPr>
          <w:noProof/>
        </w:rPr>
        <w:instrText xml:space="preserve"> REF _Ref9341762 \h  \* MERGEFORMAT </w:instrText>
      </w:r>
      <w:r>
        <w:rPr>
          <w:noProof/>
        </w:rPr>
      </w:r>
      <w:r>
        <w:rPr>
          <w:noProof/>
        </w:rPr>
        <w:fldChar w:fldCharType="separate"/>
      </w:r>
      <w:r>
        <w:rPr>
          <w:noProof/>
        </w:rPr>
        <w:t>Annex 3</w:t>
      </w:r>
      <w:r>
        <w:rPr>
          <w:noProof/>
        </w:rPr>
        <w:fldChar w:fldCharType="end"/>
      </w:r>
      <w:r>
        <w:rPr>
          <w:noProof/>
        </w:rPr>
        <w:t>), impacts occur over the long term and it is difficult to capture them in an interim evaluation. In principle, in the coming years ISA</w:t>
      </w:r>
      <w:r>
        <w:rPr>
          <w:noProof/>
          <w:vertAlign w:val="superscript"/>
        </w:rPr>
        <w:t>2</w:t>
      </w:r>
      <w:r>
        <w:rPr>
          <w:noProof/>
        </w:rPr>
        <w:t xml:space="preserve"> actions may see improvements</w:t>
      </w:r>
      <w:r>
        <w:rPr>
          <w:rStyle w:val="FootnoteReference"/>
          <w:noProof/>
        </w:rPr>
        <w:footnoteReference w:id="29"/>
      </w:r>
      <w:r>
        <w:rPr>
          <w:noProof/>
        </w:rPr>
        <w:t xml:space="preserve"> in the way they achieve the programme’s objectives and deliver the expected results.</w:t>
      </w:r>
    </w:p>
    <w:p>
      <w:pPr>
        <w:rPr>
          <w:rFonts w:cs="Times New Roman"/>
          <w:noProof/>
          <w:lang w:val="en-GB"/>
        </w:rPr>
      </w:pPr>
      <w:r>
        <w:rPr>
          <w:rFonts w:cs="Times New Roman"/>
          <w:noProof/>
          <w:lang w:val="en-IE"/>
        </w:rPr>
        <w:t xml:space="preserve">Only action owners had access to the </w:t>
      </w:r>
      <w:r>
        <w:rPr>
          <w:rFonts w:cs="Times New Roman"/>
          <w:b/>
          <w:noProof/>
          <w:lang w:val="en-IE"/>
        </w:rPr>
        <w:t>contact details of their solution users</w:t>
      </w:r>
      <w:r>
        <w:rPr>
          <w:rFonts w:cs="Times New Roman"/>
          <w:noProof/>
          <w:lang w:val="en-IE"/>
        </w:rPr>
        <w:t xml:space="preserve"> due to confidentiality and data protection reasons. Therefore, action owners were requested to: i) invite users to complete the relevant targeted online survey; and ii) share with DIGIT.D2 the details of those users who gave their consent to participate in interviews. This two-step approach may have limited the number of answers received from solution users. In addition, some action owners explained that they were unable to contact their users for the purpose of evaluation, as the users’ consent to be involved in consultation activities was never collected. Against this background, ISA</w:t>
      </w:r>
      <w:r>
        <w:rPr>
          <w:rFonts w:cs="Times New Roman"/>
          <w:noProof/>
          <w:vertAlign w:val="superscript"/>
          <w:lang w:val="en-IE"/>
        </w:rPr>
        <w:t>2</w:t>
      </w:r>
      <w:r>
        <w:rPr>
          <w:rFonts w:cs="Times New Roman"/>
          <w:noProof/>
          <w:lang w:val="en-IE"/>
        </w:rPr>
        <w:t xml:space="preserve"> may consider requesting its users to provide their consent to be contacted by Commission staff and contractors for evaluation purposes in the future.</w:t>
      </w:r>
      <w:r>
        <w:rPr>
          <w:rFonts w:cs="Times New Roman"/>
          <w:noProof/>
          <w:lang w:val="en-GB"/>
        </w:rPr>
        <w:br w:type="page"/>
      </w:r>
    </w:p>
    <w:p>
      <w:pPr>
        <w:pStyle w:val="Heading1"/>
        <w:rPr>
          <w:noProof/>
        </w:rPr>
      </w:pPr>
      <w:bookmarkStart w:id="12" w:name="_Toc14708136"/>
      <w:r>
        <w:rPr>
          <w:noProof/>
        </w:rPr>
        <w:t>Analysis and answers to the evaluation questions</w:t>
      </w:r>
      <w:bookmarkEnd w:id="12"/>
    </w:p>
    <w:p>
      <w:pPr>
        <w:jc w:val="both"/>
        <w:rPr>
          <w:rFonts w:cs="Times New Roman"/>
          <w:noProof/>
          <w:lang w:val="en-GB"/>
        </w:rPr>
      </w:pPr>
      <w:r>
        <w:rPr>
          <w:rFonts w:cs="Times New Roman"/>
          <w:noProof/>
          <w:lang w:val="en-GB"/>
        </w:rPr>
        <w:t>In line with the Evaluation Framework (</w:t>
      </w:r>
      <w:r>
        <w:rPr>
          <w:rFonts w:cs="Times New Roman"/>
          <w:noProof/>
        </w:rPr>
        <w:fldChar w:fldCharType="begin"/>
      </w:r>
      <w:r>
        <w:rPr>
          <w:rFonts w:cs="Times New Roman"/>
          <w:noProof/>
          <w:lang w:val="en-GB"/>
        </w:rPr>
        <w:instrText xml:space="preserve"> REF _Ref9341586 \h  \* MERGEFORMAT </w:instrText>
      </w:r>
      <w:r>
        <w:rPr>
          <w:rFonts w:cs="Times New Roman"/>
          <w:noProof/>
        </w:rPr>
      </w:r>
      <w:r>
        <w:rPr>
          <w:rFonts w:cs="Times New Roman"/>
          <w:noProof/>
        </w:rPr>
        <w:fldChar w:fldCharType="separate"/>
      </w:r>
      <w:r>
        <w:rPr>
          <w:rFonts w:cs="Times New Roman"/>
          <w:noProof/>
          <w:lang w:val="en-GB"/>
        </w:rPr>
        <w:t>Annex 4</w:t>
      </w:r>
      <w:r>
        <w:rPr>
          <w:rFonts w:cs="Times New Roman"/>
          <w:noProof/>
        </w:rPr>
        <w:fldChar w:fldCharType="end"/>
      </w:r>
      <w:r>
        <w:rPr>
          <w:rFonts w:cs="Times New Roman"/>
          <w:noProof/>
          <w:lang w:val="en-GB"/>
        </w:rPr>
        <w:t>), the interim evaluation focused on seven evaluation criteria: relevance, effectiveness, efficiency, coherence, EU added value, utility and sustainability. The below chapters present the following for each of them: a) the pre-defined evaluation questions (EQ) and related judgment criteria; b) the results of the analysis fed by the collected data; and finally c) the answer to the EQ.</w:t>
      </w:r>
    </w:p>
    <w:p>
      <w:pPr>
        <w:pStyle w:val="Heading2"/>
        <w:rPr>
          <w:noProof/>
        </w:rPr>
      </w:pPr>
      <w:bookmarkStart w:id="13" w:name="_Toc14708137"/>
      <w:r>
        <w:rPr>
          <w:noProof/>
        </w:rPr>
        <w:t>Relevance</w:t>
      </w:r>
      <w:bookmarkEnd w:id="13"/>
    </w:p>
    <w:p>
      <w:pPr>
        <w:pStyle w:val="Heading3"/>
        <w:rPr>
          <w:noProof/>
          <w:lang w:val="en-GB"/>
        </w:rPr>
      </w:pPr>
      <w:r>
        <w:rPr>
          <w:noProof/>
          <w:lang w:val="en-GB"/>
        </w:rPr>
        <w:t>Evaluation framework for 'relevance'</w:t>
      </w:r>
    </w:p>
    <w:p>
      <w:pPr>
        <w:jc w:val="both"/>
        <w:rPr>
          <w:rFonts w:cs="Times New Roman"/>
          <w:noProof/>
          <w:lang w:val="en-GB"/>
        </w:rPr>
      </w:pPr>
      <w:r>
        <w:rPr>
          <w:rFonts w:cs="Times New Roman"/>
          <w:noProof/>
          <w:lang w:val="en-GB"/>
        </w:rPr>
        <w:t>R</w:t>
      </w:r>
      <w:r>
        <w:rPr>
          <w:rFonts w:cs="Times New Roman"/>
          <w:bCs/>
          <w:noProof/>
          <w:lang w:val="en-GB"/>
        </w:rPr>
        <w:t>elevance</w:t>
      </w:r>
      <w:r>
        <w:rPr>
          <w:rFonts w:cs="Times New Roman"/>
          <w:noProof/>
          <w:lang w:val="en-GB"/>
        </w:rPr>
        <w:t xml:space="preserve"> refers to the alignment between the programme's objectives and the evolving needs and problems</w:t>
      </w:r>
      <w:r>
        <w:rPr>
          <w:rStyle w:val="FootnoteReference"/>
          <w:noProof/>
        </w:rPr>
        <w:footnoteReference w:id="30"/>
      </w:r>
      <w:r>
        <w:rPr>
          <w:rFonts w:cs="Times New Roman"/>
          <w:noProof/>
          <w:lang w:val="en-GB"/>
        </w:rPr>
        <w:t xml:space="preserve"> experienced by stakeholders. As shown in </w:t>
      </w:r>
      <w:r>
        <w:rPr>
          <w:rFonts w:cs="Times New Roman"/>
          <w:noProof/>
        </w:rPr>
        <w:fldChar w:fldCharType="begin"/>
      </w:r>
      <w:r>
        <w:rPr>
          <w:rFonts w:cs="Times New Roman"/>
          <w:noProof/>
          <w:lang w:val="en-GB"/>
        </w:rPr>
        <w:instrText xml:space="preserve"> REF _Ref9333370 \h  \* MERGEFORMAT </w:instrText>
      </w:r>
      <w:r>
        <w:rPr>
          <w:rFonts w:cs="Times New Roman"/>
          <w:noProof/>
        </w:rPr>
      </w:r>
      <w:r>
        <w:rPr>
          <w:rFonts w:cs="Times New Roman"/>
          <w:noProof/>
        </w:rPr>
        <w:fldChar w:fldCharType="separate"/>
      </w:r>
      <w:r>
        <w:rPr>
          <w:rFonts w:cs="Times New Roman"/>
          <w:noProof/>
          <w:lang w:val="en-GB"/>
        </w:rPr>
        <w:t>Box 1</w:t>
      </w:r>
      <w:r>
        <w:rPr>
          <w:rFonts w:cs="Times New Roman"/>
          <w:noProof/>
        </w:rPr>
        <w:fldChar w:fldCharType="end"/>
      </w:r>
      <w:r>
        <w:rPr>
          <w:rFonts w:cs="Times New Roman"/>
          <w:noProof/>
          <w:lang w:val="en-GB"/>
        </w:rPr>
        <w:t>, the interim evaluation translated this criterion into the following EQ:</w:t>
      </w:r>
    </w:p>
    <w:p>
      <w:pPr>
        <w:pStyle w:val="ListParagraph"/>
        <w:numPr>
          <w:ilvl w:val="0"/>
          <w:numId w:val="21"/>
        </w:numPr>
        <w:spacing w:after="200" w:line="276" w:lineRule="auto"/>
        <w:ind w:left="850"/>
        <w:rPr>
          <w:b/>
          <w:noProof/>
        </w:rPr>
      </w:pPr>
      <w:r>
        <w:rPr>
          <w:b/>
          <w:noProof/>
        </w:rPr>
        <w:t>To what extent are the objectives of the ISA² programme still pertinent in relation to the evolving needs and problems at both national and EU levels?</w:t>
      </w:r>
    </w:p>
    <w:p>
      <w:pPr>
        <w:jc w:val="both"/>
        <w:rPr>
          <w:rFonts w:cs="Times New Roman"/>
          <w:noProof/>
          <w:lang w:val="en-GB"/>
        </w:rPr>
      </w:pPr>
      <w:r>
        <w:rPr>
          <w:rFonts w:cs="Times New Roman"/>
          <w:noProof/>
          <w:lang w:val="en-GB"/>
        </w:rPr>
        <w:t xml:space="preserve">To answer this question, the evaluation assessed </w:t>
      </w:r>
      <w:r>
        <w:rPr>
          <w:rFonts w:cs="Times New Roman"/>
          <w:bCs/>
          <w:noProof/>
          <w:lang w:val="en-GB"/>
        </w:rPr>
        <w:t>two main judgment criteria (JCs)</w:t>
      </w:r>
      <w:r>
        <w:rPr>
          <w:rFonts w:cs="Times New Roman"/>
          <w:noProof/>
          <w:lang w:val="en-GB"/>
        </w:rPr>
        <w:t>, by relying on data collected via consultation activities as well as on expert assessment:</w:t>
      </w:r>
    </w:p>
    <w:p>
      <w:pPr>
        <w:pStyle w:val="ListParagraph"/>
        <w:numPr>
          <w:ilvl w:val="0"/>
          <w:numId w:val="22"/>
        </w:numPr>
        <w:spacing w:after="120" w:line="276" w:lineRule="auto"/>
        <w:ind w:left="850" w:hanging="737"/>
        <w:contextualSpacing w:val="0"/>
        <w:rPr>
          <w:noProof/>
        </w:rPr>
      </w:pPr>
      <w:r>
        <w:rPr>
          <w:noProof/>
        </w:rPr>
        <w:t>Alignment between needs and problems addressed by the programme and current needs and problems experienced at the EU, national and subnational level; and</w:t>
      </w:r>
    </w:p>
    <w:p>
      <w:pPr>
        <w:pStyle w:val="ListParagraph"/>
        <w:numPr>
          <w:ilvl w:val="0"/>
          <w:numId w:val="22"/>
        </w:numPr>
        <w:spacing w:after="200" w:line="276" w:lineRule="auto"/>
        <w:contextualSpacing w:val="0"/>
        <w:rPr>
          <w:noProof/>
        </w:rPr>
      </w:pPr>
      <w:r>
        <w:rPr>
          <w:noProof/>
        </w:rPr>
        <w:t>Alignment between the objectives of the programme and current needs and problems experienced at the EU, national and subnational level.</w:t>
      </w:r>
    </w:p>
    <w:p>
      <w:pPr>
        <w:pStyle w:val="Heading3"/>
        <w:rPr>
          <w:noProof/>
          <w:lang w:val="en-GB"/>
        </w:rPr>
      </w:pPr>
      <w:r>
        <w:rPr>
          <w:noProof/>
          <w:lang w:val="en-GB"/>
        </w:rPr>
        <w:t>Analysis</w:t>
      </w:r>
    </w:p>
    <w:p>
      <w:pPr>
        <w:pStyle w:val="Heading4"/>
        <w:rPr>
          <w:noProof/>
        </w:rPr>
      </w:pPr>
      <w:r>
        <w:rPr>
          <w:noProof/>
        </w:rPr>
        <w:t>JC1: Alignment between original and current needs and problems</w:t>
      </w:r>
    </w:p>
    <w:p>
      <w:pPr>
        <w:jc w:val="both"/>
        <w:rPr>
          <w:rFonts w:cs="Times New Roman"/>
          <w:noProof/>
          <w:lang w:val="en-GB"/>
        </w:rPr>
      </w:pPr>
      <w:r>
        <w:rPr>
          <w:rFonts w:cs="Times New Roman"/>
          <w:noProof/>
          <w:lang w:val="en-GB"/>
        </w:rPr>
        <w:t>The rapidly evolving nature of ICT and interoperability begs the question as to whether the needs and problems originally targeted by the programme are the same as the current needs and problems experienced by stakeholders.</w:t>
      </w:r>
    </w:p>
    <w:p>
      <w:pPr>
        <w:jc w:val="both"/>
        <w:rPr>
          <w:rFonts w:cs="Times New Roman"/>
          <w:noProof/>
          <w:lang w:val="en-GB"/>
        </w:rPr>
      </w:pPr>
      <w:r>
        <w:rPr>
          <w:rFonts w:cs="Times New Roman"/>
          <w:noProof/>
        </w:rPr>
        <w:fldChar w:fldCharType="begin"/>
      </w:r>
      <w:r>
        <w:rPr>
          <w:rFonts w:cs="Times New Roman"/>
          <w:noProof/>
          <w:lang w:val="en-GB"/>
        </w:rPr>
        <w:instrText xml:space="preserve"> REF _Ref9504117 \h  \* MERGEFORMAT </w:instrText>
      </w:r>
      <w:r>
        <w:rPr>
          <w:rFonts w:cs="Times New Roman"/>
          <w:noProof/>
        </w:rPr>
      </w:r>
      <w:r>
        <w:rPr>
          <w:rFonts w:cs="Times New Roman"/>
          <w:noProof/>
        </w:rPr>
        <w:fldChar w:fldCharType="separate"/>
      </w:r>
      <w:r>
        <w:rPr>
          <w:rFonts w:cs="Times New Roman"/>
          <w:noProof/>
          <w:lang w:val="en-GB"/>
        </w:rPr>
        <w:t>Figure 3</w:t>
      </w:r>
      <w:r>
        <w:rPr>
          <w:rFonts w:cs="Times New Roman"/>
          <w:noProof/>
        </w:rPr>
        <w:fldChar w:fldCharType="end"/>
      </w:r>
      <w:r>
        <w:rPr>
          <w:rFonts w:cs="Times New Roman"/>
          <w:noProof/>
          <w:lang w:val="en-GB"/>
        </w:rPr>
        <w:t xml:space="preserve"> shows the average scores derived from the answers received on this question, per stakeholder group. Overall, more than 70 % of respondents consider that </w:t>
      </w:r>
      <w:r>
        <w:rPr>
          <w:rFonts w:cs="Times New Roman"/>
          <w:b/>
          <w:bCs/>
          <w:noProof/>
          <w:lang w:val="en-GB"/>
        </w:rPr>
        <w:t>the three original needs</w:t>
      </w:r>
      <w:r>
        <w:rPr>
          <w:rFonts w:cs="Times New Roman"/>
          <w:noProof/>
          <w:lang w:val="en-GB"/>
        </w:rPr>
        <w:t xml:space="preserve">, as presented in </w:t>
      </w:r>
      <w:r>
        <w:rPr>
          <w:rFonts w:cs="Times New Roman"/>
          <w:noProof/>
        </w:rPr>
        <w:fldChar w:fldCharType="begin"/>
      </w:r>
      <w:r>
        <w:rPr>
          <w:rFonts w:cs="Times New Roman"/>
          <w:noProof/>
          <w:lang w:val="en-GB"/>
        </w:rPr>
        <w:instrText xml:space="preserve"> REF _Ref9504117 \h  \* MERGEFORMAT </w:instrText>
      </w:r>
      <w:r>
        <w:rPr>
          <w:rFonts w:cs="Times New Roman"/>
          <w:noProof/>
        </w:rPr>
      </w:r>
      <w:r>
        <w:rPr>
          <w:rFonts w:cs="Times New Roman"/>
          <w:noProof/>
        </w:rPr>
        <w:fldChar w:fldCharType="separate"/>
      </w:r>
      <w:r>
        <w:rPr>
          <w:rFonts w:cs="Times New Roman"/>
          <w:noProof/>
          <w:lang w:val="en-GB"/>
        </w:rPr>
        <w:t>Figure 3</w:t>
      </w:r>
      <w:r>
        <w:rPr>
          <w:rFonts w:cs="Times New Roman"/>
          <w:noProof/>
        </w:rPr>
        <w:fldChar w:fldCharType="end"/>
      </w:r>
      <w:r>
        <w:rPr>
          <w:rFonts w:cs="Times New Roman"/>
          <w:noProof/>
          <w:lang w:val="en-GB"/>
        </w:rPr>
        <w:t xml:space="preserve">, </w:t>
      </w:r>
      <w:r>
        <w:rPr>
          <w:rFonts w:cs="Times New Roman"/>
          <w:b/>
          <w:bCs/>
          <w:noProof/>
          <w:lang w:val="en-GB"/>
        </w:rPr>
        <w:t>are still relevant</w:t>
      </w:r>
      <w:r>
        <w:rPr>
          <w:rFonts w:cs="Times New Roman"/>
          <w:noProof/>
          <w:lang w:val="en-GB"/>
        </w:rPr>
        <w:t xml:space="preserve"> to a high extent or to the fullest extent (93 out of 128 respondents for the first need, 99 out of 127 respondents for the second need, and 94 out of 125 respondents for the third need). The persistence of </w:t>
      </w:r>
      <w:r>
        <w:rPr>
          <w:rFonts w:cs="Times New Roman"/>
          <w:b/>
          <w:bCs/>
          <w:noProof/>
          <w:lang w:val="en-GB"/>
        </w:rPr>
        <w:t>the problem of administrative e-barriers originally identified by the programme is confirmed as well.</w:t>
      </w:r>
      <w:r>
        <w:rPr>
          <w:rFonts w:cs="Times New Roman"/>
          <w:noProof/>
          <w:lang w:val="en-GB"/>
        </w:rPr>
        <w:t xml:space="preserve"> Two-thirds of the respondents (79 out of 118) consider this problem still relevant to a high extent or the fullest extent, in comparison to almost 13 % (15 out of 118) who believe the problem is relevant only to a limited extent or not at all.</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3</w:t>
      </w:r>
      <w:r>
        <w:rPr>
          <w:rFonts w:cs="Times New Roman"/>
          <w:noProof/>
        </w:rPr>
        <w:fldChar w:fldCharType="end"/>
      </w:r>
      <w:r>
        <w:rPr>
          <w:rFonts w:cs="Times New Roman"/>
          <w:noProof/>
        </w:rPr>
        <w:t xml:space="preserve">: </w:t>
      </w:r>
      <w:bookmarkStart w:id="14" w:name="_Ref14383468"/>
      <w:r>
        <w:rPr>
          <w:rFonts w:cs="Times New Roman"/>
          <w:noProof/>
        </w:rPr>
        <w:t>Extent to which needs and problems originally addressed by ISA</w:t>
      </w:r>
      <w:r>
        <w:rPr>
          <w:rFonts w:cs="Times New Roman"/>
          <w:noProof/>
          <w:vertAlign w:val="superscript"/>
        </w:rPr>
        <w:t>2</w:t>
      </w:r>
      <w:r>
        <w:rPr>
          <w:rFonts w:cs="Times New Roman"/>
          <w:noProof/>
        </w:rPr>
        <w:t xml:space="preserve"> are currently experienced by European public administrations, businesses and/or citizens (average score of answers, number of respondents)</w:t>
      </w:r>
      <w:bookmarkEnd w:id="14"/>
    </w:p>
    <w:p>
      <w:pPr>
        <w:pStyle w:val="VISUAL"/>
        <w:rPr>
          <w:rFonts w:cs="Times New Roman"/>
          <w:noProof/>
        </w:rPr>
      </w:pPr>
      <w:r>
        <w:rPr>
          <w:rFonts w:cs="Times New Roman"/>
          <w:noProof/>
          <w:lang w:eastAsia="en-GB"/>
        </w:rPr>
        <w:drawing>
          <wp:inline distT="0" distB="0" distL="0" distR="0">
            <wp:extent cx="5521124" cy="4901565"/>
            <wp:effectExtent l="0" t="0" r="3810"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after="0" w:line="240" w:lineRule="auto"/>
        <w:jc w:val="both"/>
        <w:rPr>
          <w:rFonts w:cs="Times New Roman"/>
          <w:i/>
          <w:noProof/>
          <w:sz w:val="20"/>
          <w:szCs w:val="20"/>
          <w:lang w:val="en-GB"/>
        </w:rPr>
      </w:pPr>
      <w:r>
        <w:rPr>
          <w:rFonts w:cs="Times New Roman"/>
          <w:i/>
          <w:noProof/>
          <w:sz w:val="20"/>
          <w:szCs w:val="20"/>
          <w:lang w:val="en-GB"/>
        </w:rPr>
        <w:t xml:space="preserve">Score: (1) not at all; (2) to a limited extent; (3) to some extent; (4) to a high extent; or (5) to the fullest extent. </w:t>
      </w:r>
    </w:p>
    <w:p>
      <w:pPr>
        <w:spacing w:after="0" w:line="240" w:lineRule="auto"/>
        <w:jc w:val="both"/>
        <w:rPr>
          <w:rFonts w:cs="Times New Roman"/>
          <w:i/>
          <w:noProof/>
          <w:sz w:val="20"/>
          <w:szCs w:val="20"/>
          <w:lang w:val="en-GB"/>
        </w:rPr>
      </w:pPr>
      <w:r>
        <w:rPr>
          <w:rFonts w:cs="Times New Roman"/>
          <w:i/>
          <w:noProof/>
          <w:sz w:val="20"/>
          <w:szCs w:val="20"/>
          <w:lang w:val="en-GB"/>
        </w:rPr>
        <w:t>Note: Averages do not account for respondents answering ‘don’t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63"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b/>
          <w:bCs/>
          <w:noProof/>
          <w:lang w:val="en-GB"/>
        </w:rPr>
        <w:t>There are some additional needs and problems that the programme could aim to address</w:t>
      </w:r>
      <w:r>
        <w:rPr>
          <w:rFonts w:cs="Times New Roman"/>
          <w:noProof/>
          <w:lang w:val="en-GB"/>
        </w:rPr>
        <w:t>, as pointed out by 39 % of the consulted stakeholders (46 out of 129). More specifically, several respondents converged on the following needs and problems related to interoperability of public services that European public administrations, businesses and/or citizens currently experience:</w:t>
      </w:r>
    </w:p>
    <w:p>
      <w:pPr>
        <w:pStyle w:val="FirstlevellistLAST"/>
        <w:numPr>
          <w:ilvl w:val="0"/>
          <w:numId w:val="0"/>
        </w:numPr>
        <w:spacing w:after="200"/>
        <w:rPr>
          <w:noProof/>
          <w:u w:val="single"/>
        </w:rPr>
      </w:pPr>
      <w:r>
        <w:rPr>
          <w:noProof/>
          <w:u w:val="single"/>
        </w:rPr>
        <w:t>EU level:</w:t>
      </w:r>
    </w:p>
    <w:p>
      <w:pPr>
        <w:pStyle w:val="Firstlevellist"/>
        <w:widowControl w:val="0"/>
        <w:ind w:left="714" w:hanging="357"/>
        <w:rPr>
          <w:noProof/>
        </w:rPr>
      </w:pPr>
      <w:r>
        <w:rPr>
          <w:noProof/>
        </w:rPr>
        <w:t xml:space="preserve">The need for a </w:t>
      </w:r>
      <w:r>
        <w:rPr>
          <w:b/>
          <w:noProof/>
        </w:rPr>
        <w:t>more binding legal framework for interoperability</w:t>
      </w:r>
      <w:r>
        <w:rPr>
          <w:rStyle w:val="FootnoteReference"/>
          <w:noProof/>
        </w:rPr>
        <w:footnoteReference w:id="31"/>
      </w:r>
      <w:r>
        <w:rPr>
          <w:noProof/>
        </w:rPr>
        <w:t>, including the need for legally binding standards or the general need for a more binding approach to interoperability in the EU.</w:t>
      </w:r>
    </w:p>
    <w:p>
      <w:pPr>
        <w:pStyle w:val="Firstlevellist"/>
        <w:rPr>
          <w:noProof/>
        </w:rPr>
      </w:pPr>
      <w:r>
        <w:rPr>
          <w:noProof/>
        </w:rPr>
        <w:t>The need for a more prescriptive approach to designing interoperable public services (‘</w:t>
      </w:r>
      <w:r>
        <w:rPr>
          <w:b/>
          <w:noProof/>
        </w:rPr>
        <w:t>interoperability by design’</w:t>
      </w:r>
      <w:r>
        <w:rPr>
          <w:noProof/>
        </w:rPr>
        <w:t>). It is worth noting, however, that the revised EIF adopted in 2017 explicitly mentions ‘interoperability by design’ as the conceptual model for interoperable public services</w:t>
      </w:r>
      <w:r>
        <w:rPr>
          <w:rStyle w:val="FootnoteReference"/>
          <w:noProof/>
        </w:rPr>
        <w:footnoteReference w:id="32"/>
      </w:r>
      <w:r>
        <w:rPr>
          <w:noProof/>
        </w:rPr>
        <w:t>. Therefore, this need is taken into account through the wider framework of the EIF.</w:t>
      </w:r>
    </w:p>
    <w:p>
      <w:pPr>
        <w:pStyle w:val="Firstlevellist"/>
        <w:rPr>
          <w:noProof/>
        </w:rPr>
      </w:pPr>
      <w:r>
        <w:rPr>
          <w:noProof/>
        </w:rPr>
        <w:t xml:space="preserve">The need to improve </w:t>
      </w:r>
      <w:r>
        <w:rPr>
          <w:b/>
          <w:noProof/>
        </w:rPr>
        <w:t>the way administrations communicate with one another</w:t>
      </w:r>
      <w:r>
        <w:rPr>
          <w:noProof/>
        </w:rPr>
        <w:t>, given the different forms of organisation and functioning of public administrations in the Member States.</w:t>
      </w:r>
    </w:p>
    <w:p>
      <w:pPr>
        <w:pStyle w:val="Firstlevellist"/>
        <w:rPr>
          <w:noProof/>
        </w:rPr>
      </w:pPr>
      <w:r>
        <w:rPr>
          <w:noProof/>
        </w:rPr>
        <w:t xml:space="preserve">The need to </w:t>
      </w:r>
      <w:r>
        <w:rPr>
          <w:b/>
          <w:noProof/>
        </w:rPr>
        <w:t>share best practices</w:t>
      </w:r>
      <w:r>
        <w:rPr>
          <w:noProof/>
        </w:rPr>
        <w:t>.</w:t>
      </w:r>
    </w:p>
    <w:p>
      <w:pPr>
        <w:pStyle w:val="FirstlevellistLAST"/>
        <w:rPr>
          <w:noProof/>
        </w:rPr>
      </w:pPr>
      <w:r>
        <w:rPr>
          <w:noProof/>
        </w:rPr>
        <w:t>The need to account for</w:t>
      </w:r>
      <w:r>
        <w:rPr>
          <w:b/>
          <w:noProof/>
        </w:rPr>
        <w:t xml:space="preserve"> new developments</w:t>
      </w:r>
      <w:r>
        <w:rPr>
          <w:noProof/>
        </w:rPr>
        <w:t xml:space="preserve"> such as blockchain, privacy-by-design and self-sovereign identities</w:t>
      </w:r>
      <w:r>
        <w:rPr>
          <w:rStyle w:val="FootnoteReference"/>
          <w:noProof/>
        </w:rPr>
        <w:footnoteReference w:id="33"/>
      </w:r>
      <w:r>
        <w:rPr>
          <w:noProof/>
        </w:rPr>
        <w:t>, which are changing the interoperability landscape.</w:t>
      </w:r>
    </w:p>
    <w:p>
      <w:pPr>
        <w:pStyle w:val="FirstlevellistLAST"/>
        <w:numPr>
          <w:ilvl w:val="0"/>
          <w:numId w:val="0"/>
        </w:numPr>
        <w:spacing w:after="200"/>
        <w:rPr>
          <w:noProof/>
          <w:u w:val="single"/>
        </w:rPr>
      </w:pPr>
      <w:r>
        <w:rPr>
          <w:noProof/>
          <w:u w:val="single"/>
        </w:rPr>
        <w:t>National/subnational level:</w:t>
      </w:r>
    </w:p>
    <w:p>
      <w:pPr>
        <w:pStyle w:val="Firstlevellist"/>
        <w:rPr>
          <w:noProof/>
        </w:rPr>
      </w:pPr>
      <w:r>
        <w:rPr>
          <w:b/>
          <w:noProof/>
        </w:rPr>
        <w:t>Resource constraints</w:t>
      </w:r>
      <w:r>
        <w:rPr>
          <w:noProof/>
        </w:rPr>
        <w:t>, such as shortage of qualified IT staff, experienced by national and local public administrations.</w:t>
      </w:r>
    </w:p>
    <w:p>
      <w:pPr>
        <w:pStyle w:val="Firstlevellist"/>
        <w:rPr>
          <w:noProof/>
        </w:rPr>
      </w:pPr>
      <w:r>
        <w:rPr>
          <w:noProof/>
        </w:rPr>
        <w:t xml:space="preserve">The </w:t>
      </w:r>
      <w:r>
        <w:rPr>
          <w:b/>
          <w:noProof/>
        </w:rPr>
        <w:t>different political priorities</w:t>
      </w:r>
      <w:r>
        <w:rPr>
          <w:noProof/>
        </w:rPr>
        <w:t xml:space="preserve"> among Member States hindering a consistent approach to interoperability in the EU.</w:t>
      </w:r>
    </w:p>
    <w:p>
      <w:pPr>
        <w:pStyle w:val="FirstlevellistLAST"/>
        <w:rPr>
          <w:noProof/>
        </w:rPr>
      </w:pPr>
      <w:r>
        <w:rPr>
          <w:noProof/>
        </w:rPr>
        <w:t xml:space="preserve">The </w:t>
      </w:r>
      <w:r>
        <w:rPr>
          <w:b/>
          <w:noProof/>
        </w:rPr>
        <w:t>limited awareness of ISA</w:t>
      </w:r>
      <w:r>
        <w:rPr>
          <w:b/>
          <w:noProof/>
          <w:vertAlign w:val="superscript"/>
        </w:rPr>
        <w:t>2</w:t>
      </w:r>
      <w:r>
        <w:rPr>
          <w:noProof/>
        </w:rPr>
        <w:t xml:space="preserve"> and other initiatives related to interoperability, especially at the regional and local levels</w:t>
      </w:r>
      <w:r>
        <w:rPr>
          <w:rStyle w:val="FootnoteReference"/>
          <w:noProof/>
        </w:rPr>
        <w:footnoteReference w:id="34"/>
      </w:r>
      <w:r>
        <w:rPr>
          <w:noProof/>
        </w:rPr>
        <w:t>.</w:t>
      </w:r>
    </w:p>
    <w:p>
      <w:pPr>
        <w:pStyle w:val="Heading4"/>
        <w:rPr>
          <w:noProof/>
        </w:rPr>
      </w:pPr>
      <w:r>
        <w:rPr>
          <w:noProof/>
        </w:rPr>
        <w:t>JC2: Alignment between needs and problems and the programme's objectives</w:t>
      </w:r>
    </w:p>
    <w:p>
      <w:pPr>
        <w:jc w:val="both"/>
        <w:rPr>
          <w:rFonts w:cs="Times New Roman"/>
          <w:noProof/>
          <w:lang w:val="en-GB"/>
        </w:rPr>
      </w:pPr>
      <w:r>
        <w:rPr>
          <w:rFonts w:cs="Times New Roman"/>
          <w:noProof/>
          <w:lang w:val="en-GB"/>
        </w:rPr>
        <w:t>After ensuring that all the original needs and problems are still relevant and identifying additional needs and problems experienced by stakeholders, the evaluation checked the degree to which the programme's objectives address these needs and problems.</w:t>
      </w:r>
    </w:p>
    <w:p>
      <w:pPr>
        <w:jc w:val="both"/>
        <w:rPr>
          <w:rFonts w:cs="Times New Roman"/>
          <w:noProof/>
          <w:lang w:val="en-GB"/>
        </w:rPr>
      </w:pPr>
      <w:r>
        <w:rPr>
          <w:rFonts w:cs="Times New Roman"/>
          <w:noProof/>
          <w:lang w:val="en-GB"/>
        </w:rPr>
        <w:t>The majority of consulted stakeholders agree that, through its general objective</w:t>
      </w:r>
      <w:r>
        <w:rPr>
          <w:rStyle w:val="FootnoteReference"/>
          <w:noProof/>
        </w:rPr>
        <w:footnoteReference w:id="35"/>
      </w:r>
      <w:r>
        <w:rPr>
          <w:rFonts w:cs="Times New Roman"/>
          <w:noProof/>
          <w:lang w:val="en-GB"/>
        </w:rPr>
        <w:t xml:space="preserve">, </w:t>
      </w:r>
      <w:r>
        <w:rPr>
          <w:rFonts w:cs="Times New Roman"/>
          <w:b/>
          <w:bCs/>
          <w:noProof/>
          <w:lang w:val="en-GB"/>
        </w:rPr>
        <w:t>ISA</w:t>
      </w:r>
      <w:r>
        <w:rPr>
          <w:rFonts w:cs="Times New Roman"/>
          <w:b/>
          <w:bCs/>
          <w:noProof/>
          <w:vertAlign w:val="superscript"/>
          <w:lang w:val="en-GB"/>
        </w:rPr>
        <w:t>2</w:t>
      </w:r>
      <w:r>
        <w:rPr>
          <w:rFonts w:cs="Times New Roman"/>
          <w:b/>
          <w:bCs/>
          <w:noProof/>
          <w:lang w:val="en-GB"/>
        </w:rPr>
        <w:t xml:space="preserve"> addresses</w:t>
      </w:r>
      <w:r>
        <w:rPr>
          <w:rFonts w:cs="Times New Roman"/>
          <w:noProof/>
          <w:lang w:val="en-GB"/>
        </w:rPr>
        <w:t xml:space="preserve"> </w:t>
      </w:r>
      <w:r>
        <w:rPr>
          <w:rFonts w:cs="Times New Roman"/>
          <w:b/>
          <w:bCs/>
          <w:noProof/>
          <w:lang w:val="en-GB"/>
        </w:rPr>
        <w:t>the main needs and problems identified</w:t>
      </w:r>
      <w:r>
        <w:rPr>
          <w:rFonts w:cs="Times New Roman"/>
          <w:noProof/>
          <w:lang w:val="en-GB"/>
        </w:rPr>
        <w:t xml:space="preserve"> in the field of interoperability of digital public services at the time the programme was set up, either to a high extent or to the fullest extent (</w:t>
      </w:r>
      <w:r>
        <w:rPr>
          <w:rFonts w:cs="Times New Roman"/>
          <w:noProof/>
        </w:rPr>
        <w:fldChar w:fldCharType="begin"/>
      </w:r>
      <w:r>
        <w:rPr>
          <w:rFonts w:cs="Times New Roman"/>
          <w:noProof/>
          <w:lang w:val="en-GB"/>
        </w:rPr>
        <w:instrText xml:space="preserve"> REF _Ref9507001 \h  \* MERGEFORMAT </w:instrText>
      </w:r>
      <w:r>
        <w:rPr>
          <w:rFonts w:cs="Times New Roman"/>
          <w:noProof/>
        </w:rPr>
      </w:r>
      <w:r>
        <w:rPr>
          <w:rFonts w:cs="Times New Roman"/>
          <w:noProof/>
        </w:rPr>
        <w:fldChar w:fldCharType="separate"/>
      </w:r>
      <w:r>
        <w:rPr>
          <w:rFonts w:cs="Times New Roman"/>
          <w:noProof/>
          <w:lang w:val="en-GB"/>
        </w:rPr>
        <w:t>Figure 4</w:t>
      </w:r>
      <w:r>
        <w:rPr>
          <w:rFonts w:cs="Times New Roman"/>
          <w:noProof/>
        </w:rPr>
        <w:fldChar w:fldCharType="end"/>
      </w:r>
      <w:r>
        <w:rPr>
          <w:rFonts w:cs="Times New Roman"/>
          <w:noProof/>
          <w:lang w:val="en-GB"/>
        </w:rPr>
        <w:t>). This result holds true across all stakeholder groups. Over 80 % of respondents indicate that, by achieving its general objective, ISA</w:t>
      </w:r>
      <w:r>
        <w:rPr>
          <w:rFonts w:cs="Times New Roman"/>
          <w:noProof/>
          <w:vertAlign w:val="superscript"/>
          <w:lang w:val="en-GB"/>
        </w:rPr>
        <w:t>2</w:t>
      </w:r>
      <w:r>
        <w:rPr>
          <w:rFonts w:cs="Times New Roman"/>
          <w:noProof/>
          <w:lang w:val="en-GB"/>
        </w:rPr>
        <w:t xml:space="preserve"> can address the original needs to a high extent or to the fullest extent (103 out of 125 respondents for the first need, 103 out of 123 respondents for the second need, and 103 out of 124 respondents for the third need). When it comes to the problem of administrative e-barriers, approximately two-thirds of respondents (77 out of 116) agree that ISA</w:t>
      </w:r>
      <w:r>
        <w:rPr>
          <w:rFonts w:cs="Times New Roman"/>
          <w:noProof/>
          <w:vertAlign w:val="superscript"/>
          <w:lang w:val="en-GB"/>
        </w:rPr>
        <w:t>2</w:t>
      </w:r>
      <w:r>
        <w:rPr>
          <w:rFonts w:cs="Times New Roman"/>
          <w:noProof/>
          <w:lang w:val="en-GB"/>
        </w:rPr>
        <w:t xml:space="preserve"> can address the problem through its general objective, while only 11 % (13 out of 116) believe that the programme can only address the problem to a limited extent or not at all. These results are also confirmed by the independent assessment carried out by technical experts, who pointed out that ISA</w:t>
      </w:r>
      <w:r>
        <w:rPr>
          <w:rFonts w:cs="Times New Roman"/>
          <w:noProof/>
          <w:vertAlign w:val="superscript"/>
          <w:lang w:val="en-GB"/>
        </w:rPr>
        <w:t>2</w:t>
      </w:r>
      <w:r>
        <w:rPr>
          <w:rFonts w:cs="Times New Roman"/>
          <w:noProof/>
          <w:lang w:val="en-GB"/>
        </w:rPr>
        <w:t xml:space="preserve"> highlights the topic of interoperability and helps build a community of professionals in this area, thus addressing the needs and problems identified in the intervention logic.</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4</w:t>
      </w:r>
      <w:r>
        <w:rPr>
          <w:rFonts w:cs="Times New Roman"/>
          <w:noProof/>
        </w:rPr>
        <w:fldChar w:fldCharType="end"/>
      </w:r>
      <w:r>
        <w:rPr>
          <w:rFonts w:cs="Times New Roman"/>
          <w:noProof/>
        </w:rPr>
        <w:t>: Extent to which achieving ISA</w:t>
      </w:r>
      <w:r>
        <w:rPr>
          <w:rFonts w:cs="Times New Roman"/>
          <w:noProof/>
          <w:vertAlign w:val="superscript"/>
        </w:rPr>
        <w:t>2</w:t>
      </w:r>
      <w:r>
        <w:rPr>
          <w:rFonts w:cs="Times New Roman"/>
          <w:noProof/>
        </w:rPr>
        <w:t xml:space="preserve"> objectives contributes to addressing the needs and problems originally addressed by the programme (average score of answers, number of respondents)</w:t>
      </w:r>
    </w:p>
    <w:p>
      <w:pPr>
        <w:pStyle w:val="VISUAL"/>
        <w:rPr>
          <w:rFonts w:cs="Times New Roman"/>
          <w:noProof/>
        </w:rPr>
      </w:pPr>
      <w:r>
        <w:rPr>
          <w:rFonts w:cs="Times New Roman"/>
          <w:noProof/>
          <w:lang w:eastAsia="en-GB"/>
        </w:rPr>
        <w:drawing>
          <wp:inline distT="0" distB="0" distL="0" distR="0">
            <wp:extent cx="5731510" cy="4793993"/>
            <wp:effectExtent l="0" t="0" r="2540" b="6985"/>
            <wp:docPr id="131" name="Chart 1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after="0" w:line="240" w:lineRule="auto"/>
        <w:jc w:val="both"/>
        <w:rPr>
          <w:rFonts w:cs="Times New Roman"/>
          <w:i/>
          <w:noProof/>
          <w:sz w:val="20"/>
          <w:szCs w:val="20"/>
          <w:lang w:val="en-GB"/>
        </w:rPr>
      </w:pPr>
      <w:r>
        <w:rPr>
          <w:rFonts w:cs="Times New Roman"/>
          <w:i/>
          <w:noProof/>
          <w:sz w:val="20"/>
          <w:szCs w:val="20"/>
          <w:lang w:val="en-GB"/>
        </w:rPr>
        <w:t xml:space="preserve">Score: (1) not at all; (2) to a limited extent; (3) to some extent; (4) to a high extent; or (5) to the fullest extent. </w:t>
      </w:r>
    </w:p>
    <w:p>
      <w:pPr>
        <w:spacing w:after="0" w:line="240" w:lineRule="auto"/>
        <w:jc w:val="both"/>
        <w:rPr>
          <w:rFonts w:cs="Times New Roman"/>
          <w:i/>
          <w:noProof/>
          <w:sz w:val="20"/>
          <w:szCs w:val="20"/>
          <w:lang w:val="en-GB"/>
        </w:rPr>
      </w:pPr>
      <w:r>
        <w:rPr>
          <w:rFonts w:cs="Times New Roman"/>
          <w:i/>
          <w:noProof/>
          <w:sz w:val="20"/>
          <w:szCs w:val="20"/>
          <w:lang w:val="en-GB"/>
        </w:rPr>
        <w:t>Note: Averages do not account for respondents answering ‘don’t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65"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When it comes to the new needs and problems identified by consulted stakeholders, on average, respondents believe that the programme, through its general objective, could address them at least to some extent (</w:t>
      </w:r>
      <w:r>
        <w:rPr>
          <w:rFonts w:cs="Times New Roman"/>
          <w:noProof/>
        </w:rPr>
        <w:fldChar w:fldCharType="begin"/>
      </w:r>
      <w:r>
        <w:rPr>
          <w:rFonts w:cs="Times New Roman"/>
          <w:noProof/>
          <w:lang w:val="en-GB"/>
        </w:rPr>
        <w:instrText xml:space="preserve"> REF _Ref9513170 \h  \* MERGEFORMAT </w:instrText>
      </w:r>
      <w:r>
        <w:rPr>
          <w:rFonts w:cs="Times New Roman"/>
          <w:noProof/>
        </w:rPr>
      </w:r>
      <w:r>
        <w:rPr>
          <w:rFonts w:cs="Times New Roman"/>
          <w:noProof/>
        </w:rPr>
        <w:fldChar w:fldCharType="separate"/>
      </w:r>
      <w:r>
        <w:rPr>
          <w:rFonts w:cs="Times New Roman"/>
          <w:noProof/>
          <w:lang w:val="en-GB"/>
        </w:rPr>
        <w:t>Figure 5</w:t>
      </w:r>
      <w:r>
        <w:rPr>
          <w:rFonts w:cs="Times New Roman"/>
          <w:noProof/>
        </w:rPr>
        <w:fldChar w:fldCharType="end"/>
      </w:r>
      <w:r>
        <w:rPr>
          <w:rFonts w:cs="Times New Roman"/>
          <w:noProof/>
          <w:lang w:val="en-GB"/>
        </w:rPr>
        <w:t>). However, three out of the six respondents responsible for linked EU initiatives who indicated additional needs and problems consider that the general objective of ISA</w:t>
      </w:r>
      <w:r>
        <w:rPr>
          <w:rFonts w:cs="Times New Roman"/>
          <w:noProof/>
          <w:vertAlign w:val="superscript"/>
          <w:lang w:val="en-GB"/>
        </w:rPr>
        <w:t>2</w:t>
      </w:r>
      <w:r>
        <w:rPr>
          <w:rFonts w:cs="Times New Roman"/>
          <w:noProof/>
          <w:lang w:val="en-GB"/>
        </w:rPr>
        <w:t xml:space="preserve"> cannot address the additional needs and problems, or can only address them to a limited extent, as </w:t>
      </w:r>
      <w:r>
        <w:rPr>
          <w:rFonts w:cs="Times New Roman"/>
          <w:b/>
          <w:bCs/>
          <w:noProof/>
          <w:lang w:val="en-GB"/>
        </w:rPr>
        <w:t xml:space="preserve">some of the issues mentioned fall outside the programme's scope </w:t>
      </w:r>
      <w:r>
        <w:rPr>
          <w:rFonts w:cs="Times New Roman"/>
          <w:noProof/>
          <w:lang w:val="en-GB"/>
        </w:rPr>
        <w:t>(for instance, Member States' different political priorities).</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5</w:t>
      </w:r>
      <w:r>
        <w:rPr>
          <w:rFonts w:cs="Times New Roman"/>
          <w:noProof/>
        </w:rPr>
        <w:fldChar w:fldCharType="end"/>
      </w:r>
      <w:r>
        <w:rPr>
          <w:rFonts w:cs="Times New Roman"/>
          <w:noProof/>
        </w:rPr>
        <w:t>: Extent to which achieving ISA</w:t>
      </w:r>
      <w:r>
        <w:rPr>
          <w:rFonts w:cs="Times New Roman"/>
          <w:noProof/>
          <w:vertAlign w:val="superscript"/>
        </w:rPr>
        <w:t>2</w:t>
      </w:r>
      <w:r>
        <w:rPr>
          <w:rFonts w:cs="Times New Roman"/>
          <w:noProof/>
        </w:rPr>
        <w:t xml:space="preserve"> objectives contributes to addressing additional (current) needs and problems identified by consulted stakeholders (number of respondents by stakeholder category)</w:t>
      </w:r>
    </w:p>
    <w:p>
      <w:pPr>
        <w:pStyle w:val="VISUAL"/>
        <w:rPr>
          <w:rFonts w:cs="Times New Roman"/>
          <w:noProof/>
        </w:rPr>
      </w:pPr>
      <w:r>
        <w:rPr>
          <w:rFonts w:cs="Times New Roman"/>
          <w:noProof/>
          <w:lang w:eastAsia="en-GB"/>
        </w:rPr>
        <w:drawing>
          <wp:inline distT="0" distB="0" distL="0" distR="0">
            <wp:extent cx="5472430" cy="3013899"/>
            <wp:effectExtent l="0" t="0" r="0" b="0"/>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spacing w:after="0" w:line="240" w:lineRule="auto"/>
        <w:jc w:val="both"/>
        <w:rPr>
          <w:rFonts w:cs="Times New Roman"/>
          <w:i/>
          <w:noProof/>
          <w:sz w:val="20"/>
          <w:lang w:val="en-GB"/>
        </w:rPr>
      </w:pPr>
      <w:r>
        <w:rPr>
          <w:rFonts w:cs="Times New Roman"/>
          <w:i/>
          <w:noProof/>
          <w:sz w:val="20"/>
          <w:lang w:val="en-GB"/>
        </w:rPr>
        <w:t>Score: (1) not at all; (2) to a limited extent; (3) to some extent; (4) to a high extent; or (5) to the fullest extent; (DK/NO) do not know/no opinion.</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67" w:history="1">
        <w:r>
          <w:rPr>
            <w:rStyle w:val="Hyperlink"/>
            <w:rFonts w:cs="Times New Roman"/>
            <w:i/>
            <w:noProof/>
            <w:sz w:val="20"/>
            <w:szCs w:val="20"/>
            <w:lang w:val="en-GB"/>
          </w:rPr>
          <w:t>CEPS final study</w:t>
        </w:r>
      </w:hyperlink>
    </w:p>
    <w:p>
      <w:pPr>
        <w:pStyle w:val="Heading3"/>
        <w:rPr>
          <w:noProof/>
          <w:lang w:val="en-GB"/>
        </w:rPr>
      </w:pPr>
      <w:r>
        <w:rPr>
          <w:noProof/>
          <w:lang w:val="en-GB"/>
        </w:rPr>
        <w:t>Answer to the EQ on 'relevance'</w:t>
      </w:r>
    </w:p>
    <w:p>
      <w:pPr>
        <w:shd w:val="clear" w:color="auto" w:fill="C6D9F1" w:themeFill="text2" w:themeFillTint="33"/>
        <w:rPr>
          <w:rFonts w:cs="Times New Roman"/>
          <w:noProof/>
          <w:lang w:val="en-GB"/>
        </w:rPr>
      </w:pPr>
      <w:r>
        <w:rPr>
          <w:rFonts w:cs="Times New Roman"/>
          <w:noProof/>
          <w:lang w:val="en-GB"/>
        </w:rPr>
        <w:t>EQ1: To what extent are the objectives of the ISA² programme still pertinent in relation to the evolving needs and problems at both national and EU levels?</w:t>
      </w:r>
    </w:p>
    <w:p>
      <w:pPr>
        <w:jc w:val="both"/>
        <w:rPr>
          <w:rFonts w:cs="Times New Roman"/>
          <w:noProof/>
          <w:lang w:val="en-GB"/>
        </w:rPr>
      </w:pPr>
      <w:r>
        <w:rPr>
          <w:rFonts w:cs="Times New Roman"/>
          <w:b/>
          <w:noProof/>
          <w:lang w:val="en-GB"/>
        </w:rPr>
        <w:t>The original needs and problems that the programme intended to address are still fully relevant and the objectives of ISA</w:t>
      </w:r>
      <w:r>
        <w:rPr>
          <w:rFonts w:cs="Times New Roman"/>
          <w:b/>
          <w:noProof/>
          <w:vertAlign w:val="superscript"/>
          <w:lang w:val="en-GB"/>
        </w:rPr>
        <w:t>2</w:t>
      </w:r>
      <w:r>
        <w:rPr>
          <w:rFonts w:cs="Times New Roman"/>
          <w:b/>
          <w:noProof/>
          <w:lang w:val="en-GB"/>
        </w:rPr>
        <w:t xml:space="preserve"> are pertinent to addressing them.</w:t>
      </w:r>
      <w:r>
        <w:rPr>
          <w:rFonts w:cs="Times New Roman"/>
          <w:noProof/>
          <w:lang w:val="en-GB"/>
        </w:rPr>
        <w:t xml:space="preserve"> In addition, consulted stakeholders have identified a number of new needs and problems related to the interoperability of digital public services. Some of these fall outside the programme's scope (such as resource constraints or different political priorities at national level). Others are already being addressed by existing ISA</w:t>
      </w:r>
      <w:r>
        <w:rPr>
          <w:rFonts w:cs="Times New Roman"/>
          <w:noProof/>
          <w:vertAlign w:val="superscript"/>
          <w:lang w:val="en-GB"/>
        </w:rPr>
        <w:t>2</w:t>
      </w:r>
      <w:r>
        <w:rPr>
          <w:rFonts w:cs="Times New Roman"/>
          <w:noProof/>
          <w:lang w:val="en-GB"/>
        </w:rPr>
        <w:t xml:space="preserve"> actions (for example, the 'Innovative Public Services' action provides support for identifying the innovation potential and framing conditions of emerging disruptive technologies). Finally, ISA² could (better) address some of these additional needs and problems by considering the below measures for future actions and future editions of the programme:</w:t>
      </w:r>
    </w:p>
    <w:p>
      <w:pPr>
        <w:pStyle w:val="Firstlevellist"/>
        <w:rPr>
          <w:noProof/>
        </w:rPr>
      </w:pPr>
      <w:r>
        <w:rPr>
          <w:b/>
          <w:noProof/>
        </w:rPr>
        <w:t>Increasing awareness of interoperability beyond national administrations</w:t>
      </w:r>
      <w:r>
        <w:rPr>
          <w:noProof/>
        </w:rPr>
        <w:t xml:space="preserve"> by fostering more</w:t>
      </w:r>
      <w:r>
        <w:rPr>
          <w:b/>
          <w:bCs/>
          <w:noProof/>
        </w:rPr>
        <w:t xml:space="preserve"> </w:t>
      </w:r>
      <w:r>
        <w:rPr>
          <w:bCs/>
          <w:noProof/>
        </w:rPr>
        <w:t>collaboration and exchanges of views with regional and local administrations.</w:t>
      </w:r>
      <w:r>
        <w:rPr>
          <w:noProof/>
        </w:rPr>
        <w:t xml:space="preserve"> The recently launched Interoperability Academy action could help with this by developing training materials tailored to the needs of regional and local governments.</w:t>
      </w:r>
    </w:p>
    <w:p>
      <w:pPr>
        <w:pStyle w:val="Firstlevellist"/>
        <w:rPr>
          <w:noProof/>
        </w:rPr>
      </w:pPr>
      <w:r>
        <w:rPr>
          <w:b/>
          <w:noProof/>
        </w:rPr>
        <w:t>Performing studies to assess the costs and benefits of implementing ISA</w:t>
      </w:r>
      <w:r>
        <w:rPr>
          <w:b/>
          <w:noProof/>
          <w:vertAlign w:val="superscript"/>
        </w:rPr>
        <w:t>2</w:t>
      </w:r>
      <w:r>
        <w:rPr>
          <w:b/>
          <w:noProof/>
        </w:rPr>
        <w:t xml:space="preserve"> solutions</w:t>
      </w:r>
      <w:r>
        <w:rPr>
          <w:noProof/>
        </w:rPr>
        <w:t>. The findings of such studies could feed into promotional activities, targeting the sub-national layer of public administrations as well.</w:t>
      </w:r>
    </w:p>
    <w:p>
      <w:pPr>
        <w:pStyle w:val="Firstlevellist"/>
        <w:rPr>
          <w:noProof/>
        </w:rPr>
      </w:pPr>
      <w:r>
        <w:rPr>
          <w:b/>
          <w:bCs/>
          <w:noProof/>
        </w:rPr>
        <w:t>Improving the sharing of best</w:t>
      </w:r>
      <w:r>
        <w:rPr>
          <w:bCs/>
          <w:noProof/>
        </w:rPr>
        <w:t xml:space="preserve"> </w:t>
      </w:r>
      <w:r>
        <w:rPr>
          <w:b/>
          <w:bCs/>
          <w:noProof/>
        </w:rPr>
        <w:t>practices</w:t>
      </w:r>
      <w:r>
        <w:rPr>
          <w:noProof/>
        </w:rPr>
        <w:t xml:space="preserve"> among public administrations, academia and interested professionals thus raising awareness of interoperability and increasing the take-up of ISA</w:t>
      </w:r>
      <w:r>
        <w:rPr>
          <w:noProof/>
          <w:vertAlign w:val="superscript"/>
        </w:rPr>
        <w:t xml:space="preserve">2 </w:t>
      </w:r>
      <w:r>
        <w:rPr>
          <w:noProof/>
        </w:rPr>
        <w:t>solutions across Member States.</w:t>
      </w:r>
    </w:p>
    <w:p>
      <w:pPr>
        <w:pStyle w:val="Firstlevellist"/>
        <w:rPr>
          <w:noProof/>
        </w:rPr>
      </w:pPr>
      <w:r>
        <w:rPr>
          <w:b/>
          <w:noProof/>
        </w:rPr>
        <w:t>Relying more on potential influencers</w:t>
      </w:r>
      <w:r>
        <w:rPr>
          <w:noProof/>
        </w:rPr>
        <w:t xml:space="preserve"> (like researchers, teachers or committed public servants) when communicating about interoperability. This could eventually create a community of interoperability ambassadors.</w:t>
      </w:r>
    </w:p>
    <w:p>
      <w:pPr>
        <w:pStyle w:val="Firstlevellist"/>
        <w:rPr>
          <w:noProof/>
        </w:rPr>
      </w:pPr>
      <w:r>
        <w:rPr>
          <w:b/>
          <w:noProof/>
        </w:rPr>
        <w:t>Building advisory capabilities around interoperability</w:t>
      </w:r>
      <w:r>
        <w:rPr>
          <w:noProof/>
        </w:rPr>
        <w:t>. These would help interested stakeholders to pick the appropriate interoperability solutions that match their needs, and would at the same time provide support services and technical assistance for effective implementation.</w:t>
      </w:r>
    </w:p>
    <w:p>
      <w:pPr>
        <w:pStyle w:val="FirstlevellistLAST"/>
        <w:rPr>
          <w:noProof/>
        </w:rPr>
      </w:pPr>
      <w:r>
        <w:rPr>
          <w:b/>
          <w:noProof/>
        </w:rPr>
        <w:t>Assessing the rationale and impacts of a possible binding interoperability instrument</w:t>
      </w:r>
      <w:r>
        <w:rPr>
          <w:noProof/>
        </w:rPr>
        <w:t>. Such assessment should rely on the findings of the final evaluation of the ISA</w:t>
      </w:r>
      <w:r>
        <w:rPr>
          <w:noProof/>
          <w:vertAlign w:val="superscript"/>
        </w:rPr>
        <w:t>2</w:t>
      </w:r>
      <w:r>
        <w:rPr>
          <w:noProof/>
        </w:rPr>
        <w:t xml:space="preserve"> programme and on the evidence that will be gathered when the implementation of the EIF is evaluated in 2021</w:t>
      </w:r>
      <w:r>
        <w:rPr>
          <w:bCs/>
          <w:noProof/>
        </w:rPr>
        <w:t>.</w:t>
      </w:r>
    </w:p>
    <w:p>
      <w:pPr>
        <w:pStyle w:val="Heading2"/>
        <w:rPr>
          <w:noProof/>
        </w:rPr>
      </w:pPr>
      <w:bookmarkStart w:id="15" w:name="_Toc14708138"/>
      <w:r>
        <w:rPr>
          <w:noProof/>
        </w:rPr>
        <w:t>Effectiveness</w:t>
      </w:r>
      <w:bookmarkEnd w:id="15"/>
    </w:p>
    <w:p>
      <w:pPr>
        <w:pStyle w:val="Heading3"/>
        <w:rPr>
          <w:noProof/>
          <w:lang w:val="en-GB"/>
        </w:rPr>
      </w:pPr>
      <w:r>
        <w:rPr>
          <w:noProof/>
          <w:lang w:val="en-GB"/>
        </w:rPr>
        <w:t>Evaluation framework for 'effectiveness'</w:t>
      </w:r>
    </w:p>
    <w:p>
      <w:pPr>
        <w:jc w:val="both"/>
        <w:rPr>
          <w:rFonts w:cs="Times New Roman"/>
          <w:noProof/>
          <w:lang w:val="en-GB"/>
        </w:rPr>
      </w:pPr>
      <w:r>
        <w:rPr>
          <w:rFonts w:cs="Times New Roman"/>
          <w:noProof/>
          <w:lang w:val="en-GB"/>
        </w:rPr>
        <w:t xml:space="preserve">Effectiveness focuses on </w:t>
      </w:r>
      <w:r>
        <w:rPr>
          <w:rFonts w:cs="Times New Roman"/>
          <w:noProof/>
          <w:lang w:val="en-GB" w:eastAsia="de-DE"/>
        </w:rPr>
        <w:t>the extent to which the programme has achieved its objectives and generated the expected results</w:t>
      </w:r>
      <w:r>
        <w:rPr>
          <w:rFonts w:cs="Times New Roman"/>
          <w:noProof/>
          <w:lang w:val="en-GB"/>
        </w:rPr>
        <w:t xml:space="preserve">. </w:t>
      </w:r>
      <w:r>
        <w:rPr>
          <w:rFonts w:cs="Times New Roman"/>
          <w:noProof/>
          <w:lang w:val="en-GB" w:eastAsia="de-DE"/>
        </w:rPr>
        <w:t>Analysing the effectiveness of ISA</w:t>
      </w:r>
      <w:r>
        <w:rPr>
          <w:rFonts w:cs="Times New Roman"/>
          <w:noProof/>
          <w:vertAlign w:val="superscript"/>
          <w:lang w:val="en-GB" w:eastAsia="de-DE"/>
        </w:rPr>
        <w:t>2</w:t>
      </w:r>
      <w:r>
        <w:rPr>
          <w:rFonts w:cs="Times New Roman"/>
          <w:noProof/>
          <w:lang w:val="en-GB" w:eastAsia="de-DE"/>
        </w:rPr>
        <w:t xml:space="preserve"> requires answers to two EQs:</w:t>
      </w:r>
    </w:p>
    <w:p>
      <w:pPr>
        <w:pStyle w:val="ListParagraph"/>
        <w:numPr>
          <w:ilvl w:val="0"/>
          <w:numId w:val="21"/>
        </w:numPr>
        <w:spacing w:after="120" w:line="276" w:lineRule="auto"/>
        <w:ind w:left="850"/>
        <w:contextualSpacing w:val="0"/>
        <w:rPr>
          <w:b/>
          <w:noProof/>
        </w:rPr>
      </w:pPr>
      <w:r>
        <w:rPr>
          <w:b/>
          <w:noProof/>
        </w:rPr>
        <w:t>How far are the ISA² programme’s results in the process of achieving the programme’s objectives?</w:t>
      </w:r>
    </w:p>
    <w:p>
      <w:pPr>
        <w:pStyle w:val="ListParagraph"/>
        <w:numPr>
          <w:ilvl w:val="0"/>
          <w:numId w:val="21"/>
        </w:numPr>
        <w:spacing w:after="200" w:line="276" w:lineRule="auto"/>
        <w:ind w:left="850"/>
        <w:contextualSpacing w:val="0"/>
        <w:rPr>
          <w:b/>
          <w:noProof/>
        </w:rPr>
      </w:pPr>
      <w:r>
        <w:rPr>
          <w:b/>
          <w:noProof/>
        </w:rPr>
        <w:t>Are there aspects that are more or less effective than others are, and if so, what lessons can be drawn from this?</w:t>
      </w:r>
    </w:p>
    <w:p>
      <w:pPr>
        <w:jc w:val="both"/>
        <w:rPr>
          <w:rFonts w:cs="Times New Roman"/>
          <w:noProof/>
          <w:lang w:val="en-GB"/>
        </w:rPr>
      </w:pPr>
      <w:r>
        <w:rPr>
          <w:rFonts w:cs="Times New Roman"/>
          <w:noProof/>
          <w:lang w:val="en-GB"/>
        </w:rPr>
        <w:t xml:space="preserve">To answer these questions, the evaluation applied </w:t>
      </w:r>
      <w:r>
        <w:rPr>
          <w:rFonts w:cs="Times New Roman"/>
          <w:bCs/>
          <w:noProof/>
          <w:lang w:val="en-GB"/>
        </w:rPr>
        <w:t>the following judgment criteria (JCs)</w:t>
      </w:r>
      <w:r>
        <w:rPr>
          <w:rFonts w:cs="Times New Roman"/>
          <w:noProof/>
          <w:lang w:val="en-GB"/>
        </w:rPr>
        <w:t>:</w:t>
      </w:r>
    </w:p>
    <w:p>
      <w:pPr>
        <w:pStyle w:val="ListParagraph"/>
        <w:numPr>
          <w:ilvl w:val="0"/>
          <w:numId w:val="25"/>
        </w:numPr>
        <w:spacing w:after="120" w:line="259" w:lineRule="auto"/>
        <w:ind w:left="850" w:hanging="737"/>
        <w:contextualSpacing w:val="0"/>
        <w:rPr>
          <w:noProof/>
        </w:rPr>
      </w:pPr>
      <w:r>
        <w:rPr>
          <w:noProof/>
        </w:rPr>
        <w:t>Alignment between the programme's actual results, objectives and expected results;</w:t>
      </w:r>
    </w:p>
    <w:p>
      <w:pPr>
        <w:pStyle w:val="ListParagraph"/>
        <w:numPr>
          <w:ilvl w:val="0"/>
          <w:numId w:val="25"/>
        </w:numPr>
        <w:spacing w:after="120" w:line="259" w:lineRule="auto"/>
        <w:ind w:left="850" w:hanging="737"/>
        <w:contextualSpacing w:val="0"/>
        <w:rPr>
          <w:noProof/>
        </w:rPr>
      </w:pPr>
      <w:r>
        <w:rPr>
          <w:noProof/>
        </w:rPr>
        <w:t>Impact of external factors on the programme's performance;</w:t>
      </w:r>
    </w:p>
    <w:p>
      <w:pPr>
        <w:pStyle w:val="ListParagraph"/>
        <w:numPr>
          <w:ilvl w:val="0"/>
          <w:numId w:val="25"/>
        </w:numPr>
        <w:spacing w:after="120" w:line="259" w:lineRule="auto"/>
        <w:ind w:left="850" w:hanging="737"/>
        <w:contextualSpacing w:val="0"/>
        <w:rPr>
          <w:noProof/>
        </w:rPr>
      </w:pPr>
      <w:r>
        <w:rPr>
          <w:noProof/>
        </w:rPr>
        <w:t>Awareness of the programme;</w:t>
      </w:r>
    </w:p>
    <w:p>
      <w:pPr>
        <w:pStyle w:val="ListParagraph"/>
        <w:numPr>
          <w:ilvl w:val="0"/>
          <w:numId w:val="25"/>
        </w:numPr>
        <w:spacing w:after="120" w:line="259" w:lineRule="auto"/>
        <w:ind w:left="850" w:hanging="737"/>
        <w:contextualSpacing w:val="0"/>
        <w:rPr>
          <w:noProof/>
        </w:rPr>
      </w:pPr>
      <w:r>
        <w:rPr>
          <w:noProof/>
        </w:rPr>
        <w:t>Performance indicators; and</w:t>
      </w:r>
    </w:p>
    <w:p>
      <w:pPr>
        <w:pStyle w:val="ListParagraph"/>
        <w:numPr>
          <w:ilvl w:val="0"/>
          <w:numId w:val="25"/>
        </w:numPr>
        <w:spacing w:after="200" w:line="276" w:lineRule="auto"/>
        <w:ind w:left="850" w:hanging="737"/>
        <w:contextualSpacing w:val="0"/>
        <w:rPr>
          <w:noProof/>
        </w:rPr>
      </w:pPr>
      <w:r>
        <w:rPr>
          <w:noProof/>
        </w:rPr>
        <w:t>Alignment with principles specified in Article 4(b) of the ISA</w:t>
      </w:r>
      <w:r>
        <w:rPr>
          <w:noProof/>
          <w:vertAlign w:val="superscript"/>
        </w:rPr>
        <w:t>2</w:t>
      </w:r>
      <w:r>
        <w:rPr>
          <w:noProof/>
        </w:rPr>
        <w:t xml:space="preserve"> Decision.</w:t>
      </w:r>
    </w:p>
    <w:p>
      <w:pPr>
        <w:jc w:val="both"/>
        <w:rPr>
          <w:rFonts w:cs="Times New Roman"/>
          <w:noProof/>
          <w:lang w:val="en-GB"/>
        </w:rPr>
      </w:pPr>
      <w:r>
        <w:rPr>
          <w:rFonts w:cs="Times New Roman"/>
          <w:noProof/>
          <w:lang w:val="en-GB"/>
        </w:rPr>
        <w:t>The analysis relies on data collected via consultation activities, a desk review and an expert assessment.</w:t>
      </w:r>
    </w:p>
    <w:p>
      <w:pPr>
        <w:pStyle w:val="Heading3"/>
        <w:rPr>
          <w:noProof/>
          <w:lang w:val="en-GB"/>
        </w:rPr>
      </w:pPr>
      <w:r>
        <w:rPr>
          <w:noProof/>
          <w:lang w:val="en-GB"/>
        </w:rPr>
        <w:t>Analysis</w:t>
      </w:r>
    </w:p>
    <w:p>
      <w:pPr>
        <w:pStyle w:val="Heading4"/>
        <w:rPr>
          <w:noProof/>
        </w:rPr>
      </w:pPr>
      <w:r>
        <w:rPr>
          <w:noProof/>
        </w:rPr>
        <w:t>JC1: Alignment between the actual results, objectives and expected results of ISA</w:t>
      </w:r>
      <w:r>
        <w:rPr>
          <w:noProof/>
          <w:vertAlign w:val="superscript"/>
        </w:rPr>
        <w:t>2</w:t>
      </w:r>
    </w:p>
    <w:p>
      <w:pPr>
        <w:jc w:val="both"/>
        <w:rPr>
          <w:rFonts w:cs="Times New Roman"/>
          <w:noProof/>
        </w:rPr>
      </w:pPr>
      <w:r>
        <w:rPr>
          <w:rFonts w:cs="Times New Roman"/>
          <w:b/>
          <w:noProof/>
          <w:lang w:val="en-GB"/>
        </w:rPr>
        <w:t>The focus of this judgment criterion falls on the solutions developed by ISA</w:t>
      </w:r>
      <w:r>
        <w:rPr>
          <w:rFonts w:cs="Times New Roman"/>
          <w:b/>
          <w:noProof/>
          <w:vertAlign w:val="superscript"/>
          <w:lang w:val="en-GB"/>
        </w:rPr>
        <w:t>2</w:t>
      </w:r>
      <w:r>
        <w:rPr>
          <w:rFonts w:cs="Times New Roman"/>
          <w:b/>
          <w:noProof/>
          <w:lang w:val="en-GB"/>
        </w:rPr>
        <w:t>, as they represent the most tangible results achieved so far</w:t>
      </w:r>
      <w:r>
        <w:rPr>
          <w:rFonts w:cs="Times New Roman"/>
          <w:noProof/>
          <w:lang w:val="en-GB"/>
        </w:rPr>
        <w:t xml:space="preserve">. </w:t>
      </w:r>
      <w:r>
        <w:rPr>
          <w:rFonts w:cs="Times New Roman"/>
          <w:noProof/>
        </w:rPr>
        <w:fldChar w:fldCharType="begin"/>
      </w:r>
      <w:r>
        <w:rPr>
          <w:rFonts w:cs="Times New Roman"/>
          <w:noProof/>
          <w:lang w:val="en-GB"/>
        </w:rPr>
        <w:instrText xml:space="preserve"> REF _Ref9584015 \h  \* MERGEFORMAT </w:instrText>
      </w:r>
      <w:r>
        <w:rPr>
          <w:rFonts w:cs="Times New Roman"/>
          <w:noProof/>
        </w:rPr>
      </w:r>
      <w:r>
        <w:rPr>
          <w:rFonts w:cs="Times New Roman"/>
          <w:noProof/>
        </w:rPr>
        <w:fldChar w:fldCharType="separate"/>
      </w:r>
      <w:r>
        <w:rPr>
          <w:rFonts w:cs="Times New Roman"/>
          <w:noProof/>
          <w:lang w:val="en-GB"/>
        </w:rPr>
        <w:t>Figure 6</w:t>
      </w:r>
      <w:r>
        <w:rPr>
          <w:rFonts w:cs="Times New Roman"/>
          <w:noProof/>
        </w:rPr>
        <w:fldChar w:fldCharType="end"/>
      </w:r>
      <w:r>
        <w:rPr>
          <w:rFonts w:cs="Times New Roman"/>
          <w:noProof/>
          <w:lang w:val="en-GB"/>
        </w:rPr>
        <w:t xml:space="preserve"> shows the extent to which </w:t>
      </w:r>
      <w:r>
        <w:rPr>
          <w:rFonts w:cs="Times New Roman"/>
          <w:bCs/>
          <w:noProof/>
          <w:lang w:val="en-GB"/>
        </w:rPr>
        <w:t>the programme's actual results are aligned with its objectives, according to</w:t>
      </w:r>
      <w:r>
        <w:rPr>
          <w:rFonts w:cs="Times New Roman"/>
          <w:noProof/>
          <w:lang w:val="en-GB"/>
        </w:rPr>
        <w:t xml:space="preserve"> the consulted stakeholders. 45 % of respondents (49 out of 109) agree that ISA</w:t>
      </w:r>
      <w:r>
        <w:rPr>
          <w:rFonts w:cs="Times New Roman"/>
          <w:noProof/>
          <w:vertAlign w:val="superscript"/>
          <w:lang w:val="en-GB"/>
        </w:rPr>
        <w:t>2</w:t>
      </w:r>
      <w:r>
        <w:rPr>
          <w:rFonts w:cs="Times New Roman"/>
          <w:noProof/>
          <w:lang w:val="en-GB"/>
        </w:rPr>
        <w:t xml:space="preserve"> solutions have contributed to achieving the programme's </w:t>
      </w:r>
      <w:r>
        <w:rPr>
          <w:rFonts w:cs="Times New Roman"/>
          <w:b/>
          <w:bCs/>
          <w:noProof/>
          <w:lang w:val="en-GB"/>
        </w:rPr>
        <w:t xml:space="preserve">general objective </w:t>
      </w:r>
      <w:r>
        <w:rPr>
          <w:rFonts w:cs="Times New Roman"/>
          <w:noProof/>
          <w:lang w:val="en-GB"/>
        </w:rPr>
        <w:t>to a high extent or to the fullest extent. In contrast, only 15 % of respondents (16 out of 109) believe that ISA</w:t>
      </w:r>
      <w:r>
        <w:rPr>
          <w:rFonts w:cs="Times New Roman"/>
          <w:noProof/>
          <w:vertAlign w:val="superscript"/>
          <w:lang w:val="en-GB"/>
        </w:rPr>
        <w:t>2</w:t>
      </w:r>
      <w:r>
        <w:rPr>
          <w:rFonts w:cs="Times New Roman"/>
          <w:noProof/>
          <w:lang w:val="en-GB"/>
        </w:rPr>
        <w:t xml:space="preserve"> solutions have made either no contribution or a limited contribution. The positive feedback is higher when it comes to the programme's </w:t>
      </w:r>
      <w:r>
        <w:rPr>
          <w:rFonts w:cs="Times New Roman"/>
          <w:b/>
          <w:bCs/>
          <w:noProof/>
          <w:lang w:val="en-GB"/>
        </w:rPr>
        <w:t>specific objectives</w:t>
      </w:r>
      <w:r>
        <w:rPr>
          <w:rFonts w:cs="Times New Roman"/>
          <w:noProof/>
          <w:lang w:val="en-GB"/>
        </w:rPr>
        <w:t xml:space="preserve">. </w:t>
      </w:r>
      <w:r>
        <w:rPr>
          <w:rFonts w:cs="Times New Roman"/>
          <w:noProof/>
        </w:rPr>
        <w:t>For instance:</w:t>
      </w:r>
    </w:p>
    <w:p>
      <w:pPr>
        <w:pStyle w:val="Firstlevellist"/>
        <w:rPr>
          <w:noProof/>
        </w:rPr>
      </w:pPr>
      <w:r>
        <w:rPr>
          <w:noProof/>
        </w:rPr>
        <w:t xml:space="preserve">More than 56 % of respondents (59 out of 106) confirm that the solutions developed have contributed to </w:t>
      </w:r>
      <w:r>
        <w:rPr>
          <w:i/>
          <w:iCs/>
          <w:noProof/>
        </w:rPr>
        <w:t>developing, maintaining and promoting a holistic approach to interoperability in the Union</w:t>
      </w:r>
      <w:r>
        <w:rPr>
          <w:noProof/>
        </w:rPr>
        <w:t xml:space="preserve"> (specific objective 1) to a high extent or to the fullest extent;</w:t>
      </w:r>
    </w:p>
    <w:p>
      <w:pPr>
        <w:pStyle w:val="FirstlevellistLAST"/>
        <w:rPr>
          <w:noProof/>
        </w:rPr>
      </w:pPr>
      <w:r>
        <w:rPr>
          <w:noProof/>
        </w:rPr>
        <w:t xml:space="preserve">More than 56 % of respondents (60 out of 108) indicate that the solutions developed have contributed to </w:t>
      </w:r>
      <w:r>
        <w:rPr>
          <w:i/>
          <w:iCs/>
          <w:noProof/>
        </w:rPr>
        <w:t>facilitating the reuse of interoperability solutions by European public administrations</w:t>
      </w:r>
      <w:r>
        <w:rPr>
          <w:noProof/>
        </w:rPr>
        <w:t xml:space="preserve"> (specific objective 5) to a high extent or to the fullest extent. </w:t>
      </w:r>
    </w:p>
    <w:p>
      <w:pPr>
        <w:jc w:val="both"/>
        <w:rPr>
          <w:rFonts w:cs="Times New Roman"/>
          <w:noProof/>
          <w:lang w:val="en-GB"/>
        </w:rPr>
      </w:pPr>
      <w:r>
        <w:rPr>
          <w:rFonts w:cs="Times New Roman"/>
          <w:noProof/>
          <w:lang w:val="en-GB"/>
        </w:rPr>
        <w:t xml:space="preserve">However, respondents to the consultation activities express a lower level of agreement regarding the </w:t>
      </w:r>
      <w:r>
        <w:rPr>
          <w:rFonts w:cs="Times New Roman"/>
          <w:i/>
          <w:noProof/>
          <w:lang w:val="en-GB"/>
        </w:rPr>
        <w:t>contribution to the development of a more effective, simplified and user-friendly e-administration at the national, regional and local levels of public administration</w:t>
      </w:r>
      <w:r>
        <w:rPr>
          <w:rFonts w:cs="Times New Roman"/>
          <w:noProof/>
          <w:lang w:val="en-GB"/>
        </w:rPr>
        <w:t xml:space="preserve"> (specific objective 3). Only 34 % of respondents (36 out of 106) consider that ISA</w:t>
      </w:r>
      <w:r>
        <w:rPr>
          <w:rFonts w:cs="Times New Roman"/>
          <w:noProof/>
          <w:vertAlign w:val="superscript"/>
          <w:lang w:val="en-GB"/>
        </w:rPr>
        <w:t>2</w:t>
      </w:r>
      <w:r>
        <w:rPr>
          <w:rFonts w:cs="Times New Roman"/>
          <w:noProof/>
          <w:lang w:val="en-GB"/>
        </w:rPr>
        <w:t xml:space="preserve"> solutions have contributed to this objective to a high extent or to the fullest extent, while 22 % (23 out of 106) believe that there has been either no contribution or only a limited contribution. This is aligned with the assessment of the EU added value criterion (see </w:t>
      </w:r>
      <w:r>
        <w:rPr>
          <w:rFonts w:cs="Times New Roman"/>
          <w:noProof/>
        </w:rPr>
        <w:fldChar w:fldCharType="begin"/>
      </w:r>
      <w:r>
        <w:rPr>
          <w:rFonts w:cs="Times New Roman"/>
          <w:noProof/>
          <w:lang w:val="en-GB"/>
        </w:rPr>
        <w:instrText xml:space="preserve"> REF _Ref9755929 \h  \* MERGEFORMAT </w:instrText>
      </w:r>
      <w:r>
        <w:rPr>
          <w:rFonts w:cs="Times New Roman"/>
          <w:noProof/>
        </w:rPr>
      </w:r>
      <w:r>
        <w:rPr>
          <w:rFonts w:cs="Times New Roman"/>
          <w:noProof/>
        </w:rPr>
        <w:fldChar w:fldCharType="separate"/>
      </w:r>
      <w:r>
        <w:rPr>
          <w:rFonts w:cs="Times New Roman"/>
          <w:noProof/>
          <w:lang w:val="en-GB"/>
        </w:rPr>
        <w:t>Figure 17</w:t>
      </w:r>
      <w:r>
        <w:rPr>
          <w:rFonts w:cs="Times New Roman"/>
          <w:noProof/>
        </w:rPr>
        <w:fldChar w:fldCharType="end"/>
      </w:r>
      <w:r>
        <w:rPr>
          <w:rFonts w:cs="Times New Roman"/>
          <w:noProof/>
          <w:lang w:val="en-GB"/>
        </w:rPr>
        <w:t xml:space="preserve"> in section 5.5), which shows that Member States’ initiatives tend to perform relatively better when it comes to achieving specific objective 3.</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6</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solutions contributed to achieving the programme’s objectives (average score of answers, number of respondents)</w:t>
      </w:r>
    </w:p>
    <w:p>
      <w:pPr>
        <w:pStyle w:val="VISUAL"/>
        <w:rPr>
          <w:rFonts w:cs="Times New Roman"/>
          <w:noProof/>
        </w:rPr>
      </w:pPr>
      <w:r>
        <w:rPr>
          <w:rFonts w:cs="Times New Roman"/>
          <w:noProof/>
          <w:lang w:eastAsia="en-GB"/>
        </w:rPr>
        <w:drawing>
          <wp:inline distT="0" distB="0" distL="0" distR="0">
            <wp:extent cx="5731510" cy="5535435"/>
            <wp:effectExtent l="0" t="0" r="2540" b="8255"/>
            <wp:docPr id="133" name="Chart 13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2A3D167-057D-44DB-A352-168FD27D4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spacing w:after="0" w:line="240" w:lineRule="auto"/>
        <w:jc w:val="both"/>
        <w:rPr>
          <w:rFonts w:cs="Times New Roman"/>
          <w:i/>
          <w:noProof/>
          <w:sz w:val="20"/>
          <w:lang w:val="en-GB"/>
        </w:rPr>
      </w:pPr>
      <w:r>
        <w:rPr>
          <w:rFonts w:cs="Times New Roman"/>
          <w:i/>
          <w:noProof/>
          <w:sz w:val="20"/>
          <w:lang w:val="en-GB"/>
        </w:rPr>
        <w:t xml:space="preserve">Score: 1 — not at all; 2 — to a limited extent; 3 — to some extent; 4 — to a high extent; 5 — to the fullest extent. </w:t>
      </w:r>
    </w:p>
    <w:p>
      <w:pPr>
        <w:spacing w:after="0" w:line="240" w:lineRule="auto"/>
        <w:jc w:val="both"/>
        <w:rPr>
          <w:rFonts w:cs="Times New Roman"/>
          <w:i/>
          <w:noProof/>
          <w:sz w:val="20"/>
          <w:lang w:val="en-GB"/>
        </w:rPr>
      </w:pPr>
      <w:r>
        <w:rPr>
          <w:rFonts w:cs="Times New Roman"/>
          <w:i/>
          <w:noProof/>
          <w:sz w:val="20"/>
          <w:lang w:val="en-GB"/>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69"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The desk review of secondary data also shows good progress towards the achievement of ISA</w:t>
      </w:r>
      <w:r>
        <w:rPr>
          <w:rFonts w:cs="Times New Roman"/>
          <w:noProof/>
          <w:vertAlign w:val="superscript"/>
          <w:lang w:val="en-GB"/>
        </w:rPr>
        <w:t>2</w:t>
      </w:r>
      <w:r>
        <w:rPr>
          <w:rFonts w:cs="Times New Roman"/>
          <w:noProof/>
          <w:lang w:val="en-GB"/>
        </w:rPr>
        <w:t xml:space="preserve"> objectives. The 20 sampled actions have already produced 35 solutions, and a further 21 solutions are under development. Most of the operational solutions are used across the 28 Member States and across different EU institutions, thus contributing to a coherent approach to interoperability in the EU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_Ref11679417 \h  \* MERGEFORMAT </w:instrText>
      </w:r>
      <w:r>
        <w:rPr>
          <w:rFonts w:cs="Times New Roman"/>
          <w:noProof/>
        </w:rPr>
      </w:r>
      <w:r>
        <w:rPr>
          <w:rFonts w:cs="Times New Roman"/>
          <w:noProof/>
        </w:rPr>
        <w:fldChar w:fldCharType="separate"/>
      </w:r>
      <w:r>
        <w:rPr>
          <w:rFonts w:cs="Times New Roman"/>
          <w:noProof/>
          <w:lang w:val="en-GB"/>
        </w:rPr>
        <w:t>Table 9</w:t>
      </w:r>
      <w:r>
        <w:rPr>
          <w:rFonts w:cs="Times New Roman"/>
          <w:noProof/>
        </w:rPr>
        <w:fldChar w:fldCharType="end"/>
      </w:r>
      <w:r>
        <w:rPr>
          <w:rFonts w:cs="Times New Roman"/>
          <w:noProof/>
        </w:rPr>
        <w:fldChar w:fldCharType="begin"/>
      </w:r>
      <w:r>
        <w:rPr>
          <w:rFonts w:cs="Times New Roman"/>
          <w:noProof/>
          <w:lang w:val="en-GB"/>
        </w:rPr>
        <w:instrText xml:space="preserve"> REF _Ref9587611 \h  \* MERGEFORMAT </w:instrText>
      </w:r>
      <w:r>
        <w:rPr>
          <w:rFonts w:cs="Times New Roman"/>
          <w:noProof/>
        </w:rPr>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_Ref9587614 \h  \* MERGEFORMAT </w:instrText>
      </w:r>
      <w:r>
        <w:rPr>
          <w:rFonts w:cs="Times New Roman"/>
          <w:noProof/>
        </w:rPr>
      </w:r>
      <w:r>
        <w:rPr>
          <w:rFonts w:cs="Times New Roman"/>
          <w:noProof/>
        </w:rPr>
        <w:fldChar w:fldCharType="separate"/>
      </w:r>
      <w:r>
        <w:rPr>
          <w:rFonts w:cs="Times New Roman"/>
          <w:noProof/>
          <w:lang w:val="en-GB"/>
        </w:rPr>
        <w:t>Table 10</w:t>
      </w:r>
      <w:r>
        <w:rPr>
          <w:rFonts w:cs="Times New Roman"/>
          <w:noProof/>
        </w:rPr>
        <w:fldChar w:fldCharType="end"/>
      </w:r>
      <w:r>
        <w:rPr>
          <w:rFonts w:cs="Times New Roman"/>
          <w:noProof/>
          <w:lang w:val="en-GB"/>
        </w:rPr>
        <w:t xml:space="preserve"> and </w:t>
      </w:r>
      <w:r>
        <w:rPr>
          <w:rFonts w:cs="Times New Roman"/>
          <w:noProof/>
        </w:rPr>
        <w:fldChar w:fldCharType="begin"/>
      </w:r>
      <w:r>
        <w:rPr>
          <w:rFonts w:cs="Times New Roman"/>
          <w:noProof/>
          <w:lang w:val="en-GB"/>
        </w:rPr>
        <w:instrText xml:space="preserve"> REF _Ref11679432 \h  \* MERGEFORMAT </w:instrText>
      </w:r>
      <w:r>
        <w:rPr>
          <w:rFonts w:cs="Times New Roman"/>
          <w:noProof/>
        </w:rPr>
      </w:r>
      <w:r>
        <w:rPr>
          <w:rFonts w:cs="Times New Roman"/>
          <w:noProof/>
        </w:rPr>
        <w:fldChar w:fldCharType="separate"/>
      </w:r>
      <w:r>
        <w:rPr>
          <w:rFonts w:cs="Times New Roman"/>
          <w:noProof/>
          <w:lang w:val="en-GB"/>
        </w:rPr>
        <w:t>Table 11</w:t>
      </w:r>
      <w:r>
        <w:rPr>
          <w:rFonts w:cs="Times New Roman"/>
          <w:noProof/>
        </w:rPr>
        <w:fldChar w:fldCharType="end"/>
      </w:r>
      <w:r>
        <w:rPr>
          <w:rFonts w:cs="Times New Roman"/>
          <w:noProof/>
          <w:lang w:val="en-GB"/>
        </w:rPr>
        <w:t>).</w:t>
      </w:r>
    </w:p>
    <w:p>
      <w:pPr>
        <w:jc w:val="both"/>
        <w:rPr>
          <w:rFonts w:cs="Times New Roman"/>
          <w:noProof/>
          <w:lang w:val="en-GB"/>
        </w:rPr>
      </w:pPr>
      <w:r>
        <w:rPr>
          <w:rFonts w:cs="Times New Roman"/>
          <w:noProof/>
          <w:lang w:val="en-GB"/>
        </w:rPr>
        <w:t>The Interinstitutional Register for Delegated Acts</w:t>
      </w:r>
      <w:r>
        <w:rPr>
          <w:rStyle w:val="FootnoteReference"/>
          <w:noProof/>
        </w:rPr>
        <w:footnoteReference w:id="36"/>
      </w:r>
      <w:r>
        <w:rPr>
          <w:rFonts w:cs="Times New Roman"/>
          <w:noProof/>
          <w:lang w:val="en-GB"/>
        </w:rPr>
        <w:t xml:space="preserve"> is a good example that illustrates how the various ISA</w:t>
      </w:r>
      <w:r>
        <w:rPr>
          <w:rFonts w:cs="Times New Roman"/>
          <w:noProof/>
          <w:vertAlign w:val="superscript"/>
          <w:lang w:val="en-GB"/>
        </w:rPr>
        <w:t>2</w:t>
      </w:r>
      <w:r>
        <w:rPr>
          <w:rFonts w:cs="Times New Roman"/>
          <w:noProof/>
          <w:lang w:val="en-GB"/>
        </w:rPr>
        <w:t xml:space="preserve"> solutions help achieve the programme’ objectives. It was set up under the ‘RegDel’ action</w:t>
      </w:r>
      <w:r>
        <w:rPr>
          <w:rStyle w:val="FootnoteReference"/>
          <w:noProof/>
        </w:rPr>
        <w:footnoteReference w:id="37"/>
      </w:r>
      <w:r>
        <w:rPr>
          <w:rFonts w:cs="Times New Roman"/>
          <w:noProof/>
          <w:lang w:val="en-GB"/>
        </w:rPr>
        <w:t xml:space="preserve"> in order to respond to the joint commitment of the Commission, the Council and the European Parliament to facilitate access to delegated acts through a dedicated register. By doing so, the register also ‘supports the implementation of Union policies and activities’ as envisaged by specific objective 4 of the ISA</w:t>
      </w:r>
      <w:r>
        <w:rPr>
          <w:rFonts w:cs="Times New Roman"/>
          <w:noProof/>
          <w:vertAlign w:val="superscript"/>
          <w:lang w:val="en-GB"/>
        </w:rPr>
        <w:t xml:space="preserve">2 </w:t>
      </w:r>
      <w:r>
        <w:rPr>
          <w:rFonts w:cs="Times New Roman"/>
          <w:noProof/>
          <w:lang w:val="en-GB"/>
        </w:rPr>
        <w:t>programme. Launched in December 2017, the solution has amassed 2202 active subscriptions and over 144 000 views (up to 1 February 2019)</w:t>
      </w:r>
      <w:r>
        <w:rPr>
          <w:rStyle w:val="FootnoteReference"/>
          <w:noProof/>
        </w:rPr>
        <w:footnoteReference w:id="38"/>
      </w:r>
      <w:r>
        <w:rPr>
          <w:rFonts w:cs="Times New Roman"/>
          <w:noProof/>
          <w:lang w:val="en-GB"/>
        </w:rPr>
        <w:t>.</w:t>
      </w:r>
    </w:p>
    <w:p>
      <w:pPr>
        <w:jc w:val="both"/>
        <w:rPr>
          <w:rFonts w:cs="Times New Roman"/>
          <w:noProof/>
          <w:lang w:val="en-GB"/>
        </w:rPr>
      </w:pPr>
      <w:r>
        <w:rPr>
          <w:rFonts w:cs="Times New Roman"/>
          <w:noProof/>
          <w:lang w:val="en-GB"/>
        </w:rPr>
        <w:t>Another example is the European Interoperability Reference Architecture (EIRA©)</w:t>
      </w:r>
      <w:r>
        <w:rPr>
          <w:rStyle w:val="FootnoteReference"/>
          <w:noProof/>
        </w:rPr>
        <w:footnoteReference w:id="39"/>
      </w:r>
      <w:r>
        <w:rPr>
          <w:rFonts w:cs="Times New Roman"/>
          <w:noProof/>
          <w:lang w:val="en-GB"/>
        </w:rPr>
        <w:t>, which helps classify and organise interoperability building blocks used in the delivery of digital public services. EIRA facilitates the reuse of interoperability solutions by European public administrations (specific 5 of ISA</w:t>
      </w:r>
      <w:r>
        <w:rPr>
          <w:rFonts w:cs="Times New Roman"/>
          <w:noProof/>
          <w:vertAlign w:val="superscript"/>
          <w:lang w:val="en-GB"/>
        </w:rPr>
        <w:t>2</w:t>
      </w:r>
      <w:r>
        <w:rPr>
          <w:rFonts w:cs="Times New Roman"/>
          <w:noProof/>
          <w:lang w:val="en-GB"/>
        </w:rPr>
        <w:t xml:space="preserve">) and is appreciated by its users, as shown in </w:t>
      </w:r>
      <w:r>
        <w:rPr>
          <w:rFonts w:cs="Times New Roman"/>
          <w:noProof/>
        </w:rPr>
        <w:fldChar w:fldCharType="begin"/>
      </w:r>
      <w:r>
        <w:rPr>
          <w:rFonts w:cs="Times New Roman"/>
          <w:noProof/>
          <w:lang w:val="en-GB"/>
        </w:rPr>
        <w:instrText xml:space="preserve"> REF _Ref11681623 \h  \* MERGEFORMAT </w:instrText>
      </w:r>
      <w:r>
        <w:rPr>
          <w:rFonts w:cs="Times New Roman"/>
          <w:noProof/>
        </w:rPr>
      </w:r>
      <w:r>
        <w:rPr>
          <w:rFonts w:cs="Times New Roman"/>
          <w:noProof/>
        </w:rPr>
        <w:fldChar w:fldCharType="separate"/>
      </w:r>
      <w:r>
        <w:rPr>
          <w:rFonts w:cs="Times New Roman"/>
          <w:noProof/>
          <w:lang w:val="en-GB"/>
        </w:rPr>
        <w:t>Box 2</w:t>
      </w:r>
      <w:r>
        <w:rPr>
          <w:rFonts w:cs="Times New Roman"/>
          <w:noProof/>
        </w:rPr>
        <w:fldChar w:fldCharType="end"/>
      </w:r>
      <w:r>
        <w:rPr>
          <w:rFonts w:cs="Times New Roman"/>
          <w:noProof/>
          <w:lang w:val="en-GB"/>
        </w:rPr>
        <w:t>.</w:t>
      </w: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2</w:t>
      </w:r>
      <w:r>
        <w:rPr>
          <w:rFonts w:cs="Times New Roman"/>
          <w:noProof/>
        </w:rPr>
        <w:fldChar w:fldCharType="end"/>
      </w:r>
      <w:r>
        <w:rPr>
          <w:rFonts w:cs="Times New Roman"/>
          <w:noProof/>
        </w:rPr>
        <w:t>: EIRA user testimonial</w:t>
      </w:r>
    </w:p>
    <w:p>
      <w:pPr>
        <w:pStyle w:val="VISUAL"/>
        <w:rPr>
          <w:rFonts w:cs="Times New Roman"/>
          <w:noProof/>
        </w:rPr>
      </w:pPr>
      <w:r>
        <w:rPr>
          <w:rFonts w:cs="Times New Roman"/>
          <w:noProof/>
          <w:lang w:eastAsia="en-GB"/>
        </w:rPr>
        <w:drawing>
          <wp:inline distT="0" distB="0" distL="0" distR="0">
            <wp:extent cx="5472430" cy="3980941"/>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2430" cy="3980941"/>
                    </a:xfrm>
                    <a:prstGeom prst="rect">
                      <a:avLst/>
                    </a:prstGeom>
                  </pic:spPr>
                </pic:pic>
              </a:graphicData>
            </a:graphic>
          </wp:inline>
        </w:drawing>
      </w:r>
    </w:p>
    <w:p>
      <w:pPr>
        <w:pStyle w:val="Char1"/>
        <w:rPr>
          <w:rFonts w:ascii="Times New Roman" w:hAnsi="Times New Roman" w:cs="Times New Roman"/>
          <w:i/>
          <w:noProof/>
          <w:sz w:val="20"/>
          <w:lang w:eastAsia="en-US"/>
        </w:rPr>
      </w:pPr>
      <w:r>
        <w:rPr>
          <w:rFonts w:ascii="Times New Roman" w:hAnsi="Times New Roman" w:cs="Times New Roman"/>
          <w:i/>
          <w:noProof/>
          <w:sz w:val="20"/>
          <w:lang w:eastAsia="en-US"/>
        </w:rPr>
        <w:t>Source: ISA</w:t>
      </w:r>
      <w:r>
        <w:rPr>
          <w:rFonts w:ascii="Times New Roman" w:hAnsi="Times New Roman" w:cs="Times New Roman"/>
          <w:i/>
          <w:noProof/>
          <w:sz w:val="20"/>
          <w:vertAlign w:val="superscript"/>
          <w:lang w:eastAsia="en-US"/>
        </w:rPr>
        <w:t>2</w:t>
      </w:r>
      <w:r>
        <w:rPr>
          <w:rFonts w:ascii="Times New Roman" w:hAnsi="Times New Roman" w:cs="Times New Roman"/>
          <w:i/>
          <w:noProof/>
          <w:sz w:val="20"/>
          <w:lang w:eastAsia="en-US"/>
        </w:rPr>
        <w:t xml:space="preserve"> communication team</w:t>
      </w:r>
    </w:p>
    <w:p>
      <w:pPr>
        <w:jc w:val="both"/>
        <w:rPr>
          <w:rFonts w:cs="Times New Roman"/>
          <w:noProof/>
          <w:lang w:val="en-GB"/>
        </w:rPr>
      </w:pPr>
      <w:r>
        <w:rPr>
          <w:rFonts w:cs="Times New Roman"/>
          <w:noProof/>
          <w:lang w:val="en-GB"/>
        </w:rPr>
        <w:t>Other examples include the ‘Joinup’ solution</w:t>
      </w:r>
      <w:r>
        <w:rPr>
          <w:rStyle w:val="FootnoteReference"/>
          <w:noProof/>
        </w:rPr>
        <w:footnoteReference w:id="40"/>
      </w:r>
      <w:r>
        <w:rPr>
          <w:rFonts w:cs="Times New Roman"/>
          <w:noProof/>
          <w:lang w:val="en-GB"/>
        </w:rPr>
        <w:t xml:space="preserve"> and events such as the ‘Sharing and Reuse Conference’</w:t>
      </w:r>
      <w:r>
        <w:rPr>
          <w:rStyle w:val="FootnoteReference"/>
          <w:noProof/>
        </w:rPr>
        <w:footnoteReference w:id="41"/>
      </w:r>
      <w:r>
        <w:rPr>
          <w:rFonts w:cs="Times New Roman"/>
          <w:noProof/>
          <w:lang w:val="en-GB"/>
        </w:rPr>
        <w:t xml:space="preserve"> that facilitate access to and the reuse of interoperability solutions, as well as the exchange of best practices.</w:t>
      </w:r>
    </w:p>
    <w:p>
      <w:pPr>
        <w:jc w:val="both"/>
        <w:rPr>
          <w:rFonts w:cs="Times New Roman"/>
          <w:noProof/>
          <w:lang w:val="en-GB"/>
        </w:rPr>
      </w:pPr>
      <w:r>
        <w:rPr>
          <w:rFonts w:cs="Times New Roman"/>
          <w:noProof/>
          <w:lang w:val="en-GB"/>
        </w:rPr>
        <w:t xml:space="preserve">Turning to the </w:t>
      </w:r>
      <w:r>
        <w:rPr>
          <w:rFonts w:cs="Times New Roman"/>
          <w:b/>
          <w:bCs/>
          <w:noProof/>
          <w:lang w:val="en-GB"/>
        </w:rPr>
        <w:t>operational objectives</w:t>
      </w:r>
      <w:r>
        <w:rPr>
          <w:rFonts w:cs="Times New Roman"/>
          <w:noProof/>
          <w:lang w:val="en-GB"/>
        </w:rPr>
        <w:t xml:space="preserve"> (</w:t>
      </w:r>
      <w:r>
        <w:rPr>
          <w:rFonts w:cs="Times New Roman"/>
          <w:noProof/>
        </w:rPr>
        <w:fldChar w:fldCharType="begin"/>
      </w:r>
      <w:r>
        <w:rPr>
          <w:rFonts w:cs="Times New Roman"/>
          <w:noProof/>
          <w:lang w:val="en-GB"/>
        </w:rPr>
        <w:instrText xml:space="preserve"> REF _Ref9586777 \h  \* MERGEFORMAT </w:instrText>
      </w:r>
      <w:r>
        <w:rPr>
          <w:rFonts w:cs="Times New Roman"/>
          <w:noProof/>
        </w:rPr>
      </w:r>
      <w:r>
        <w:rPr>
          <w:rFonts w:cs="Times New Roman"/>
          <w:noProof/>
        </w:rPr>
        <w:fldChar w:fldCharType="separate"/>
      </w:r>
      <w:r>
        <w:rPr>
          <w:rFonts w:cs="Times New Roman"/>
          <w:noProof/>
          <w:lang w:val="en-GB"/>
        </w:rPr>
        <w:t>Figure 7</w:t>
      </w:r>
      <w:r>
        <w:rPr>
          <w:rFonts w:cs="Times New Roman"/>
          <w:noProof/>
        </w:rPr>
        <w:fldChar w:fldCharType="end"/>
      </w:r>
      <w:r>
        <w:rPr>
          <w:rFonts w:cs="Times New Roman"/>
          <w:noProof/>
          <w:lang w:val="en-GB"/>
        </w:rPr>
        <w:t>), the highest achievements of ISA</w:t>
      </w:r>
      <w:r>
        <w:rPr>
          <w:rFonts w:cs="Times New Roman"/>
          <w:noProof/>
          <w:vertAlign w:val="superscript"/>
          <w:lang w:val="en-GB"/>
        </w:rPr>
        <w:t>2</w:t>
      </w:r>
      <w:r>
        <w:rPr>
          <w:rFonts w:cs="Times New Roman"/>
          <w:noProof/>
          <w:lang w:val="en-GB"/>
        </w:rPr>
        <w:t xml:space="preserve"> solutions pertain to the following ones:</w:t>
      </w:r>
    </w:p>
    <w:p>
      <w:pPr>
        <w:pStyle w:val="Firstlevellist"/>
        <w:rPr>
          <w:noProof/>
        </w:rPr>
      </w:pPr>
      <w:r>
        <w:rPr>
          <w:noProof/>
        </w:rPr>
        <w:t xml:space="preserve">Operational objective 7 – 68 % of respondents (42 out of 62) confirmed that the existing solutions have contributed to </w:t>
      </w:r>
      <w:r>
        <w:rPr>
          <w:i/>
          <w:iCs/>
          <w:noProof/>
        </w:rPr>
        <w:t>supporting and promoting the maintenance, updating, promotion and monitoring of the implementation of the EIS, the EIF and the</w:t>
      </w:r>
      <w:r>
        <w:rPr>
          <w:noProof/>
        </w:rPr>
        <w:t xml:space="preserve"> </w:t>
      </w:r>
      <w:r>
        <w:rPr>
          <w:i/>
          <w:noProof/>
        </w:rPr>
        <w:t>EIRA</w:t>
      </w:r>
      <w:r>
        <w:rPr>
          <w:noProof/>
        </w:rPr>
        <w:t xml:space="preserve"> to a high extent or to the fullest extent, and only 1 % (1 out of 62) believe that there was a limited contribution. One good example is the European Interoperability Architecture (EIA), which has developed a conceptual reference architecture that is already deployed in eight Member States. Moreover, the European Interoperability Reference Architecture (EIRA) solution that is available on the ‘Joinup’ platform has been downloaded 1 364 times so far (</w:t>
      </w:r>
      <w:r>
        <w:rPr>
          <w:noProof/>
        </w:rPr>
        <w:fldChar w:fldCharType="begin"/>
      </w:r>
      <w:r>
        <w:rPr>
          <w:noProof/>
        </w:rPr>
        <w:instrText xml:space="preserve"> REF _Ref9581764 \h  \* MERGEFORMAT </w:instrText>
      </w:r>
      <w:r>
        <w:rPr>
          <w:noProof/>
        </w:rPr>
      </w:r>
      <w:r>
        <w:rPr>
          <w:noProof/>
        </w:rPr>
        <w:fldChar w:fldCharType="separate"/>
      </w:r>
      <w:r>
        <w:rPr>
          <w:noProof/>
        </w:rPr>
        <w:t>Annex 6</w:t>
      </w:r>
      <w:r>
        <w:rPr>
          <w:noProof/>
        </w:rPr>
        <w:fldChar w:fldCharType="end"/>
      </w:r>
      <w:r>
        <w:rPr>
          <w:noProof/>
        </w:rPr>
        <w:t xml:space="preserve">: </w:t>
      </w:r>
      <w:r>
        <w:rPr>
          <w:noProof/>
        </w:rPr>
        <w:fldChar w:fldCharType="begin"/>
      </w:r>
      <w:r>
        <w:rPr>
          <w:noProof/>
        </w:rPr>
        <w:instrText xml:space="preserve"> REF _Ref9587649 \h  \* MERGEFORMAT </w:instrText>
      </w:r>
      <w:r>
        <w:rPr>
          <w:noProof/>
        </w:rPr>
      </w:r>
      <w:r>
        <w:rPr>
          <w:noProof/>
        </w:rPr>
        <w:fldChar w:fldCharType="separate"/>
      </w:r>
      <w:r>
        <w:rPr>
          <w:noProof/>
        </w:rPr>
        <w:t>Table 12</w:t>
      </w:r>
      <w:r>
        <w:rPr>
          <w:noProof/>
        </w:rPr>
        <w:fldChar w:fldCharType="end"/>
      </w:r>
      <w:r>
        <w:rPr>
          <w:noProof/>
        </w:rPr>
        <w:t>). In addition, the National Interoperability Framework Observatory contributes to this objective by assessing interoperability developments in Member States and national alignment with the EIF.</w:t>
      </w:r>
    </w:p>
    <w:p>
      <w:pPr>
        <w:pStyle w:val="FirstlevellistLAST"/>
        <w:rPr>
          <w:noProof/>
        </w:rPr>
      </w:pPr>
      <w:r>
        <w:rPr>
          <w:noProof/>
        </w:rPr>
        <w:t>Operational objective 9 — according to 68 % of respondents (50 out of 73), ISA</w:t>
      </w:r>
      <w:r>
        <w:rPr>
          <w:noProof/>
          <w:vertAlign w:val="superscript"/>
        </w:rPr>
        <w:t>2</w:t>
      </w:r>
      <w:r>
        <w:rPr>
          <w:noProof/>
        </w:rPr>
        <w:t xml:space="preserve"> solutions have contributed to </w:t>
      </w:r>
      <w:r>
        <w:rPr>
          <w:i/>
          <w:iCs/>
          <w:noProof/>
        </w:rPr>
        <w:t>supporting and promoting the maintenance and publication of a platform allowing access to and collaboration with regard to best practices, functioning as a means of raising awareness and disseminating available solutions</w:t>
      </w:r>
      <w:r>
        <w:rPr>
          <w:noProof/>
        </w:rPr>
        <w:t xml:space="preserve"> to a high extent or to the fullest extent, compared to 11 % (8 out of 73) who believe that the contribution has been limited. The ‘Joinup’ action, by maintaining and further developing the collaborative platform with the same name, is directly related to this operational objective. The platform counts over 13 000 members, namely professionals working in the field of eGovernment. It allows members to work together on over 109 thematic working spaces, called ‘collections’ (</w:t>
      </w:r>
      <w:r>
        <w:rPr>
          <w:noProof/>
        </w:rPr>
        <w:fldChar w:fldCharType="begin"/>
      </w:r>
      <w:r>
        <w:rPr>
          <w:noProof/>
        </w:rPr>
        <w:instrText xml:space="preserve"> REF _Ref9581764 \h  \* MERGEFORMAT </w:instrText>
      </w:r>
      <w:r>
        <w:rPr>
          <w:noProof/>
        </w:rPr>
      </w:r>
      <w:r>
        <w:rPr>
          <w:noProof/>
        </w:rPr>
        <w:fldChar w:fldCharType="separate"/>
      </w:r>
      <w:r>
        <w:rPr>
          <w:noProof/>
        </w:rPr>
        <w:t>Annex 6</w:t>
      </w:r>
      <w:r>
        <w:rPr>
          <w:noProof/>
        </w:rPr>
        <w:fldChar w:fldCharType="end"/>
      </w:r>
      <w:r>
        <w:rPr>
          <w:noProof/>
        </w:rPr>
        <w:t xml:space="preserve">: </w:t>
      </w:r>
      <w:r>
        <w:rPr>
          <w:noProof/>
        </w:rPr>
        <w:fldChar w:fldCharType="begin"/>
      </w:r>
      <w:r>
        <w:rPr>
          <w:noProof/>
        </w:rPr>
        <w:instrText xml:space="preserve"> REF _Ref9587649 \h  \* MERGEFORMAT </w:instrText>
      </w:r>
      <w:r>
        <w:rPr>
          <w:noProof/>
        </w:rPr>
      </w:r>
      <w:r>
        <w:rPr>
          <w:noProof/>
        </w:rPr>
        <w:fldChar w:fldCharType="separate"/>
      </w:r>
      <w:r>
        <w:rPr>
          <w:noProof/>
        </w:rPr>
        <w:t>Table 12</w:t>
      </w:r>
      <w:r>
        <w:rPr>
          <w:noProof/>
        </w:rPr>
        <w:fldChar w:fldCharType="end"/>
      </w:r>
      <w:r>
        <w:rPr>
          <w:noProof/>
        </w:rPr>
        <w:t>).</w:t>
      </w:r>
    </w:p>
    <w:p>
      <w:pPr>
        <w:jc w:val="both"/>
        <w:rPr>
          <w:rFonts w:cs="Times New Roman"/>
          <w:noProof/>
          <w:lang w:val="en-GB"/>
        </w:rPr>
      </w:pPr>
      <w:r>
        <w:rPr>
          <w:rFonts w:cs="Times New Roman"/>
          <w:noProof/>
          <w:lang w:val="en-GB"/>
        </w:rPr>
        <w:t xml:space="preserve">Based on the feedback received, there are </w:t>
      </w:r>
      <w:r>
        <w:rPr>
          <w:rFonts w:cs="Times New Roman"/>
          <w:b/>
          <w:noProof/>
          <w:lang w:val="en-GB"/>
        </w:rPr>
        <w:t>two areas for potential improvement</w:t>
      </w:r>
      <w:r>
        <w:rPr>
          <w:rFonts w:cs="Times New Roman"/>
          <w:noProof/>
          <w:lang w:val="en-GB"/>
        </w:rPr>
        <w:t>:</w:t>
      </w:r>
    </w:p>
    <w:p>
      <w:pPr>
        <w:numPr>
          <w:ilvl w:val="0"/>
          <w:numId w:val="32"/>
        </w:numPr>
        <w:jc w:val="both"/>
        <w:rPr>
          <w:rFonts w:cs="Times New Roman"/>
          <w:noProof/>
          <w:lang w:val="en-GB"/>
        </w:rPr>
      </w:pPr>
      <w:r>
        <w:rPr>
          <w:rFonts w:cs="Times New Roman"/>
          <w:noProof/>
          <w:lang w:val="en-GB"/>
        </w:rPr>
        <w:t>Operational objective 4 — only 23 % of respondents (15 out of 64) believe that ISA</w:t>
      </w:r>
      <w:r>
        <w:rPr>
          <w:rFonts w:cs="Times New Roman"/>
          <w:noProof/>
          <w:vertAlign w:val="superscript"/>
          <w:lang w:val="en-GB"/>
        </w:rPr>
        <w:t>2</w:t>
      </w:r>
      <w:r>
        <w:rPr>
          <w:rFonts w:cs="Times New Roman"/>
          <w:noProof/>
          <w:lang w:val="en-GB"/>
        </w:rPr>
        <w:t xml:space="preserve"> solutions have contributed to </w:t>
      </w:r>
      <w:r>
        <w:rPr>
          <w:rFonts w:cs="Times New Roman"/>
          <w:i/>
          <w:iCs/>
          <w:noProof/>
          <w:lang w:val="en-GB"/>
        </w:rPr>
        <w:t xml:space="preserve">supporting and promoting the identification of legislation gaps, at Union and national level, that hamper cross-border or cross-sector interoperability between European public administrations </w:t>
      </w:r>
      <w:r>
        <w:rPr>
          <w:rFonts w:cs="Times New Roman"/>
          <w:noProof/>
          <w:lang w:val="en-GB"/>
        </w:rPr>
        <w:t>to a high extent or to the fullest extent.</w:t>
      </w:r>
    </w:p>
    <w:p>
      <w:pPr>
        <w:numPr>
          <w:ilvl w:val="0"/>
          <w:numId w:val="32"/>
        </w:numPr>
        <w:jc w:val="both"/>
        <w:rPr>
          <w:rFonts w:cs="Times New Roman"/>
          <w:noProof/>
          <w:lang w:val="en-GB"/>
        </w:rPr>
      </w:pPr>
      <w:r>
        <w:rPr>
          <w:rFonts w:cs="Times New Roman"/>
          <w:noProof/>
          <w:lang w:val="en-GB"/>
        </w:rPr>
        <w:t>Operational objective 5 — only 25 % of respondents (17 out of 68) indicate that ISA</w:t>
      </w:r>
      <w:r>
        <w:rPr>
          <w:rFonts w:cs="Times New Roman"/>
          <w:noProof/>
          <w:vertAlign w:val="superscript"/>
          <w:lang w:val="en-GB"/>
        </w:rPr>
        <w:t>2</w:t>
      </w:r>
      <w:r>
        <w:rPr>
          <w:rFonts w:cs="Times New Roman"/>
          <w:noProof/>
          <w:lang w:val="en-GB"/>
        </w:rPr>
        <w:t xml:space="preserve"> solutions have contributed to </w:t>
      </w:r>
      <w:r>
        <w:rPr>
          <w:rFonts w:cs="Times New Roman"/>
          <w:i/>
          <w:iCs/>
          <w:noProof/>
          <w:lang w:val="en-GB"/>
        </w:rPr>
        <w:t xml:space="preserve">supporting and promoting the development of mechanisms that measure and quantify the benefits of interoperability solutions including methodologies for assessing cost-savings </w:t>
      </w:r>
      <w:r>
        <w:rPr>
          <w:rFonts w:cs="Times New Roman"/>
          <w:noProof/>
          <w:lang w:val="en-GB"/>
        </w:rPr>
        <w:t>to a high extent or to the fullest extent.</w:t>
      </w:r>
    </w:p>
    <w:p>
      <w:pPr>
        <w:jc w:val="both"/>
        <w:rPr>
          <w:rFonts w:cs="Times New Roman"/>
          <w:noProof/>
          <w:lang w:val="en-GB"/>
        </w:rPr>
      </w:pPr>
      <w:r>
        <w:rPr>
          <w:rFonts w:cs="Times New Roman"/>
          <w:noProof/>
          <w:lang w:val="en-GB"/>
        </w:rPr>
        <w:t>The fact that the ‘Legal Interoperability’ action, responsible for the advancement of these two operational objectives, has until now mainly focused on the Commission’s internal policy-making process, may explain the lower awareness levels among the programme’s stakeholders.</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7</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solutions contributed to achieving the programme’s operational objectives (average score of answers, number of respondents)</w:t>
      </w:r>
    </w:p>
    <w:p>
      <w:pPr>
        <w:pStyle w:val="VISUAL"/>
        <w:rPr>
          <w:rFonts w:cs="Times New Roman"/>
          <w:noProof/>
        </w:rPr>
      </w:pPr>
      <w:r>
        <w:rPr>
          <w:rFonts w:cs="Times New Roman"/>
          <w:noProof/>
          <w:lang w:eastAsia="en-GB"/>
        </w:rPr>
        <w:drawing>
          <wp:inline distT="0" distB="0" distL="0" distR="0">
            <wp:extent cx="5934710" cy="7772400"/>
            <wp:effectExtent l="0" t="0" r="8890" b="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Notes"/>
        <w:rPr>
          <w:rFonts w:cs="Times New Roman"/>
          <w:noProof/>
        </w:rPr>
      </w:pPr>
      <w:r>
        <w:rPr>
          <w:rFonts w:cs="Times New Roman"/>
          <w:noProof/>
        </w:rPr>
        <w:t xml:space="preserve">Score: 1 — not at all; 2 — to a limited extent; 3 — to some extent; 4 — to a high extent; 5 — to the fullest extent. </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72"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As the programme has only just passed its midway point, it is reasonable to assume that </w:t>
      </w:r>
      <w:r>
        <w:rPr>
          <w:rFonts w:cs="Times New Roman"/>
          <w:b/>
          <w:bCs/>
          <w:noProof/>
          <w:lang w:val="en-GB"/>
        </w:rPr>
        <w:t>its actual results might not fully match the expected results, since actions are ongoing and solutions will continue to be developed</w:t>
      </w:r>
      <w:r>
        <w:rPr>
          <w:rFonts w:cs="Times New Roman"/>
          <w:noProof/>
          <w:lang w:val="en-GB"/>
        </w:rPr>
        <w:t xml:space="preserve"> until the programme ends in 2020. </w:t>
      </w:r>
      <w:r>
        <w:rPr>
          <w:rFonts w:cs="Times New Roman"/>
          <w:b/>
          <w:noProof/>
          <w:lang w:val="en-GB"/>
        </w:rPr>
        <w:t>Experts confirmed this assumption</w:t>
      </w:r>
      <w:r>
        <w:rPr>
          <w:rFonts w:cs="Times New Roman"/>
          <w:noProof/>
          <w:lang w:val="en-GB"/>
        </w:rPr>
        <w:t>, pointing out that ISA</w:t>
      </w:r>
      <w:r>
        <w:rPr>
          <w:rFonts w:cs="Times New Roman"/>
          <w:noProof/>
          <w:vertAlign w:val="superscript"/>
          <w:lang w:val="en-GB"/>
        </w:rPr>
        <w:t>2</w:t>
      </w:r>
      <w:r>
        <w:rPr>
          <w:rFonts w:cs="Times New Roman"/>
          <w:noProof/>
          <w:lang w:val="en-GB"/>
        </w:rPr>
        <w:t xml:space="preserve"> solutions have contributed to, for instance, ‘a coherent interoperability landscape in the Union’, but more time is needed for the expected results to be fully realised. The feedback received as part of the consultation activities provides further evidence of this (</w:t>
      </w:r>
      <w:r>
        <w:rPr>
          <w:rFonts w:cs="Times New Roman"/>
          <w:noProof/>
        </w:rPr>
        <w:fldChar w:fldCharType="begin"/>
      </w:r>
      <w:r>
        <w:rPr>
          <w:rFonts w:cs="Times New Roman"/>
          <w:noProof/>
          <w:lang w:val="en-GB"/>
        </w:rPr>
        <w:instrText xml:space="preserve"> REF _Ref9589478 \h  \* MERGEFORMAT </w:instrText>
      </w:r>
      <w:r>
        <w:rPr>
          <w:rFonts w:cs="Times New Roman"/>
          <w:noProof/>
        </w:rPr>
      </w:r>
      <w:r>
        <w:rPr>
          <w:rFonts w:cs="Times New Roman"/>
          <w:noProof/>
        </w:rPr>
        <w:fldChar w:fldCharType="separate"/>
      </w:r>
      <w:r>
        <w:rPr>
          <w:rFonts w:cs="Times New Roman"/>
          <w:noProof/>
          <w:lang w:val="en-GB"/>
        </w:rPr>
        <w:t>Figure 8</w:t>
      </w:r>
      <w:r>
        <w:rPr>
          <w:rFonts w:cs="Times New Roman"/>
          <w:noProof/>
        </w:rPr>
        <w:fldChar w:fldCharType="end"/>
      </w:r>
      <w:r>
        <w:rPr>
          <w:rFonts w:cs="Times New Roman"/>
          <w:noProof/>
          <w:lang w:val="en-GB"/>
        </w:rPr>
        <w:t>).</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8</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solutions achieved the programme's expected results (average score of answers, number of respondents)</w:t>
      </w:r>
    </w:p>
    <w:p>
      <w:pPr>
        <w:pStyle w:val="VISUAL"/>
        <w:rPr>
          <w:rFonts w:cs="Times New Roman"/>
          <w:noProof/>
        </w:rPr>
      </w:pPr>
      <w:r>
        <w:rPr>
          <w:rFonts w:cs="Times New Roman"/>
          <w:noProof/>
          <w:lang w:eastAsia="en-GB"/>
        </w:rPr>
        <w:drawing>
          <wp:inline distT="0" distB="0" distL="0" distR="0">
            <wp:extent cx="5731510" cy="6121400"/>
            <wp:effectExtent l="0" t="0" r="2540" b="0"/>
            <wp:docPr id="137" name="Chart 13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DD5208B-3634-4F82-A7D4-420A567DD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Notes"/>
        <w:rPr>
          <w:rFonts w:cs="Times New Roman"/>
          <w:noProof/>
        </w:rPr>
      </w:pPr>
      <w:r>
        <w:rPr>
          <w:rFonts w:cs="Times New Roman"/>
          <w:noProof/>
        </w:rPr>
        <w:t xml:space="preserve">Score: 1 — not at all; 2 — to a limited extent; 3 — to some extent; 4 — to a high extent; 5 — to the fullest extent. </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74"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The </w:t>
      </w:r>
      <w:r>
        <w:rPr>
          <w:rFonts w:cs="Times New Roman"/>
          <w:b/>
          <w:noProof/>
          <w:lang w:val="en-GB"/>
        </w:rPr>
        <w:t>developed solutions are mostly aligned with the expected result of a coherent interoperability landscape in the EU based on a holistic approach to interoperability</w:t>
      </w:r>
      <w:r>
        <w:rPr>
          <w:rFonts w:cs="Times New Roman"/>
          <w:noProof/>
          <w:lang w:val="en-GB"/>
        </w:rPr>
        <w:t>. In fact, around 50 % of respondents (37 out of 77) believe that ISA</w:t>
      </w:r>
      <w:r>
        <w:rPr>
          <w:rFonts w:cs="Times New Roman"/>
          <w:noProof/>
          <w:vertAlign w:val="superscript"/>
          <w:lang w:val="en-GB"/>
        </w:rPr>
        <w:t>2</w:t>
      </w:r>
      <w:r>
        <w:rPr>
          <w:rFonts w:cs="Times New Roman"/>
          <w:noProof/>
          <w:lang w:val="en-GB"/>
        </w:rPr>
        <w:t xml:space="preserve"> solutions have achieved this expected result to a high extent or to the fullest extent, in comparison to 8 % (6 out of 77) who argue that there has been limited achievement or no achievement in this area. The achievement of expected results is further assessed below, when the performance indicators are presented.</w:t>
      </w:r>
    </w:p>
    <w:p>
      <w:pPr>
        <w:jc w:val="both"/>
        <w:rPr>
          <w:rFonts w:cs="Times New Roman"/>
          <w:noProof/>
          <w:lang w:val="en-GB"/>
        </w:rPr>
      </w:pPr>
      <w:r>
        <w:rPr>
          <w:rFonts w:cs="Times New Roman"/>
          <w:noProof/>
          <w:lang w:val="en-GB"/>
        </w:rPr>
        <w:t xml:space="preserve">Turning to </w:t>
      </w:r>
      <w:r>
        <w:rPr>
          <w:rFonts w:cs="Times New Roman"/>
          <w:b/>
          <w:noProof/>
          <w:lang w:val="en-GB"/>
        </w:rPr>
        <w:t>areas of potential improvement</w:t>
      </w:r>
      <w:r>
        <w:rPr>
          <w:rFonts w:cs="Times New Roman"/>
          <w:noProof/>
          <w:lang w:val="en-GB"/>
        </w:rPr>
        <w:t>, only 30 % of respondents (23 out of 76) consider that ISA</w:t>
      </w:r>
      <w:r>
        <w:rPr>
          <w:rFonts w:cs="Times New Roman"/>
          <w:noProof/>
          <w:vertAlign w:val="superscript"/>
          <w:lang w:val="en-GB"/>
        </w:rPr>
        <w:t>2</w:t>
      </w:r>
      <w:r>
        <w:rPr>
          <w:rFonts w:cs="Times New Roman"/>
          <w:noProof/>
          <w:lang w:val="en-GB"/>
        </w:rPr>
        <w:t xml:space="preserve"> solutions led to </w:t>
      </w:r>
      <w:r>
        <w:rPr>
          <w:rFonts w:cs="Times New Roman"/>
          <w:b/>
          <w:noProof/>
          <w:lang w:val="en-GB"/>
        </w:rPr>
        <w:t>improved efficiency and productivity of the European public administrations</w:t>
      </w:r>
      <w:r>
        <w:rPr>
          <w:rFonts w:cs="Times New Roman"/>
          <w:noProof/>
          <w:lang w:val="en-GB"/>
        </w:rPr>
        <w:t>. Interestingly, during the interviews some respondents pointed out that it is difficult to reply to this specific question, as no specific studies have been carried out on the efficiency and productivity effects of ISA</w:t>
      </w:r>
      <w:r>
        <w:rPr>
          <w:rFonts w:cs="Times New Roman"/>
          <w:noProof/>
          <w:vertAlign w:val="superscript"/>
          <w:lang w:val="en-GB"/>
        </w:rPr>
        <w:t>2</w:t>
      </w:r>
      <w:r>
        <w:rPr>
          <w:rFonts w:cs="Times New Roman"/>
          <w:noProof/>
          <w:lang w:val="en-GB"/>
        </w:rPr>
        <w:t xml:space="preserve"> solutions, although such effects are expected. Future actions may aim to rectify this and ensure that impacts generated by ISA</w:t>
      </w:r>
      <w:r>
        <w:rPr>
          <w:rFonts w:cs="Times New Roman"/>
          <w:noProof/>
          <w:vertAlign w:val="superscript"/>
          <w:lang w:val="en-GB"/>
        </w:rPr>
        <w:t>2</w:t>
      </w:r>
      <w:r>
        <w:rPr>
          <w:rFonts w:cs="Times New Roman"/>
          <w:noProof/>
          <w:lang w:val="en-GB"/>
        </w:rPr>
        <w:t xml:space="preserve"> solutions for public administrations are identified and quantified.</w:t>
      </w:r>
    </w:p>
    <w:p>
      <w:pPr>
        <w:pStyle w:val="Heading4"/>
        <w:rPr>
          <w:noProof/>
        </w:rPr>
      </w:pPr>
      <w:r>
        <w:rPr>
          <w:noProof/>
        </w:rPr>
        <w:t xml:space="preserve">JC2: Impact of external factors on the programme's performance </w:t>
      </w:r>
    </w:p>
    <w:p>
      <w:pPr>
        <w:jc w:val="both"/>
        <w:rPr>
          <w:rFonts w:cs="Times New Roman"/>
          <w:noProof/>
          <w:lang w:val="en-GB"/>
        </w:rPr>
      </w:pPr>
      <w:r>
        <w:rPr>
          <w:rFonts w:cs="Times New Roman"/>
          <w:noProof/>
          <w:lang w:val="en-GB"/>
        </w:rPr>
        <w:t>In line with the Evaluation Framework, assessing the programme's effectiveness also implies considering the positive and negative impacts of external factors on the programme's overall performance.</w:t>
      </w:r>
    </w:p>
    <w:p>
      <w:pPr>
        <w:jc w:val="both"/>
        <w:rPr>
          <w:rFonts w:cs="Times New Roman"/>
          <w:noProof/>
          <w:lang w:val="en-GB"/>
        </w:rPr>
      </w:pPr>
      <w:r>
        <w:rPr>
          <w:rFonts w:cs="Times New Roman"/>
          <w:noProof/>
          <w:lang w:val="en-GB"/>
        </w:rPr>
        <w:t xml:space="preserve">To this end, consulted stakeholders were asked to identify and rank the external factors that on the one hand contribute to and on the other hand jeopardise the programme's performance. There is a clear pattern in the answers of all groups consulted on this matter (programme governance stakeholders, action owners and solution users). The </w:t>
      </w:r>
      <w:r>
        <w:rPr>
          <w:rFonts w:cs="Times New Roman"/>
          <w:b/>
          <w:bCs/>
          <w:noProof/>
          <w:lang w:val="en-GB"/>
        </w:rPr>
        <w:t>calls for common standards and frameworks from public administrations</w:t>
      </w:r>
      <w:r>
        <w:rPr>
          <w:rFonts w:cs="Times New Roman"/>
          <w:noProof/>
          <w:lang w:val="en-GB"/>
        </w:rPr>
        <w:t xml:space="preserve"> are considered particularly beneficial to the programme's performance (</w:t>
      </w:r>
      <w:r>
        <w:rPr>
          <w:rFonts w:cs="Times New Roman"/>
          <w:noProof/>
        </w:rPr>
        <w:fldChar w:fldCharType="begin"/>
      </w:r>
      <w:r>
        <w:rPr>
          <w:rFonts w:cs="Times New Roman"/>
          <w:noProof/>
          <w:lang w:val="en-GB"/>
        </w:rPr>
        <w:instrText xml:space="preserve"> REF _Ref9590820 \h  \* MERGEFORMAT </w:instrText>
      </w:r>
      <w:r>
        <w:rPr>
          <w:rFonts w:cs="Times New Roman"/>
          <w:noProof/>
        </w:rPr>
      </w:r>
      <w:r>
        <w:rPr>
          <w:rFonts w:cs="Times New Roman"/>
          <w:noProof/>
        </w:rPr>
        <w:fldChar w:fldCharType="separate"/>
      </w:r>
      <w:r>
        <w:rPr>
          <w:rFonts w:cs="Times New Roman"/>
          <w:noProof/>
          <w:lang w:val="en-GB"/>
        </w:rPr>
        <w:t>Figure 9</w:t>
      </w:r>
      <w:r>
        <w:rPr>
          <w:rFonts w:cs="Times New Roman"/>
          <w:noProof/>
        </w:rPr>
        <w:fldChar w:fldCharType="end"/>
      </w:r>
      <w:r>
        <w:rPr>
          <w:rFonts w:cs="Times New Roman"/>
          <w:noProof/>
          <w:lang w:val="en-GB"/>
        </w:rPr>
        <w:t>), as they can guide the development of new solutions to address the issues raised by public administrations, i.e. the direct beneficiaries of the solutions. Most respondents, 81 % (63 out of 75), believe that these calls contribute to the performance of ISA</w:t>
      </w:r>
      <w:r>
        <w:rPr>
          <w:rFonts w:cs="Times New Roman"/>
          <w:noProof/>
          <w:vertAlign w:val="superscript"/>
          <w:lang w:val="en-GB"/>
        </w:rPr>
        <w:t xml:space="preserve">2 </w:t>
      </w:r>
      <w:r>
        <w:rPr>
          <w:rFonts w:cs="Times New Roman"/>
          <w:noProof/>
          <w:lang w:val="en-GB"/>
        </w:rPr>
        <w:t>to a high extent or to the fullest extent. This also shows that interoperability is among the priorities of European public administrations.</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9</w:t>
      </w:r>
      <w:r>
        <w:rPr>
          <w:rFonts w:cs="Times New Roman"/>
          <w:noProof/>
        </w:rPr>
        <w:fldChar w:fldCharType="end"/>
      </w:r>
      <w:r>
        <w:rPr>
          <w:rFonts w:cs="Times New Roman"/>
          <w:noProof/>
        </w:rPr>
        <w:t>: Extent to which the following external factors contribute to the performance of ISA</w:t>
      </w:r>
      <w:r>
        <w:rPr>
          <w:rFonts w:cs="Times New Roman"/>
          <w:noProof/>
          <w:vertAlign w:val="superscript"/>
        </w:rPr>
        <w:t>2</w:t>
      </w:r>
      <w:r>
        <w:rPr>
          <w:rFonts w:cs="Times New Roman"/>
          <w:noProof/>
        </w:rPr>
        <w:t xml:space="preserve"> (average score of answers, number of respondents)</w:t>
      </w:r>
    </w:p>
    <w:p>
      <w:pPr>
        <w:pStyle w:val="VISUAL"/>
        <w:rPr>
          <w:rFonts w:cs="Times New Roman"/>
          <w:noProof/>
        </w:rPr>
      </w:pPr>
      <w:r>
        <w:rPr>
          <w:rFonts w:cs="Times New Roman"/>
          <w:noProof/>
          <w:lang w:eastAsia="en-GB"/>
        </w:rPr>
        <w:drawing>
          <wp:inline distT="0" distB="0" distL="0" distR="0">
            <wp:extent cx="5731510" cy="2921000"/>
            <wp:effectExtent l="0" t="0" r="2540" b="0"/>
            <wp:docPr id="138" name="Chart 13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3D7E4FE-0148-4C59-8EB0-15E945DB7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Notes"/>
        <w:rPr>
          <w:rFonts w:cs="Times New Roman"/>
          <w:noProof/>
        </w:rPr>
      </w:pPr>
      <w:r>
        <w:rPr>
          <w:rFonts w:cs="Times New Roman"/>
          <w:noProof/>
        </w:rPr>
        <w:t xml:space="preserve">Score: 1 — not at all; 2 — to a limited extent; 3 — to some extent; 4 — to a high extent; 5 — to the fullest extent. </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76"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On the other hand, </w:t>
      </w:r>
      <w:r>
        <w:rPr>
          <w:rFonts w:cs="Times New Roman"/>
          <w:b/>
          <w:bCs/>
          <w:noProof/>
          <w:lang w:val="en-GB"/>
        </w:rPr>
        <w:t>institutional complexity</w:t>
      </w:r>
      <w:r>
        <w:rPr>
          <w:rFonts w:cs="Times New Roman"/>
          <w:noProof/>
          <w:lang w:val="en-GB"/>
        </w:rPr>
        <w:t xml:space="preserve"> is the external factor seen as having the greatest negative impact on the programme's performance (</w:t>
      </w:r>
      <w:r>
        <w:rPr>
          <w:rFonts w:cs="Times New Roman"/>
          <w:noProof/>
        </w:rPr>
        <w:fldChar w:fldCharType="begin"/>
      </w:r>
      <w:r>
        <w:rPr>
          <w:rFonts w:cs="Times New Roman"/>
          <w:noProof/>
          <w:lang w:val="en-GB"/>
        </w:rPr>
        <w:instrText xml:space="preserve"> REF _Ref9591037 \h  \* MERGEFORMAT </w:instrText>
      </w:r>
      <w:r>
        <w:rPr>
          <w:rFonts w:cs="Times New Roman"/>
          <w:noProof/>
        </w:rPr>
      </w:r>
      <w:r>
        <w:rPr>
          <w:rFonts w:cs="Times New Roman"/>
          <w:noProof/>
        </w:rPr>
        <w:fldChar w:fldCharType="separate"/>
      </w:r>
      <w:r>
        <w:rPr>
          <w:rFonts w:cs="Times New Roman"/>
          <w:noProof/>
          <w:lang w:val="en-GB"/>
        </w:rPr>
        <w:t>Figure 10</w:t>
      </w:r>
      <w:r>
        <w:rPr>
          <w:rFonts w:cs="Times New Roman"/>
          <w:noProof/>
        </w:rPr>
        <w:fldChar w:fldCharType="end"/>
      </w:r>
      <w:r>
        <w:rPr>
          <w:rFonts w:cs="Times New Roman"/>
          <w:noProof/>
          <w:lang w:val="en-GB"/>
        </w:rPr>
        <w:t>). 78 % of respondents (64 out of 82) believe that this factor jeopardises the programme's performance to a high extent or to the fullest extent. Institutional complexity comes in the form of multiple layers of governance and differences between national public administrations in various Member States as well as between local public administrations within Member States, all of which can cause coordination issues. Technical experts confirmed this result by identifying institutional and legal complexity as the factors that most jeopardise the programme’s performance.</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10</w:t>
      </w:r>
      <w:r>
        <w:rPr>
          <w:rFonts w:cs="Times New Roman"/>
          <w:noProof/>
        </w:rPr>
        <w:fldChar w:fldCharType="end"/>
      </w:r>
      <w:r>
        <w:rPr>
          <w:rFonts w:cs="Times New Roman"/>
          <w:noProof/>
        </w:rPr>
        <w:t>: Extent to which the following external factors jeopardise the performance of ISA</w:t>
      </w:r>
      <w:r>
        <w:rPr>
          <w:rFonts w:cs="Times New Roman"/>
          <w:noProof/>
          <w:vertAlign w:val="superscript"/>
        </w:rPr>
        <w:t>2</w:t>
      </w:r>
      <w:r>
        <w:rPr>
          <w:rFonts w:cs="Times New Roman"/>
          <w:noProof/>
        </w:rPr>
        <w:t xml:space="preserve"> (average score of answers, number of respondents)</w:t>
      </w:r>
    </w:p>
    <w:p>
      <w:pPr>
        <w:pStyle w:val="VISUAL"/>
        <w:rPr>
          <w:rFonts w:cs="Times New Roman"/>
          <w:noProof/>
        </w:rPr>
      </w:pPr>
      <w:r>
        <w:rPr>
          <w:rFonts w:cs="Times New Roman"/>
          <w:noProof/>
          <w:lang w:eastAsia="en-GB"/>
        </w:rPr>
        <w:drawing>
          <wp:inline distT="0" distB="0" distL="0" distR="0">
            <wp:extent cx="5731510" cy="2940050"/>
            <wp:effectExtent l="0" t="0" r="2540" b="0"/>
            <wp:docPr id="139" name="Chart 13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518CDF6-B318-4F05-92E7-9B7BBBCB8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Notes"/>
        <w:rPr>
          <w:rFonts w:cs="Times New Roman"/>
          <w:noProof/>
        </w:rPr>
      </w:pPr>
      <w:r>
        <w:rPr>
          <w:rFonts w:cs="Times New Roman"/>
          <w:noProof/>
        </w:rPr>
        <w:t xml:space="preserve">Score: 1 — not at all; 2 — to a limited extent; 3 — to some extent; 4 — to a high extent; 5 — to the fullest extent. </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78" w:history="1">
        <w:r>
          <w:rPr>
            <w:rStyle w:val="Hyperlink"/>
            <w:rFonts w:cs="Times New Roman"/>
            <w:i/>
            <w:noProof/>
            <w:sz w:val="20"/>
            <w:szCs w:val="20"/>
            <w:lang w:val="en-GB"/>
          </w:rPr>
          <w:t>CEPS final study</w:t>
        </w:r>
      </w:hyperlink>
    </w:p>
    <w:p>
      <w:pPr>
        <w:pStyle w:val="Heading4"/>
        <w:rPr>
          <w:noProof/>
        </w:rPr>
      </w:pPr>
      <w:r>
        <w:rPr>
          <w:noProof/>
        </w:rPr>
        <w:t>JC3: Awareness of the programme</w:t>
      </w:r>
    </w:p>
    <w:p>
      <w:pPr>
        <w:jc w:val="both"/>
        <w:rPr>
          <w:rFonts w:cs="Times New Roman"/>
          <w:noProof/>
          <w:lang w:val="en-GB"/>
        </w:rPr>
      </w:pPr>
      <w:r>
        <w:rPr>
          <w:rFonts w:cs="Times New Roman"/>
          <w:noProof/>
          <w:lang w:val="en-GB"/>
        </w:rPr>
        <w:t>When analysing the feedback collected via the consultation activities, each stakeholder group's level of awareness of interoperability issues and, more specifically, of the ISA</w:t>
      </w:r>
      <w:r>
        <w:rPr>
          <w:rFonts w:cs="Times New Roman"/>
          <w:noProof/>
          <w:vertAlign w:val="superscript"/>
          <w:lang w:val="en-GB"/>
        </w:rPr>
        <w:t>2</w:t>
      </w:r>
      <w:r>
        <w:rPr>
          <w:rFonts w:cs="Times New Roman"/>
          <w:noProof/>
          <w:lang w:val="en-GB"/>
        </w:rPr>
        <w:t xml:space="preserve"> programme, must be taken into consideration. As illustrated in </w:t>
      </w:r>
      <w:r>
        <w:rPr>
          <w:rFonts w:cs="Times New Roman"/>
          <w:noProof/>
        </w:rPr>
        <w:fldChar w:fldCharType="begin"/>
      </w:r>
      <w:r>
        <w:rPr>
          <w:rFonts w:cs="Times New Roman"/>
          <w:noProof/>
          <w:lang w:val="en-GB"/>
        </w:rPr>
        <w:instrText xml:space="preserve"> REF _Ref9349519 \h  \* MERGEFORMAT </w:instrText>
      </w:r>
      <w:r>
        <w:rPr>
          <w:rFonts w:cs="Times New Roman"/>
          <w:noProof/>
        </w:rPr>
      </w:r>
      <w:r>
        <w:rPr>
          <w:rFonts w:cs="Times New Roman"/>
          <w:noProof/>
        </w:rPr>
        <w:fldChar w:fldCharType="separate"/>
      </w:r>
      <w:r>
        <w:rPr>
          <w:rFonts w:cs="Times New Roman"/>
          <w:noProof/>
          <w:lang w:val="en-GB"/>
        </w:rPr>
        <w:t>Annex 2</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_Ref9325154 \h  \* MERGEFORMAT </w:instrText>
      </w:r>
      <w:r>
        <w:rPr>
          <w:rFonts w:cs="Times New Roman"/>
          <w:noProof/>
        </w:rPr>
      </w:r>
      <w:r>
        <w:rPr>
          <w:rFonts w:cs="Times New Roman"/>
          <w:noProof/>
        </w:rPr>
        <w:fldChar w:fldCharType="separate"/>
      </w:r>
      <w:r>
        <w:rPr>
          <w:rFonts w:cs="Times New Roman"/>
          <w:noProof/>
          <w:lang w:val="en-GB"/>
        </w:rPr>
        <w:t>Figure 30</w:t>
      </w:r>
      <w:r>
        <w:rPr>
          <w:rFonts w:cs="Times New Roman"/>
          <w:noProof/>
        </w:rPr>
        <w:fldChar w:fldCharType="end"/>
      </w:r>
      <w:r>
        <w:rPr>
          <w:rFonts w:cs="Times New Roman"/>
          <w:noProof/>
          <w:lang w:val="en-GB"/>
        </w:rPr>
        <w:t xml:space="preserve"> and </w:t>
      </w:r>
      <w:r>
        <w:rPr>
          <w:rFonts w:cs="Times New Roman"/>
          <w:noProof/>
        </w:rPr>
        <w:fldChar w:fldCharType="begin"/>
      </w:r>
      <w:r>
        <w:rPr>
          <w:rFonts w:cs="Times New Roman"/>
          <w:noProof/>
          <w:lang w:val="en-GB"/>
        </w:rPr>
        <w:instrText xml:space="preserve"> REF _Ref9325186 \h  \* MERGEFORMAT </w:instrText>
      </w:r>
      <w:r>
        <w:rPr>
          <w:rFonts w:cs="Times New Roman"/>
          <w:noProof/>
        </w:rPr>
      </w:r>
      <w:r>
        <w:rPr>
          <w:rFonts w:cs="Times New Roman"/>
          <w:noProof/>
        </w:rPr>
        <w:fldChar w:fldCharType="separate"/>
      </w:r>
      <w:r>
        <w:rPr>
          <w:rFonts w:cs="Times New Roman"/>
          <w:noProof/>
          <w:lang w:val="en-GB"/>
        </w:rPr>
        <w:t>Figure 31</w:t>
      </w:r>
      <w:r>
        <w:rPr>
          <w:rFonts w:cs="Times New Roman"/>
          <w:noProof/>
        </w:rPr>
        <w:fldChar w:fldCharType="end"/>
      </w:r>
      <w:r>
        <w:rPr>
          <w:rFonts w:cs="Times New Roman"/>
          <w:noProof/>
          <w:lang w:val="en-GB"/>
        </w:rPr>
        <w:t>), the consulted stakeholders were asked to assess their knowledge of digital public services and interoperability as well as their knowledge of ISA</w:t>
      </w:r>
      <w:r>
        <w:rPr>
          <w:rFonts w:cs="Times New Roman"/>
          <w:noProof/>
          <w:vertAlign w:val="superscript"/>
          <w:lang w:val="en-GB"/>
        </w:rPr>
        <w:t>2</w:t>
      </w:r>
      <w:r>
        <w:rPr>
          <w:rFonts w:cs="Times New Roman"/>
          <w:noProof/>
          <w:lang w:val="en-GB"/>
        </w:rPr>
        <w:t xml:space="preserve">. On average, the results show that </w:t>
      </w:r>
      <w:r>
        <w:rPr>
          <w:rFonts w:cs="Times New Roman"/>
          <w:b/>
          <w:bCs/>
          <w:noProof/>
          <w:lang w:val="en-GB"/>
        </w:rPr>
        <w:t>most respondents have expert knowledge of interoperability and of ISA</w:t>
      </w:r>
      <w:r>
        <w:rPr>
          <w:rFonts w:cs="Times New Roman"/>
          <w:b/>
          <w:bCs/>
          <w:noProof/>
          <w:vertAlign w:val="superscript"/>
          <w:lang w:val="en-GB"/>
        </w:rPr>
        <w:t>2</w:t>
      </w:r>
      <w:r>
        <w:rPr>
          <w:rFonts w:cs="Times New Roman"/>
          <w:noProof/>
          <w:lang w:val="en-GB"/>
        </w:rPr>
        <w:t>. 71 % of respondents (91 out of 128) are familiar with digital public services and interoperability to a high extent or to the fullest extent, in comparison to 11 % (14 out of 128) who either are not familiar with the field or are familiar with it only to a limited extent. In addition, 63 % (81 out of 128) of respondents are familiar with the ISA</w:t>
      </w:r>
      <w:r>
        <w:rPr>
          <w:rFonts w:cs="Times New Roman"/>
          <w:noProof/>
          <w:vertAlign w:val="superscript"/>
          <w:lang w:val="en-GB"/>
        </w:rPr>
        <w:t>2</w:t>
      </w:r>
      <w:r>
        <w:rPr>
          <w:rFonts w:cs="Times New Roman"/>
          <w:noProof/>
          <w:lang w:val="en-GB"/>
        </w:rPr>
        <w:t xml:space="preserve"> programme to a high extent or to the fullest extent, compared to 20 % (25 out of 128) who report only a low degree of familiarity or no familiarity with the programme.</w:t>
      </w:r>
    </w:p>
    <w:p>
      <w:pPr>
        <w:jc w:val="both"/>
        <w:rPr>
          <w:rFonts w:cs="Times New Roman"/>
          <w:noProof/>
          <w:lang w:val="en-GB"/>
        </w:rPr>
      </w:pPr>
      <w:r>
        <w:rPr>
          <w:rFonts w:cs="Times New Roman"/>
          <w:iCs/>
          <w:noProof/>
          <w:lang w:val="en-GB"/>
        </w:rPr>
        <w:t>One factor that explains</w:t>
      </w:r>
      <w:r>
        <w:rPr>
          <w:rFonts w:cs="Times New Roman"/>
          <w:noProof/>
          <w:lang w:val="en-GB"/>
        </w:rPr>
        <w:t xml:space="preserve"> these positive awareness results is the ISA</w:t>
      </w:r>
      <w:r>
        <w:rPr>
          <w:rFonts w:cs="Times New Roman"/>
          <w:noProof/>
          <w:vertAlign w:val="superscript"/>
          <w:lang w:val="en-GB"/>
        </w:rPr>
        <w:t>2</w:t>
      </w:r>
      <w:r>
        <w:rPr>
          <w:rFonts w:cs="Times New Roman"/>
          <w:noProof/>
          <w:lang w:val="en-GB"/>
        </w:rPr>
        <w:t xml:space="preserve"> programme’s strong commitment to ‘enhance information and increase awareness with regard to the programme and its benefits’, as stated in Article 3 of the ISA</w:t>
      </w:r>
      <w:r>
        <w:rPr>
          <w:rFonts w:cs="Times New Roman"/>
          <w:noProof/>
          <w:vertAlign w:val="superscript"/>
          <w:lang w:val="en-GB"/>
        </w:rPr>
        <w:t>2</w:t>
      </w:r>
      <w:r>
        <w:rPr>
          <w:rFonts w:cs="Times New Roman"/>
          <w:noProof/>
          <w:lang w:val="en-GB"/>
        </w:rPr>
        <w:t xml:space="preserve"> Decision. In fact, </w:t>
      </w:r>
      <w:r>
        <w:rPr>
          <w:rFonts w:cs="Times New Roman"/>
          <w:iCs/>
          <w:noProof/>
          <w:lang w:val="en-GB"/>
        </w:rPr>
        <w:t>raising public administrations’ awareness of interoperability was one of the three recommendations stemming from the final evaluation of the ISA programme</w:t>
      </w:r>
      <w:r>
        <w:rPr>
          <w:rStyle w:val="FootnoteReference"/>
          <w:noProof/>
        </w:rPr>
        <w:footnoteReference w:id="42"/>
      </w:r>
      <w:r>
        <w:rPr>
          <w:rFonts w:cs="Times New Roman"/>
          <w:iCs/>
          <w:noProof/>
          <w:lang w:val="en-GB"/>
        </w:rPr>
        <w:t>. The ISA</w:t>
      </w:r>
      <w:r>
        <w:rPr>
          <w:rFonts w:cs="Times New Roman"/>
          <w:iCs/>
          <w:noProof/>
          <w:vertAlign w:val="superscript"/>
          <w:lang w:val="en-GB"/>
        </w:rPr>
        <w:t>2</w:t>
      </w:r>
      <w:r>
        <w:rPr>
          <w:rFonts w:cs="Times New Roman"/>
          <w:iCs/>
          <w:noProof/>
          <w:lang w:val="en-GB"/>
        </w:rPr>
        <w:t xml:space="preserve"> programme addressed this by adopting its communication strategy and engagement plan in 2017</w:t>
      </w:r>
      <w:r>
        <w:rPr>
          <w:rStyle w:val="FootnoteReference"/>
          <w:noProof/>
        </w:rPr>
        <w:footnoteReference w:id="43"/>
      </w:r>
      <w:r>
        <w:rPr>
          <w:rFonts w:cs="Times New Roman"/>
          <w:iCs/>
          <w:noProof/>
          <w:lang w:val="en-GB"/>
        </w:rPr>
        <w:t xml:space="preserve"> and by</w:t>
      </w:r>
      <w:r>
        <w:rPr>
          <w:rFonts w:cs="Times New Roman"/>
          <w:noProof/>
          <w:lang w:val="en-GB"/>
        </w:rPr>
        <w:t xml:space="preserve"> increasing its presence at conferences and other events, as shown in </w:t>
      </w:r>
      <w:r>
        <w:rPr>
          <w:rFonts w:cs="Times New Roman"/>
          <w:noProof/>
        </w:rPr>
        <w:fldChar w:fldCharType="begin"/>
      </w:r>
      <w:r>
        <w:rPr>
          <w:rFonts w:cs="Times New Roman"/>
          <w:noProof/>
          <w:lang w:val="en-GB"/>
        </w:rPr>
        <w:instrText xml:space="preserve"> REF _Ref9594886 \h  \* MERGEFORMAT </w:instrText>
      </w:r>
      <w:r>
        <w:rPr>
          <w:rFonts w:cs="Times New Roman"/>
          <w:noProof/>
        </w:rPr>
      </w:r>
      <w:r>
        <w:rPr>
          <w:rFonts w:cs="Times New Roman"/>
          <w:noProof/>
        </w:rPr>
        <w:fldChar w:fldCharType="separate"/>
      </w:r>
      <w:r>
        <w:rPr>
          <w:rFonts w:cs="Times New Roman"/>
          <w:noProof/>
          <w:lang w:val="en-GB"/>
        </w:rPr>
        <w:t>Box 3</w:t>
      </w:r>
      <w:r>
        <w:rPr>
          <w:rFonts w:cs="Times New Roman"/>
          <w:noProof/>
        </w:rPr>
        <w:fldChar w:fldCharType="end"/>
      </w:r>
      <w:r>
        <w:rPr>
          <w:rFonts w:cs="Times New Roman"/>
          <w:noProof/>
          <w:lang w:val="en-GB"/>
        </w:rPr>
        <w:t>.</w:t>
      </w:r>
    </w:p>
    <w:p>
      <w:pPr>
        <w:jc w:val="both"/>
        <w:rPr>
          <w:rFonts w:cs="Times New Roman"/>
          <w:noProof/>
          <w:lang w:val="en-GB"/>
        </w:rPr>
      </w:pPr>
      <w:r>
        <w:rPr>
          <w:rFonts w:cs="Times New Roman"/>
          <w:noProof/>
          <w:lang w:val="en-GB"/>
        </w:rPr>
        <w:t xml:space="preserve">The relatively low participation in the interim evaluation’s consultation activities and the need to better liaise with regional and local administrations, identified under the </w:t>
      </w:r>
      <w:r>
        <w:rPr>
          <w:rFonts w:cs="Times New Roman"/>
          <w:noProof/>
        </w:rPr>
        <w:fldChar w:fldCharType="begin"/>
      </w:r>
      <w:r>
        <w:rPr>
          <w:rFonts w:cs="Times New Roman"/>
          <w:noProof/>
          <w:lang w:val="en-GB"/>
        </w:rPr>
        <w:instrText xml:space="preserve"> REF _Ref9608063 \h  \* MERGEFORMAT </w:instrText>
      </w:r>
      <w:r>
        <w:rPr>
          <w:rFonts w:cs="Times New Roman"/>
          <w:noProof/>
        </w:rPr>
      </w:r>
      <w:r>
        <w:rPr>
          <w:rFonts w:cs="Times New Roman"/>
          <w:noProof/>
        </w:rPr>
        <w:fldChar w:fldCharType="separate"/>
      </w:r>
      <w:r>
        <w:rPr>
          <w:rFonts w:cs="Times New Roman"/>
          <w:noProof/>
          <w:lang w:val="en-GB"/>
        </w:rPr>
        <w:t>Relevance</w:t>
      </w:r>
      <w:r>
        <w:rPr>
          <w:rFonts w:cs="Times New Roman"/>
          <w:noProof/>
        </w:rPr>
        <w:fldChar w:fldCharType="end"/>
      </w:r>
      <w:r>
        <w:rPr>
          <w:rFonts w:cs="Times New Roman"/>
          <w:noProof/>
          <w:lang w:val="en-GB"/>
        </w:rPr>
        <w:t xml:space="preserve"> criterion (see section 5.1), call for continued and even improved awareness raising efforts.</w:t>
      </w:r>
    </w:p>
    <w:p>
      <w:pPr>
        <w:pStyle w:val="Heading4"/>
        <w:rPr>
          <w:noProof/>
        </w:rPr>
      </w:pPr>
      <w:r>
        <w:rPr>
          <w:noProof/>
        </w:rPr>
        <w:t>JC4: Performance indicators</w:t>
      </w:r>
    </w:p>
    <w:p>
      <w:pPr>
        <w:jc w:val="both"/>
        <w:rPr>
          <w:rFonts w:cs="Times New Roman"/>
          <w:noProof/>
          <w:lang w:val="en-GB"/>
        </w:rPr>
      </w:pPr>
      <w:r>
        <w:rPr>
          <w:rFonts w:cs="Times New Roman"/>
          <w:noProof/>
          <w:lang w:val="en-GB"/>
        </w:rPr>
        <w:t>In line with the Evaluation Framework, the desk research collected data on several performance indicators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_Ref9587649 \h  \* MERGEFORMAT </w:instrText>
      </w:r>
      <w:r>
        <w:rPr>
          <w:rFonts w:cs="Times New Roman"/>
          <w:noProof/>
        </w:rPr>
      </w:r>
      <w:r>
        <w:rPr>
          <w:rFonts w:cs="Times New Roman"/>
          <w:noProof/>
        </w:rPr>
        <w:fldChar w:fldCharType="separate"/>
      </w:r>
      <w:r>
        <w:rPr>
          <w:rFonts w:cs="Times New Roman"/>
          <w:noProof/>
          <w:lang w:val="en-GB"/>
        </w:rPr>
        <w:t>Table 12</w:t>
      </w:r>
      <w:r>
        <w:rPr>
          <w:rFonts w:cs="Times New Roman"/>
          <w:noProof/>
        </w:rPr>
        <w:fldChar w:fldCharType="end"/>
      </w:r>
      <w:r>
        <w:rPr>
          <w:rFonts w:cs="Times New Roman"/>
          <w:noProof/>
          <w:lang w:val="en-GB"/>
        </w:rPr>
        <w:t>) in order to assess the extent to which the programme’s operational objectives had been achieved and to complement the data gathered via consultation activities.</w:t>
      </w:r>
    </w:p>
    <w:p>
      <w:pPr>
        <w:jc w:val="both"/>
        <w:rPr>
          <w:rFonts w:cs="Times New Roman"/>
          <w:noProof/>
          <w:lang w:val="en-GB"/>
        </w:rPr>
      </w:pPr>
      <w:r>
        <w:rPr>
          <w:rFonts w:cs="Times New Roman"/>
          <w:noProof/>
          <w:lang w:val="en-GB"/>
        </w:rPr>
        <w:t xml:space="preserve">When talking about performance indicators, it is important to distinguish between </w:t>
      </w:r>
      <w:r>
        <w:rPr>
          <w:rFonts w:cs="Times New Roman"/>
          <w:b/>
          <w:bCs/>
          <w:noProof/>
          <w:lang w:val="en-GB"/>
        </w:rPr>
        <w:t>different categories of ISA</w:t>
      </w:r>
      <w:r>
        <w:rPr>
          <w:rFonts w:cs="Times New Roman"/>
          <w:b/>
          <w:bCs/>
          <w:noProof/>
          <w:vertAlign w:val="superscript"/>
          <w:lang w:val="en-GB"/>
        </w:rPr>
        <w:t>2</w:t>
      </w:r>
      <w:r>
        <w:rPr>
          <w:rFonts w:cs="Times New Roman"/>
          <w:b/>
          <w:bCs/>
          <w:noProof/>
          <w:lang w:val="en-GB"/>
        </w:rPr>
        <w:t xml:space="preserve"> actions</w:t>
      </w:r>
      <w:r>
        <w:rPr>
          <w:rFonts w:cs="Times New Roman"/>
          <w:noProof/>
          <w:lang w:val="en-GB"/>
        </w:rPr>
        <w:t>:</w:t>
      </w:r>
    </w:p>
    <w:p>
      <w:pPr>
        <w:pStyle w:val="Firstlevellist"/>
        <w:rPr>
          <w:noProof/>
        </w:rPr>
      </w:pPr>
      <w:r>
        <w:rPr>
          <w:noProof/>
        </w:rPr>
        <w:t>actions continued from ISA and actions started during ISA</w:t>
      </w:r>
      <w:r>
        <w:rPr>
          <w:noProof/>
          <w:vertAlign w:val="superscript"/>
        </w:rPr>
        <w:t>2</w:t>
      </w:r>
      <w:r>
        <w:rPr>
          <w:noProof/>
        </w:rPr>
        <w:t>; and</w:t>
      </w:r>
    </w:p>
    <w:p>
      <w:pPr>
        <w:pStyle w:val="FirstlevellistLAST"/>
        <w:rPr>
          <w:noProof/>
        </w:rPr>
      </w:pPr>
      <w:r>
        <w:rPr>
          <w:noProof/>
        </w:rPr>
        <w:t>actions already completed at the time of the interim evaluation and actions still ongoing.</w:t>
      </w:r>
    </w:p>
    <w:p>
      <w:pPr>
        <w:jc w:val="both"/>
        <w:rPr>
          <w:rFonts w:cs="Times New Roman"/>
          <w:noProof/>
          <w:lang w:val="en-GB"/>
        </w:rPr>
      </w:pPr>
      <w:r>
        <w:rPr>
          <w:rFonts w:cs="Times New Roman"/>
          <w:noProof/>
          <w:lang w:val="en-GB"/>
        </w:rPr>
        <w:t>The different stages of an action imply different levels of achievement of objectives and expected results, as some solutions are operational while others are in the early proof-of-concept stage. This should be kept in mind when looking at the performance indicators’ results (</w:t>
      </w:r>
      <w:r>
        <w:rPr>
          <w:rFonts w:cs="Times New Roman"/>
          <w:noProof/>
        </w:rPr>
        <w:fldChar w:fldCharType="begin"/>
      </w:r>
      <w:r>
        <w:rPr>
          <w:rFonts w:cs="Times New Roman"/>
          <w:noProof/>
          <w:lang w:val="en-GB"/>
        </w:rPr>
        <w:instrText xml:space="preserve"> REF _Ref9596697 \h  \* MERGEFORMAT </w:instrText>
      </w:r>
      <w:r>
        <w:rPr>
          <w:rFonts w:cs="Times New Roman"/>
          <w:noProof/>
        </w:rPr>
      </w:r>
      <w:r>
        <w:rPr>
          <w:rFonts w:cs="Times New Roman"/>
          <w:noProof/>
        </w:rPr>
        <w:fldChar w:fldCharType="separate"/>
      </w:r>
      <w:r>
        <w:rPr>
          <w:rFonts w:cs="Times New Roman"/>
          <w:noProof/>
          <w:lang w:val="en-GB"/>
        </w:rPr>
        <w:t>Box 4</w:t>
      </w:r>
      <w:r>
        <w:rPr>
          <w:rFonts w:cs="Times New Roman"/>
          <w:noProof/>
        </w:rPr>
        <w:fldChar w:fldCharType="end"/>
      </w:r>
      <w:r>
        <w:rPr>
          <w:rFonts w:cs="Times New Roman"/>
          <w:noProof/>
          <w:lang w:val="en-GB"/>
        </w:rPr>
        <w:t xml:space="preserve">). </w:t>
      </w:r>
    </w:p>
    <w:p>
      <w:pPr>
        <w:jc w:val="both"/>
        <w:rPr>
          <w:rFonts w:cs="Times New Roman"/>
          <w:noProof/>
          <w:lang w:val="en-GB"/>
        </w:rPr>
      </w:pPr>
      <w:r>
        <w:rPr>
          <w:rFonts w:cs="Times New Roman"/>
          <w:noProof/>
          <w:lang w:val="en-GB"/>
        </w:rPr>
        <w:t xml:space="preserve">Data show that </w:t>
      </w:r>
      <w:r>
        <w:rPr>
          <w:rFonts w:cs="Times New Roman"/>
          <w:b/>
          <w:noProof/>
          <w:lang w:val="en-GB"/>
        </w:rPr>
        <w:t>the</w:t>
      </w:r>
      <w:r>
        <w:rPr>
          <w:rFonts w:cs="Times New Roman"/>
          <w:noProof/>
          <w:lang w:val="en-GB"/>
        </w:rPr>
        <w:t xml:space="preserve"> </w:t>
      </w:r>
      <w:r>
        <w:rPr>
          <w:rFonts w:cs="Times New Roman"/>
          <w:b/>
          <w:bCs/>
          <w:noProof/>
          <w:lang w:val="en-GB"/>
        </w:rPr>
        <w:t>20 sampled actions</w:t>
      </w:r>
      <w:r>
        <w:rPr>
          <w:rFonts w:cs="Times New Roman"/>
          <w:b/>
          <w:noProof/>
          <w:lang w:val="en-GB"/>
        </w:rPr>
        <w:t xml:space="preserve"> have developed </w:t>
      </w:r>
      <w:r>
        <w:rPr>
          <w:rFonts w:cs="Times New Roman"/>
          <w:b/>
          <w:bCs/>
          <w:noProof/>
          <w:lang w:val="en-GB"/>
        </w:rPr>
        <w:t>35 solutions so far</w:t>
      </w:r>
      <w:r>
        <w:rPr>
          <w:rFonts w:cs="Times New Roman"/>
          <w:noProof/>
          <w:lang w:val="en-GB"/>
        </w:rPr>
        <w:t xml:space="preserve">, out of which </w:t>
      </w:r>
      <w:r>
        <w:rPr>
          <w:rFonts w:cs="Times New Roman"/>
          <w:b/>
          <w:bCs/>
          <w:noProof/>
          <w:lang w:val="en-GB"/>
        </w:rPr>
        <w:t>10 emerged under ISA</w:t>
      </w:r>
      <w:r>
        <w:rPr>
          <w:rFonts w:cs="Times New Roman"/>
          <w:b/>
          <w:bCs/>
          <w:noProof/>
          <w:vertAlign w:val="superscript"/>
          <w:lang w:val="en-GB"/>
        </w:rPr>
        <w:t>2</w:t>
      </w:r>
      <w:r>
        <w:rPr>
          <w:rFonts w:cs="Times New Roman"/>
          <w:noProof/>
          <w:lang w:val="en-GB"/>
        </w:rPr>
        <w:t xml:space="preserve">. As shown in </w:t>
      </w:r>
      <w:r>
        <w:rPr>
          <w:rFonts w:cs="Times New Roman"/>
          <w:noProof/>
        </w:rPr>
        <w:fldChar w:fldCharType="begin"/>
      </w:r>
      <w:r>
        <w:rPr>
          <w:rFonts w:cs="Times New Roman"/>
          <w:noProof/>
          <w:lang w:val="en-GB"/>
        </w:rPr>
        <w:instrText xml:space="preserve"> REF _Ref9594678 \h  \* MERGEFORMAT </w:instrText>
      </w:r>
      <w:r>
        <w:rPr>
          <w:rFonts w:cs="Times New Roman"/>
          <w:noProof/>
        </w:rPr>
      </w:r>
      <w:r>
        <w:rPr>
          <w:rFonts w:cs="Times New Roman"/>
          <w:noProof/>
        </w:rPr>
        <w:fldChar w:fldCharType="separate"/>
      </w:r>
      <w:r>
        <w:rPr>
          <w:rFonts w:cs="Times New Roman"/>
          <w:noProof/>
          <w:lang w:val="en-GB"/>
        </w:rPr>
        <w:t>Table 2</w:t>
      </w:r>
      <w:r>
        <w:rPr>
          <w:rFonts w:cs="Times New Roman"/>
          <w:noProof/>
        </w:rPr>
        <w:fldChar w:fldCharType="end"/>
      </w:r>
      <w:r>
        <w:rPr>
          <w:rFonts w:cs="Times New Roman"/>
          <w:noProof/>
          <w:lang w:val="en-GB"/>
        </w:rPr>
        <w:t>, the solutions fall into one of the following four categories: common tools/services, common frameworks, common specifications/standards, and studies.</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2</w:t>
      </w:r>
      <w:r>
        <w:rPr>
          <w:rFonts w:cs="Times New Roman"/>
          <w:noProof/>
        </w:rPr>
        <w:fldChar w:fldCharType="end"/>
      </w:r>
      <w:r>
        <w:rPr>
          <w:rFonts w:cs="Times New Roman"/>
          <w:noProof/>
        </w:rPr>
        <w:t>: Overview of solutions developed under the sampled actions, by type</w:t>
      </w:r>
    </w:p>
    <w:tbl>
      <w:tblPr>
        <w:tblStyle w:val="GridTable4-Accent11"/>
        <w:tblW w:w="4955" w:type="pct"/>
        <w:tblLook w:val="04A0" w:firstRow="1" w:lastRow="0" w:firstColumn="1" w:lastColumn="0" w:noHBand="0" w:noVBand="1"/>
      </w:tblPr>
      <w:tblGrid>
        <w:gridCol w:w="3498"/>
        <w:gridCol w:w="2864"/>
        <w:gridCol w:w="2392"/>
      </w:tblGrid>
      <w:tr>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pct"/>
            <w:vAlign w:val="center"/>
          </w:tcPr>
          <w:p>
            <w:pPr>
              <w:spacing w:before="20" w:after="20"/>
              <w:jc w:val="center"/>
              <w:rPr>
                <w:rFonts w:eastAsiaTheme="minorHAnsi"/>
                <w:noProof/>
                <w:sz w:val="22"/>
              </w:rPr>
            </w:pPr>
            <w:r>
              <w:rPr>
                <w:rFonts w:eastAsiaTheme="minorHAnsi"/>
                <w:noProof/>
                <w:sz w:val="22"/>
              </w:rPr>
              <w:t>Type of solution</w:t>
            </w:r>
          </w:p>
        </w:tc>
        <w:tc>
          <w:tcPr>
            <w:tcW w:w="1636" w:type="pct"/>
            <w:noWrap/>
            <w:vAlign w:val="center"/>
          </w:tcPr>
          <w:p>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Total number of solutions</w:t>
            </w:r>
          </w:p>
        </w:tc>
        <w:tc>
          <w:tcPr>
            <w:tcW w:w="1366" w:type="pct"/>
            <w:vAlign w:val="center"/>
          </w:tcPr>
          <w:p>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New solutions developed by ISA</w:t>
            </w:r>
            <w:r>
              <w:rPr>
                <w:rFonts w:eastAsiaTheme="minorHAnsi"/>
                <w:noProof/>
                <w:sz w:val="22"/>
                <w:vertAlign w:val="superscript"/>
              </w:rPr>
              <w:t>2</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pct"/>
          </w:tcPr>
          <w:p>
            <w:pPr>
              <w:spacing w:before="20" w:after="20"/>
              <w:jc w:val="both"/>
              <w:rPr>
                <w:rFonts w:eastAsiaTheme="minorHAnsi"/>
                <w:noProof/>
                <w:sz w:val="22"/>
              </w:rPr>
            </w:pPr>
            <w:r>
              <w:rPr>
                <w:rFonts w:eastAsiaTheme="minorHAnsi"/>
                <w:noProof/>
                <w:sz w:val="22"/>
              </w:rPr>
              <w:t>Common tools/services</w:t>
            </w:r>
          </w:p>
        </w:tc>
        <w:tc>
          <w:tcPr>
            <w:tcW w:w="1636" w:type="pct"/>
            <w:noWrap/>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b/>
                <w:noProof/>
                <w:sz w:val="22"/>
              </w:rPr>
            </w:pPr>
            <w:r>
              <w:rPr>
                <w:rFonts w:eastAsiaTheme="minorHAnsi"/>
                <w:b/>
                <w:noProof/>
                <w:sz w:val="22"/>
              </w:rPr>
              <w:t>20</w:t>
            </w:r>
          </w:p>
        </w:tc>
        <w:tc>
          <w:tcPr>
            <w:tcW w:w="1366" w:type="pct"/>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b/>
                <w:noProof/>
                <w:sz w:val="22"/>
              </w:rPr>
            </w:pPr>
            <w:r>
              <w:rPr>
                <w:rFonts w:eastAsiaTheme="minorHAnsi"/>
                <w:b/>
                <w:noProof/>
                <w:sz w:val="22"/>
              </w:rPr>
              <w:t>4</w:t>
            </w:r>
          </w:p>
        </w:tc>
      </w:tr>
      <w:tr>
        <w:trPr>
          <w:trHeight w:val="20"/>
        </w:trPr>
        <w:tc>
          <w:tcPr>
            <w:cnfStyle w:val="001000000000" w:firstRow="0" w:lastRow="0" w:firstColumn="1" w:lastColumn="0" w:oddVBand="0" w:evenVBand="0" w:oddHBand="0" w:evenHBand="0" w:firstRowFirstColumn="0" w:firstRowLastColumn="0" w:lastRowFirstColumn="0" w:lastRowLastColumn="0"/>
            <w:tcW w:w="1998" w:type="pct"/>
            <w:hideMark/>
          </w:tcPr>
          <w:p>
            <w:pPr>
              <w:spacing w:before="20" w:after="20"/>
              <w:jc w:val="both"/>
              <w:rPr>
                <w:rFonts w:eastAsiaTheme="minorHAnsi"/>
                <w:noProof/>
                <w:sz w:val="22"/>
              </w:rPr>
            </w:pPr>
            <w:r>
              <w:rPr>
                <w:rFonts w:eastAsiaTheme="minorHAnsi"/>
                <w:noProof/>
                <w:sz w:val="22"/>
              </w:rPr>
              <w:t>Common frameworks</w:t>
            </w:r>
          </w:p>
        </w:tc>
        <w:tc>
          <w:tcPr>
            <w:tcW w:w="1636"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b/>
                <w:noProof/>
                <w:sz w:val="22"/>
              </w:rPr>
            </w:pPr>
            <w:r>
              <w:rPr>
                <w:rFonts w:eastAsiaTheme="minorHAnsi"/>
                <w:b/>
                <w:noProof/>
                <w:sz w:val="22"/>
              </w:rPr>
              <w:t>9</w:t>
            </w:r>
          </w:p>
        </w:tc>
        <w:tc>
          <w:tcPr>
            <w:tcW w:w="1366" w:type="pct"/>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b/>
                <w:noProof/>
                <w:sz w:val="22"/>
              </w:rPr>
            </w:pPr>
            <w:r>
              <w:rPr>
                <w:rFonts w:eastAsiaTheme="minorHAnsi"/>
                <w:b/>
                <w:noProof/>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pct"/>
            <w:hideMark/>
          </w:tcPr>
          <w:p>
            <w:pPr>
              <w:spacing w:before="20" w:after="20"/>
              <w:jc w:val="both"/>
              <w:rPr>
                <w:rFonts w:eastAsiaTheme="minorHAnsi"/>
                <w:noProof/>
                <w:sz w:val="22"/>
              </w:rPr>
            </w:pPr>
            <w:r>
              <w:rPr>
                <w:rFonts w:eastAsiaTheme="minorHAnsi"/>
                <w:noProof/>
                <w:sz w:val="22"/>
              </w:rPr>
              <w:t>Common specifications/standards</w:t>
            </w:r>
          </w:p>
        </w:tc>
        <w:tc>
          <w:tcPr>
            <w:tcW w:w="1636"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b/>
                <w:noProof/>
                <w:sz w:val="22"/>
              </w:rPr>
            </w:pPr>
            <w:r>
              <w:rPr>
                <w:rFonts w:eastAsiaTheme="minorHAnsi"/>
                <w:b/>
                <w:noProof/>
                <w:sz w:val="22"/>
              </w:rPr>
              <w:t>3</w:t>
            </w:r>
          </w:p>
        </w:tc>
        <w:tc>
          <w:tcPr>
            <w:tcW w:w="1366" w:type="pct"/>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b/>
                <w:noProof/>
                <w:sz w:val="22"/>
              </w:rPr>
            </w:pPr>
            <w:r>
              <w:rPr>
                <w:rFonts w:eastAsiaTheme="minorHAnsi"/>
                <w:b/>
                <w:noProof/>
                <w:sz w:val="22"/>
              </w:rPr>
              <w:t>1</w:t>
            </w:r>
          </w:p>
        </w:tc>
      </w:tr>
      <w:tr>
        <w:trPr>
          <w:trHeight w:val="20"/>
        </w:trPr>
        <w:tc>
          <w:tcPr>
            <w:cnfStyle w:val="001000000000" w:firstRow="0" w:lastRow="0" w:firstColumn="1" w:lastColumn="0" w:oddVBand="0" w:evenVBand="0" w:oddHBand="0" w:evenHBand="0" w:firstRowFirstColumn="0" w:firstRowLastColumn="0" w:lastRowFirstColumn="0" w:lastRowLastColumn="0"/>
            <w:tcW w:w="1998" w:type="pct"/>
            <w:hideMark/>
          </w:tcPr>
          <w:p>
            <w:pPr>
              <w:spacing w:before="20" w:after="20"/>
              <w:jc w:val="both"/>
              <w:rPr>
                <w:rFonts w:eastAsiaTheme="minorHAnsi"/>
                <w:noProof/>
                <w:sz w:val="22"/>
              </w:rPr>
            </w:pPr>
            <w:r>
              <w:rPr>
                <w:rFonts w:eastAsiaTheme="minorHAnsi"/>
                <w:noProof/>
                <w:sz w:val="22"/>
              </w:rPr>
              <w:t>Studies</w:t>
            </w:r>
          </w:p>
        </w:tc>
        <w:tc>
          <w:tcPr>
            <w:tcW w:w="1636"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b/>
                <w:noProof/>
                <w:sz w:val="22"/>
              </w:rPr>
            </w:pPr>
            <w:r>
              <w:rPr>
                <w:rFonts w:eastAsiaTheme="minorHAnsi"/>
                <w:b/>
                <w:noProof/>
                <w:sz w:val="22"/>
              </w:rPr>
              <w:t>3</w:t>
            </w:r>
          </w:p>
        </w:tc>
        <w:tc>
          <w:tcPr>
            <w:tcW w:w="1366" w:type="pct"/>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b/>
                <w:noProof/>
                <w:sz w:val="22"/>
              </w:rPr>
            </w:pPr>
            <w:r>
              <w:rPr>
                <w:rFonts w:eastAsiaTheme="minorHAnsi"/>
                <w:b/>
                <w:noProof/>
                <w:sz w:val="22"/>
              </w:rPr>
              <w:t>3</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pct"/>
          </w:tcPr>
          <w:p>
            <w:pPr>
              <w:spacing w:before="20" w:after="20"/>
              <w:jc w:val="both"/>
              <w:rPr>
                <w:rFonts w:eastAsiaTheme="minorHAnsi"/>
                <w:noProof/>
                <w:sz w:val="22"/>
              </w:rPr>
            </w:pPr>
            <w:r>
              <w:rPr>
                <w:rFonts w:eastAsiaTheme="minorHAnsi"/>
                <w:noProof/>
                <w:sz w:val="22"/>
              </w:rPr>
              <w:t>TOTAL</w:t>
            </w:r>
          </w:p>
        </w:tc>
        <w:tc>
          <w:tcPr>
            <w:tcW w:w="1636" w:type="pct"/>
            <w:noWrap/>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b/>
                <w:noProof/>
                <w:sz w:val="22"/>
              </w:rPr>
            </w:pPr>
            <w:r>
              <w:rPr>
                <w:rFonts w:eastAsiaTheme="minorHAnsi"/>
                <w:b/>
                <w:noProof/>
                <w:sz w:val="22"/>
              </w:rPr>
              <w:t>35</w:t>
            </w:r>
          </w:p>
        </w:tc>
        <w:tc>
          <w:tcPr>
            <w:tcW w:w="1366" w:type="pct"/>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b/>
                <w:noProof/>
                <w:sz w:val="22"/>
              </w:rPr>
            </w:pPr>
            <w:r>
              <w:rPr>
                <w:rFonts w:eastAsiaTheme="minorHAnsi"/>
                <w:b/>
                <w:noProof/>
                <w:sz w:val="22"/>
              </w:rPr>
              <w:t>10</w:t>
            </w:r>
          </w:p>
        </w:tc>
      </w:tr>
    </w:tbl>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79"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Aside from these four solution types associated with ISA</w:t>
      </w:r>
      <w:r>
        <w:rPr>
          <w:rFonts w:cs="Times New Roman"/>
          <w:noProof/>
          <w:vertAlign w:val="superscript"/>
          <w:lang w:val="en-GB"/>
        </w:rPr>
        <w:t>2</w:t>
      </w:r>
      <w:r>
        <w:rPr>
          <w:rFonts w:cs="Times New Roman"/>
          <w:noProof/>
          <w:lang w:val="en-GB"/>
        </w:rPr>
        <w:t xml:space="preserve"> actions, there is also a particular case represented by the ‘Raising Interoperability Awareness — Communication Activities’ action, which is part of the ‘Accompanying measures’ package. There are no solutions associated with this action, and its outputs are of a specific nature, namely events organised or events to which ISA</w:t>
      </w:r>
      <w:r>
        <w:rPr>
          <w:rFonts w:cs="Times New Roman"/>
          <w:noProof/>
          <w:vertAlign w:val="superscript"/>
          <w:lang w:val="en-GB"/>
        </w:rPr>
        <w:t>2</w:t>
      </w:r>
      <w:r>
        <w:rPr>
          <w:rFonts w:cs="Times New Roman"/>
          <w:noProof/>
          <w:lang w:val="en-GB"/>
        </w:rPr>
        <w:t xml:space="preserve"> representatives actively contributed. </w:t>
      </w:r>
      <w:r>
        <w:rPr>
          <w:rFonts w:cs="Times New Roman"/>
          <w:noProof/>
        </w:rPr>
        <w:fldChar w:fldCharType="begin"/>
      </w:r>
      <w:r>
        <w:rPr>
          <w:rFonts w:cs="Times New Roman"/>
          <w:noProof/>
          <w:lang w:val="en-GB"/>
        </w:rPr>
        <w:instrText xml:space="preserve"> REF _Ref9594886 \h  \* MERGEFORMAT </w:instrText>
      </w:r>
      <w:r>
        <w:rPr>
          <w:rFonts w:cs="Times New Roman"/>
          <w:noProof/>
        </w:rPr>
      </w:r>
      <w:r>
        <w:rPr>
          <w:rFonts w:cs="Times New Roman"/>
          <w:noProof/>
        </w:rPr>
        <w:fldChar w:fldCharType="separate"/>
      </w:r>
      <w:r>
        <w:rPr>
          <w:rFonts w:cs="Times New Roman"/>
          <w:noProof/>
          <w:lang w:val="en-GB"/>
        </w:rPr>
        <w:t>Box 3</w:t>
      </w:r>
      <w:r>
        <w:rPr>
          <w:rFonts w:cs="Times New Roman"/>
          <w:noProof/>
        </w:rPr>
        <w:fldChar w:fldCharType="end"/>
      </w:r>
      <w:r>
        <w:rPr>
          <w:rFonts w:cs="Times New Roman"/>
          <w:noProof/>
          <w:lang w:val="en-GB"/>
        </w:rPr>
        <w:t xml:space="preserve"> presents an overview of these communication activities.</w:t>
      </w: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3</w:t>
      </w:r>
      <w:r>
        <w:rPr>
          <w:rFonts w:cs="Times New Roman"/>
          <w:noProof/>
        </w:rPr>
        <w:fldChar w:fldCharType="end"/>
      </w:r>
      <w:r>
        <w:rPr>
          <w:rFonts w:cs="Times New Roman"/>
          <w:noProof/>
        </w:rPr>
        <w:t>: Communication activities</w:t>
      </w:r>
    </w:p>
    <w:tbl>
      <w:tblPr>
        <w:tblW w:w="0" w:type="auto"/>
        <w:tblLook w:val="04A0" w:firstRow="1" w:lastRow="0" w:firstColumn="1" w:lastColumn="0" w:noHBand="0" w:noVBand="1"/>
      </w:tblPr>
      <w:tblGrid>
        <w:gridCol w:w="8834"/>
      </w:tblGrid>
      <w:tr>
        <w:tc>
          <w:tcPr>
            <w:tcW w:w="9242" w:type="dxa"/>
            <w:shd w:val="clear" w:color="auto" w:fill="C6D9F1" w:themeFill="text2" w:themeFillTint="33"/>
          </w:tcPr>
          <w:p>
            <w:pPr>
              <w:spacing w:after="120"/>
              <w:jc w:val="both"/>
              <w:rPr>
                <w:rFonts w:cs="Times New Roman"/>
                <w:noProof/>
                <w:sz w:val="22"/>
                <w:lang w:val="en-GB"/>
              </w:rPr>
            </w:pPr>
            <w:r>
              <w:rPr>
                <w:rFonts w:cs="Times New Roman"/>
                <w:noProof/>
                <w:sz w:val="22"/>
                <w:lang w:val="en-GB"/>
              </w:rPr>
              <w:t xml:space="preserve">From 2016 to the end of 2018, </w:t>
            </w:r>
            <w:r>
              <w:rPr>
                <w:rFonts w:cs="Times New Roman"/>
                <w:b/>
                <w:noProof/>
                <w:sz w:val="22"/>
                <w:lang w:val="en-GB"/>
              </w:rPr>
              <w:t>ten major events</w:t>
            </w:r>
            <w:r>
              <w:rPr>
                <w:rFonts w:cs="Times New Roman"/>
                <w:noProof/>
                <w:sz w:val="22"/>
                <w:lang w:val="en-GB"/>
              </w:rPr>
              <w:t xml:space="preserve"> were organised as part of the ‘</w:t>
            </w:r>
            <w:r>
              <w:rPr>
                <w:rFonts w:cs="Times New Roman"/>
                <w:b/>
                <w:noProof/>
                <w:sz w:val="22"/>
                <w:lang w:val="en-GB"/>
              </w:rPr>
              <w:t>Raising Interoperability Awareness — Communication Activities</w:t>
            </w:r>
            <w:r>
              <w:rPr>
                <w:rFonts w:cs="Times New Roman"/>
                <w:noProof/>
                <w:sz w:val="22"/>
                <w:lang w:val="en-GB"/>
              </w:rPr>
              <w:t xml:space="preserve">’ action, with an average of </w:t>
            </w:r>
            <w:r>
              <w:rPr>
                <w:rFonts w:cs="Times New Roman"/>
                <w:b/>
                <w:noProof/>
                <w:sz w:val="22"/>
                <w:lang w:val="en-GB"/>
              </w:rPr>
              <w:t>211 participants per event</w:t>
            </w:r>
            <w:r>
              <w:rPr>
                <w:rFonts w:cs="Times New Roman"/>
                <w:noProof/>
                <w:sz w:val="22"/>
                <w:lang w:val="en-GB"/>
              </w:rPr>
              <w:t>. The events were organised in six different countries: Belgium, Bulgaria, Greece, Italy, Malta, and Portugal, thus ensuring that a wide pool of professionals was reached.</w:t>
            </w:r>
          </w:p>
          <w:p>
            <w:pPr>
              <w:spacing w:after="120"/>
              <w:jc w:val="both"/>
              <w:rPr>
                <w:rFonts w:cs="Times New Roman"/>
                <w:noProof/>
                <w:sz w:val="22"/>
                <w:lang w:val="en-GB"/>
              </w:rPr>
            </w:pPr>
            <w:r>
              <w:rPr>
                <w:rFonts w:cs="Times New Roman"/>
                <w:noProof/>
                <w:sz w:val="22"/>
                <w:lang w:val="en-GB"/>
              </w:rPr>
              <w:t>In addition, ISA</w:t>
            </w:r>
            <w:r>
              <w:rPr>
                <w:rFonts w:cs="Times New Roman"/>
                <w:noProof/>
                <w:sz w:val="22"/>
                <w:vertAlign w:val="superscript"/>
                <w:lang w:val="en-GB"/>
              </w:rPr>
              <w:t>2</w:t>
            </w:r>
            <w:r>
              <w:rPr>
                <w:rFonts w:cs="Times New Roman"/>
                <w:noProof/>
                <w:sz w:val="22"/>
                <w:lang w:val="en-GB"/>
              </w:rPr>
              <w:t xml:space="preserve"> representatives participated in 60 events organised in 18 Member States and one EU candidate country (Montenegro) between 2016 and 2018. The number of participants in these events ranged from 125 to 6 000, thus ensuring that information about the programme was disseminated to numerous stakeholders.</w:t>
            </w:r>
          </w:p>
          <w:p>
            <w:pPr>
              <w:spacing w:after="120"/>
              <w:jc w:val="both"/>
              <w:rPr>
                <w:rFonts w:cs="Times New Roman"/>
                <w:noProof/>
                <w:sz w:val="22"/>
                <w:lang w:val="en-GB"/>
              </w:rPr>
            </w:pPr>
            <w:r>
              <w:rPr>
                <w:rFonts w:cs="Times New Roman"/>
                <w:noProof/>
                <w:sz w:val="22"/>
              </w:rPr>
              <w:fldChar w:fldCharType="begin"/>
            </w:r>
            <w:r>
              <w:rPr>
                <w:rFonts w:cs="Times New Roman"/>
                <w:noProof/>
                <w:sz w:val="22"/>
                <w:lang w:val="en-GB"/>
              </w:rPr>
              <w:instrText xml:space="preserve"> REF _Ref9595195 \h  \* MERGEFORMAT </w:instrText>
            </w:r>
            <w:r>
              <w:rPr>
                <w:rFonts w:cs="Times New Roman"/>
                <w:noProof/>
                <w:sz w:val="22"/>
              </w:rPr>
            </w:r>
            <w:r>
              <w:rPr>
                <w:rFonts w:cs="Times New Roman"/>
                <w:noProof/>
                <w:sz w:val="22"/>
              </w:rPr>
              <w:fldChar w:fldCharType="separate"/>
            </w:r>
            <w:r>
              <w:rPr>
                <w:rFonts w:cs="Times New Roman"/>
                <w:noProof/>
                <w:sz w:val="22"/>
                <w:lang w:val="en-GB"/>
              </w:rPr>
              <w:t>Tables 13</w:t>
            </w:r>
            <w:r>
              <w:rPr>
                <w:rFonts w:cs="Times New Roman"/>
                <w:noProof/>
                <w:sz w:val="22"/>
              </w:rPr>
              <w:fldChar w:fldCharType="end"/>
            </w:r>
            <w:r>
              <w:rPr>
                <w:rFonts w:cs="Times New Roman"/>
                <w:noProof/>
                <w:sz w:val="22"/>
                <w:lang w:val="en-GB"/>
              </w:rPr>
              <w:t xml:space="preserve"> and </w:t>
            </w:r>
            <w:r>
              <w:rPr>
                <w:rFonts w:cs="Times New Roman"/>
                <w:noProof/>
                <w:sz w:val="22"/>
              </w:rPr>
              <w:fldChar w:fldCharType="begin"/>
            </w:r>
            <w:r>
              <w:rPr>
                <w:rFonts w:cs="Times New Roman"/>
                <w:noProof/>
                <w:sz w:val="22"/>
                <w:lang w:val="en-GB"/>
              </w:rPr>
              <w:instrText xml:space="preserve"> REF _Ref9595263 \h  \* MERGEFORMAT </w:instrText>
            </w:r>
            <w:r>
              <w:rPr>
                <w:rFonts w:cs="Times New Roman"/>
                <w:noProof/>
                <w:sz w:val="22"/>
              </w:rPr>
            </w:r>
            <w:r>
              <w:rPr>
                <w:rFonts w:cs="Times New Roman"/>
                <w:noProof/>
                <w:sz w:val="22"/>
              </w:rPr>
              <w:fldChar w:fldCharType="separate"/>
            </w:r>
            <w:r>
              <w:rPr>
                <w:rFonts w:cs="Times New Roman"/>
                <w:noProof/>
                <w:sz w:val="22"/>
                <w:lang w:val="en-GB"/>
              </w:rPr>
              <w:t>14</w:t>
            </w:r>
            <w:r>
              <w:rPr>
                <w:rFonts w:cs="Times New Roman"/>
                <w:noProof/>
                <w:sz w:val="22"/>
              </w:rPr>
              <w:fldChar w:fldCharType="end"/>
            </w:r>
            <w:r>
              <w:rPr>
                <w:rFonts w:cs="Times New Roman"/>
                <w:noProof/>
                <w:sz w:val="22"/>
                <w:lang w:val="en-GB"/>
              </w:rPr>
              <w:t xml:space="preserve"> in </w:t>
            </w:r>
            <w:r>
              <w:rPr>
                <w:rFonts w:cs="Times New Roman"/>
                <w:noProof/>
                <w:sz w:val="22"/>
              </w:rPr>
              <w:fldChar w:fldCharType="begin"/>
            </w:r>
            <w:r>
              <w:rPr>
                <w:rFonts w:cs="Times New Roman"/>
                <w:noProof/>
                <w:sz w:val="22"/>
                <w:lang w:val="en-GB"/>
              </w:rPr>
              <w:instrText xml:space="preserve"> REF _Ref9581764 \h  \* MERGEFORMAT </w:instrText>
            </w:r>
            <w:r>
              <w:rPr>
                <w:rFonts w:cs="Times New Roman"/>
                <w:noProof/>
                <w:sz w:val="22"/>
              </w:rPr>
            </w:r>
            <w:r>
              <w:rPr>
                <w:rFonts w:cs="Times New Roman"/>
                <w:noProof/>
                <w:sz w:val="22"/>
              </w:rPr>
              <w:fldChar w:fldCharType="separate"/>
            </w:r>
            <w:r>
              <w:rPr>
                <w:rFonts w:cs="Times New Roman"/>
                <w:noProof/>
                <w:sz w:val="22"/>
                <w:lang w:val="en-GB"/>
              </w:rPr>
              <w:t>Annex 6</w:t>
            </w:r>
            <w:r>
              <w:rPr>
                <w:rFonts w:cs="Times New Roman"/>
                <w:noProof/>
                <w:sz w:val="22"/>
              </w:rPr>
              <w:fldChar w:fldCharType="end"/>
            </w:r>
            <w:r>
              <w:rPr>
                <w:rFonts w:cs="Times New Roman"/>
                <w:noProof/>
                <w:sz w:val="22"/>
                <w:lang w:val="en-GB"/>
              </w:rPr>
              <w:t xml:space="preserve"> present an overview of these events. The ISA</w:t>
            </w:r>
            <w:r>
              <w:rPr>
                <w:rFonts w:cs="Times New Roman"/>
                <w:noProof/>
                <w:sz w:val="22"/>
                <w:vertAlign w:val="superscript"/>
                <w:lang w:val="en-GB"/>
              </w:rPr>
              <w:t>2</w:t>
            </w:r>
            <w:r>
              <w:rPr>
                <w:rFonts w:cs="Times New Roman"/>
                <w:noProof/>
                <w:sz w:val="22"/>
                <w:lang w:val="en-GB"/>
              </w:rPr>
              <w:t xml:space="preserve"> website also lists past and upcoming events</w:t>
            </w:r>
            <w:r>
              <w:rPr>
                <w:rStyle w:val="FootnoteReference"/>
                <w:noProof/>
              </w:rPr>
              <w:footnoteReference w:id="44"/>
            </w:r>
            <w:r>
              <w:rPr>
                <w:rFonts w:cs="Times New Roman"/>
                <w:noProof/>
                <w:sz w:val="22"/>
                <w:lang w:val="en-GB"/>
              </w:rPr>
              <w:t>.</w:t>
            </w:r>
          </w:p>
        </w:tc>
      </w:tr>
    </w:tbl>
    <w:p>
      <w:pPr>
        <w:jc w:val="both"/>
        <w:rPr>
          <w:rFonts w:cs="Times New Roman"/>
          <w:noProof/>
          <w:lang w:val="en-GB"/>
        </w:rPr>
      </w:pPr>
    </w:p>
    <w:p>
      <w:pPr>
        <w:jc w:val="both"/>
        <w:rPr>
          <w:rFonts w:cs="Times New Roman"/>
          <w:noProof/>
          <w:lang w:val="en-GB"/>
        </w:rPr>
      </w:pPr>
      <w:r>
        <w:rPr>
          <w:rFonts w:cs="Times New Roman"/>
          <w:b/>
          <w:bCs/>
          <w:noProof/>
          <w:lang w:val="en-GB"/>
        </w:rPr>
        <w:t>An array of metrics are in use to assess the effectiveness of solutions</w:t>
      </w:r>
      <w:r>
        <w:rPr>
          <w:rFonts w:cs="Times New Roman"/>
          <w:noProof/>
          <w:lang w:val="en-GB"/>
        </w:rPr>
        <w:t xml:space="preserve">, for example, the number of users, instances of use, downloads and page views. When these performance indicators are assessed in a more in-depth way, it is clear that they support the feedback received from consulted stakeholders that </w:t>
      </w:r>
      <w:r>
        <w:rPr>
          <w:rFonts w:cs="Times New Roman"/>
          <w:b/>
          <w:bCs/>
          <w:noProof/>
          <w:lang w:val="en-GB"/>
        </w:rPr>
        <w:t>the programme is on track</w:t>
      </w:r>
      <w:r>
        <w:rPr>
          <w:rFonts w:cs="Times New Roman"/>
          <w:noProof/>
          <w:lang w:val="en-GB"/>
        </w:rPr>
        <w:t xml:space="preserve"> to achieving the expected results. However, it is also clear that </w:t>
      </w:r>
      <w:r>
        <w:rPr>
          <w:rFonts w:cs="Times New Roman"/>
          <w:b/>
          <w:bCs/>
          <w:noProof/>
          <w:lang w:val="en-GB"/>
        </w:rPr>
        <w:t>more time is needed to fully achieve these results</w:t>
      </w:r>
      <w:r>
        <w:rPr>
          <w:rFonts w:cs="Times New Roman"/>
          <w:noProof/>
          <w:lang w:val="en-GB"/>
        </w:rPr>
        <w:t>. This pattern is also confirmed when the performance indicators for actions continued from ISA are compared with those for actions started during ISA</w:t>
      </w:r>
      <w:r>
        <w:rPr>
          <w:rFonts w:cs="Times New Roman"/>
          <w:noProof/>
          <w:vertAlign w:val="superscript"/>
          <w:lang w:val="en-GB"/>
        </w:rPr>
        <w:t>2</w:t>
      </w:r>
      <w:r>
        <w:rPr>
          <w:rFonts w:cs="Times New Roman"/>
          <w:noProof/>
          <w:lang w:val="en-GB"/>
        </w:rPr>
        <w:t xml:space="preserve">, as detailed in </w:t>
      </w:r>
      <w:r>
        <w:rPr>
          <w:rFonts w:cs="Times New Roman"/>
          <w:noProof/>
        </w:rPr>
        <w:fldChar w:fldCharType="begin"/>
      </w:r>
      <w:r>
        <w:rPr>
          <w:rFonts w:cs="Times New Roman"/>
          <w:noProof/>
          <w:lang w:val="en-GB"/>
        </w:rPr>
        <w:instrText xml:space="preserve"> REF _Ref9596697 \h  \* MERGEFORMAT </w:instrText>
      </w:r>
      <w:r>
        <w:rPr>
          <w:rFonts w:cs="Times New Roman"/>
          <w:noProof/>
        </w:rPr>
      </w:r>
      <w:r>
        <w:rPr>
          <w:rFonts w:cs="Times New Roman"/>
          <w:noProof/>
        </w:rPr>
        <w:fldChar w:fldCharType="separate"/>
      </w:r>
      <w:r>
        <w:rPr>
          <w:rFonts w:cs="Times New Roman"/>
          <w:noProof/>
          <w:lang w:val="en-GB"/>
        </w:rPr>
        <w:t>Box 4</w:t>
      </w:r>
      <w:r>
        <w:rPr>
          <w:rFonts w:cs="Times New Roman"/>
          <w:noProof/>
        </w:rPr>
        <w:fldChar w:fldCharType="end"/>
      </w:r>
      <w:r>
        <w:rPr>
          <w:rFonts w:cs="Times New Roman"/>
          <w:noProof/>
          <w:lang w:val="en-GB"/>
        </w:rPr>
        <w:t>.</w:t>
      </w: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4</w:t>
      </w:r>
      <w:r>
        <w:rPr>
          <w:rFonts w:cs="Times New Roman"/>
          <w:noProof/>
        </w:rPr>
        <w:fldChar w:fldCharType="end"/>
      </w:r>
      <w:r>
        <w:rPr>
          <w:rFonts w:cs="Times New Roman"/>
          <w:noProof/>
        </w:rPr>
        <w:t>: Comparing solutions and performance indicators of actions continued from ISA and actions started during ISA</w:t>
      </w:r>
      <w:r>
        <w:rPr>
          <w:rFonts w:cs="Times New Roman"/>
          <w:noProof/>
          <w:vertAlign w:val="superscript"/>
        </w:rPr>
        <w:t>2</w:t>
      </w:r>
    </w:p>
    <w:tbl>
      <w:tblPr>
        <w:tblW w:w="0" w:type="auto"/>
        <w:tblLook w:val="04A0" w:firstRow="1" w:lastRow="0" w:firstColumn="1" w:lastColumn="0" w:noHBand="0" w:noVBand="1"/>
      </w:tblPr>
      <w:tblGrid>
        <w:gridCol w:w="8834"/>
      </w:tblGrid>
      <w:tr>
        <w:tc>
          <w:tcPr>
            <w:tcW w:w="9016" w:type="dxa"/>
            <w:shd w:val="clear" w:color="auto" w:fill="C6D9F1" w:themeFill="text2" w:themeFillTint="33"/>
          </w:tcPr>
          <w:p>
            <w:pPr>
              <w:spacing w:after="120"/>
              <w:jc w:val="both"/>
              <w:rPr>
                <w:rFonts w:cs="Times New Roman"/>
                <w:noProof/>
                <w:sz w:val="22"/>
                <w:lang w:val="en-GB"/>
              </w:rPr>
            </w:pPr>
            <w:r>
              <w:rPr>
                <w:rFonts w:cs="Times New Roman"/>
                <w:noProof/>
                <w:sz w:val="22"/>
                <w:lang w:val="en-GB"/>
              </w:rPr>
              <w:t>The pattern that emerges when the performance indicators associated with actions continued from ISA and those started during ISA</w:t>
            </w:r>
            <w:r>
              <w:rPr>
                <w:rFonts w:cs="Times New Roman"/>
                <w:noProof/>
                <w:sz w:val="22"/>
                <w:vertAlign w:val="superscript"/>
                <w:lang w:val="en-GB"/>
              </w:rPr>
              <w:t>2</w:t>
            </w:r>
            <w:r>
              <w:rPr>
                <w:rFonts w:cs="Times New Roman"/>
                <w:noProof/>
                <w:sz w:val="22"/>
                <w:lang w:val="en-GB"/>
              </w:rPr>
              <w:t xml:space="preserve"> are assessed can be illustrated using the two sampled actions that are part of the semantic interoperability package:</w:t>
            </w:r>
          </w:p>
          <w:p>
            <w:pPr>
              <w:numPr>
                <w:ilvl w:val="0"/>
                <w:numId w:val="63"/>
              </w:numPr>
              <w:spacing w:after="120"/>
              <w:jc w:val="both"/>
              <w:rPr>
                <w:rFonts w:cs="Times New Roman"/>
                <w:noProof/>
                <w:sz w:val="22"/>
                <w:lang w:val="en-GB"/>
              </w:rPr>
            </w:pPr>
            <w:r>
              <w:rPr>
                <w:rFonts w:cs="Times New Roman"/>
                <w:noProof/>
                <w:sz w:val="22"/>
                <w:lang w:val="en-GB"/>
              </w:rPr>
              <w:t>‘Public Multilingual Knowledge Management Infrastructure’ (PMKI) for the Digital Single Market (initiated during ISA</w:t>
            </w:r>
            <w:r>
              <w:rPr>
                <w:rFonts w:cs="Times New Roman"/>
                <w:noProof/>
                <w:sz w:val="22"/>
                <w:vertAlign w:val="superscript"/>
                <w:lang w:val="en-GB"/>
              </w:rPr>
              <w:t>2</w:t>
            </w:r>
            <w:r>
              <w:rPr>
                <w:rFonts w:cs="Times New Roman"/>
                <w:noProof/>
                <w:sz w:val="22"/>
                <w:lang w:val="en-GB"/>
              </w:rPr>
              <w:t>); and</w:t>
            </w:r>
          </w:p>
          <w:p>
            <w:pPr>
              <w:numPr>
                <w:ilvl w:val="0"/>
                <w:numId w:val="63"/>
              </w:numPr>
              <w:spacing w:after="120"/>
              <w:jc w:val="both"/>
              <w:rPr>
                <w:rFonts w:cs="Times New Roman"/>
                <w:noProof/>
                <w:sz w:val="22"/>
                <w:lang w:val="en-GB"/>
              </w:rPr>
            </w:pPr>
            <w:r>
              <w:rPr>
                <w:rFonts w:cs="Times New Roman"/>
                <w:noProof/>
                <w:sz w:val="22"/>
                <w:lang w:val="en-GB"/>
              </w:rPr>
              <w:t>‘SEMIC: Promoting semantic interoperability amongst the European Union Member States’ (a continuation from the action with the same name that was in place during ISA).</w:t>
            </w:r>
          </w:p>
          <w:p>
            <w:pPr>
              <w:spacing w:after="120"/>
              <w:jc w:val="both"/>
              <w:rPr>
                <w:rFonts w:cs="Times New Roman"/>
                <w:noProof/>
                <w:sz w:val="22"/>
                <w:lang w:val="en-GB"/>
              </w:rPr>
            </w:pPr>
            <w:r>
              <w:rPr>
                <w:rFonts w:cs="Times New Roman"/>
                <w:noProof/>
                <w:sz w:val="22"/>
                <w:lang w:val="en-GB"/>
              </w:rPr>
              <w:t xml:space="preserve">The </w:t>
            </w:r>
            <w:r>
              <w:rPr>
                <w:rFonts w:cs="Times New Roman"/>
                <w:b/>
                <w:noProof/>
                <w:sz w:val="22"/>
                <w:lang w:val="en-GB"/>
              </w:rPr>
              <w:t>‘PMKI’</w:t>
            </w:r>
            <w:r>
              <w:rPr>
                <w:rFonts w:cs="Times New Roman"/>
                <w:noProof/>
                <w:sz w:val="22"/>
                <w:lang w:val="en-GB"/>
              </w:rPr>
              <w:t xml:space="preserve"> action has so far provided two solutions: i) a common framework in the form of a core data model for multilingual taxonomies/terminologies; and ii) a common specification in the form of semantic links between different language resources. The most suitable performance indicator associated with the core data model is measured by ‘instances of inclusion in academic journals and international conference’. Since the model was published in 2017, </w:t>
            </w:r>
            <w:r>
              <w:rPr>
                <w:rFonts w:cs="Times New Roman"/>
                <w:b/>
                <w:noProof/>
                <w:sz w:val="22"/>
                <w:lang w:val="en-GB"/>
              </w:rPr>
              <w:t>two scientific papers</w:t>
            </w:r>
            <w:r>
              <w:rPr>
                <w:rFonts w:cs="Times New Roman"/>
                <w:noProof/>
                <w:sz w:val="22"/>
                <w:lang w:val="en-GB"/>
              </w:rPr>
              <w:t xml:space="preserve"> based on it have been published in international journals, as part of the action. In addition, the work carried out on the model has been presented at </w:t>
            </w:r>
            <w:r>
              <w:rPr>
                <w:rFonts w:cs="Times New Roman"/>
                <w:b/>
                <w:noProof/>
                <w:sz w:val="22"/>
                <w:lang w:val="en-GB"/>
              </w:rPr>
              <w:t>seven international conferences</w:t>
            </w:r>
            <w:r>
              <w:rPr>
                <w:rFonts w:cs="Times New Roman"/>
                <w:noProof/>
                <w:sz w:val="22"/>
                <w:lang w:val="en-GB"/>
              </w:rPr>
              <w:t>. With regard to the semantic links, the main performance indicator is measured by instances of collaboration with European public administrations with a view to establishing semantic interoperability between national language resources and EuroVoc</w:t>
            </w:r>
            <w:r>
              <w:rPr>
                <w:rStyle w:val="FootnoteReference"/>
                <w:noProof/>
              </w:rPr>
              <w:footnoteReference w:id="45"/>
            </w:r>
            <w:r>
              <w:rPr>
                <w:rFonts w:cs="Times New Roman"/>
                <w:noProof/>
                <w:sz w:val="22"/>
                <w:lang w:val="en-GB"/>
              </w:rPr>
              <w:t xml:space="preserve">. </w:t>
            </w:r>
            <w:r>
              <w:rPr>
                <w:rFonts w:cs="Times New Roman"/>
                <w:b/>
                <w:noProof/>
                <w:sz w:val="22"/>
                <w:lang w:val="en-GB"/>
              </w:rPr>
              <w:t>Four collaborations</w:t>
            </w:r>
            <w:r>
              <w:rPr>
                <w:rFonts w:cs="Times New Roman"/>
                <w:noProof/>
                <w:sz w:val="22"/>
                <w:lang w:val="en-GB"/>
              </w:rPr>
              <w:t xml:space="preserve"> have been set up so far.</w:t>
            </w:r>
          </w:p>
          <w:p>
            <w:pPr>
              <w:spacing w:after="120"/>
              <w:jc w:val="both"/>
              <w:rPr>
                <w:rFonts w:cs="Times New Roman"/>
                <w:noProof/>
                <w:sz w:val="22"/>
                <w:lang w:val="en-GB"/>
              </w:rPr>
            </w:pPr>
            <w:r>
              <w:rPr>
                <w:rFonts w:cs="Times New Roman"/>
                <w:noProof/>
                <w:sz w:val="22"/>
                <w:lang w:val="en-GB"/>
              </w:rPr>
              <w:t xml:space="preserve">In comparison, for the </w:t>
            </w:r>
            <w:r>
              <w:rPr>
                <w:rFonts w:cs="Times New Roman"/>
                <w:b/>
                <w:noProof/>
                <w:sz w:val="22"/>
                <w:lang w:val="en-GB"/>
              </w:rPr>
              <w:t>‘SEMIC’</w:t>
            </w:r>
            <w:r>
              <w:rPr>
                <w:rFonts w:cs="Times New Roman"/>
                <w:noProof/>
                <w:sz w:val="22"/>
                <w:lang w:val="en-GB"/>
              </w:rPr>
              <w:t xml:space="preserve"> action, which has been in place longer than PMKI, the relevant performance indicators are the number of solution users, in particular </w:t>
            </w:r>
            <w:r>
              <w:rPr>
                <w:rFonts w:cs="Times New Roman"/>
                <w:b/>
                <w:noProof/>
                <w:sz w:val="22"/>
                <w:lang w:val="en-GB"/>
              </w:rPr>
              <w:t>the number of public administrations using the solutions</w:t>
            </w:r>
            <w:r>
              <w:rPr>
                <w:rFonts w:cs="Times New Roman"/>
                <w:noProof/>
                <w:sz w:val="22"/>
                <w:lang w:val="en-GB"/>
              </w:rPr>
              <w:t>. For the four solutions that are part of SEMIC, the numbers of users are as follows:</w:t>
            </w:r>
          </w:p>
          <w:p>
            <w:pPr>
              <w:numPr>
                <w:ilvl w:val="0"/>
                <w:numId w:val="64"/>
              </w:numPr>
              <w:spacing w:after="120"/>
              <w:jc w:val="both"/>
              <w:rPr>
                <w:rFonts w:cs="Times New Roman"/>
                <w:noProof/>
                <w:sz w:val="22"/>
                <w:lang w:val="en-GB"/>
              </w:rPr>
            </w:pPr>
            <w:r>
              <w:rPr>
                <w:rFonts w:cs="Times New Roman"/>
                <w:noProof/>
                <w:sz w:val="22"/>
                <w:lang w:val="en-GB"/>
              </w:rPr>
              <w:t xml:space="preserve">the </w:t>
            </w:r>
            <w:r>
              <w:rPr>
                <w:rFonts w:cs="Times New Roman"/>
                <w:b/>
                <w:noProof/>
                <w:sz w:val="22"/>
                <w:lang w:val="en-GB"/>
              </w:rPr>
              <w:t>‘Asset Description Metadata Schema’</w:t>
            </w:r>
            <w:r>
              <w:rPr>
                <w:rFonts w:cs="Times New Roman"/>
                <w:noProof/>
                <w:sz w:val="22"/>
                <w:lang w:val="en-GB"/>
              </w:rPr>
              <w:t xml:space="preserve"> (ADMS) is used in </w:t>
            </w:r>
            <w:r>
              <w:rPr>
                <w:rFonts w:cs="Times New Roman"/>
                <w:b/>
                <w:noProof/>
                <w:sz w:val="22"/>
                <w:lang w:val="en-GB"/>
              </w:rPr>
              <w:t>eight public administrations</w:t>
            </w:r>
            <w:r>
              <w:rPr>
                <w:rFonts w:cs="Times New Roman"/>
                <w:noProof/>
                <w:sz w:val="22"/>
                <w:lang w:val="en-GB"/>
              </w:rPr>
              <w:t xml:space="preserve"> in the Member States and the Commission, and by one company. In addition, the solution has been used </w:t>
            </w:r>
            <w:r>
              <w:rPr>
                <w:rFonts w:cs="Times New Roman"/>
                <w:b/>
                <w:noProof/>
                <w:sz w:val="22"/>
                <w:lang w:val="en-GB"/>
              </w:rPr>
              <w:t>to describe approximately 4 700 interoperability solutions</w:t>
            </w:r>
            <w:r>
              <w:rPr>
                <w:rFonts w:cs="Times New Roman"/>
                <w:noProof/>
                <w:sz w:val="22"/>
                <w:lang w:val="en-GB"/>
              </w:rPr>
              <w:t xml:space="preserve"> on Joinup;</w:t>
            </w:r>
          </w:p>
          <w:p>
            <w:pPr>
              <w:numPr>
                <w:ilvl w:val="0"/>
                <w:numId w:val="64"/>
              </w:numPr>
              <w:spacing w:after="120"/>
              <w:jc w:val="both"/>
              <w:rPr>
                <w:rFonts w:cs="Times New Roman"/>
                <w:noProof/>
                <w:sz w:val="22"/>
                <w:lang w:val="en-GB"/>
              </w:rPr>
            </w:pPr>
            <w:r>
              <w:rPr>
                <w:rFonts w:cs="Times New Roman"/>
                <w:noProof/>
                <w:sz w:val="22"/>
                <w:lang w:val="en-GB"/>
              </w:rPr>
              <w:t xml:space="preserve">the </w:t>
            </w:r>
            <w:r>
              <w:rPr>
                <w:rFonts w:cs="Times New Roman"/>
                <w:b/>
                <w:noProof/>
                <w:sz w:val="22"/>
                <w:lang w:val="en-GB"/>
              </w:rPr>
              <w:t>‘Core Vocabularies’</w:t>
            </w:r>
            <w:r>
              <w:rPr>
                <w:rFonts w:cs="Times New Roman"/>
                <w:noProof/>
                <w:sz w:val="22"/>
                <w:lang w:val="en-GB"/>
              </w:rPr>
              <w:t xml:space="preserve"> are used in </w:t>
            </w:r>
            <w:r>
              <w:rPr>
                <w:rFonts w:cs="Times New Roman"/>
                <w:b/>
                <w:noProof/>
                <w:sz w:val="22"/>
                <w:lang w:val="en-GB"/>
              </w:rPr>
              <w:t>11 public administrations</w:t>
            </w:r>
            <w:r>
              <w:rPr>
                <w:rFonts w:cs="Times New Roman"/>
                <w:noProof/>
                <w:sz w:val="22"/>
                <w:lang w:val="en-GB"/>
              </w:rPr>
              <w:t xml:space="preserve"> in the Member States and in the Commission;</w:t>
            </w:r>
          </w:p>
          <w:p>
            <w:pPr>
              <w:numPr>
                <w:ilvl w:val="0"/>
                <w:numId w:val="64"/>
              </w:numPr>
              <w:spacing w:after="120"/>
              <w:jc w:val="both"/>
              <w:rPr>
                <w:rFonts w:cs="Times New Roman"/>
                <w:noProof/>
                <w:sz w:val="22"/>
                <w:lang w:val="en-GB"/>
              </w:rPr>
            </w:pPr>
            <w:r>
              <w:rPr>
                <w:rFonts w:cs="Times New Roman"/>
                <w:b/>
                <w:noProof/>
                <w:sz w:val="22"/>
                <w:lang w:val="en-GB"/>
              </w:rPr>
              <w:t>the ‘Data Catalogue Vocabulary Application Profile for Data Portals in Europe’</w:t>
            </w:r>
            <w:r>
              <w:rPr>
                <w:rFonts w:cs="Times New Roman"/>
                <w:noProof/>
                <w:sz w:val="22"/>
                <w:lang w:val="en-GB"/>
              </w:rPr>
              <w:t xml:space="preserve"> (DCAT-AP) is used by </w:t>
            </w:r>
            <w:r>
              <w:rPr>
                <w:rFonts w:cs="Times New Roman"/>
                <w:b/>
                <w:noProof/>
                <w:sz w:val="22"/>
                <w:lang w:val="en-GB"/>
              </w:rPr>
              <w:t>29 public administrations</w:t>
            </w:r>
            <w:r>
              <w:rPr>
                <w:rFonts w:cs="Times New Roman"/>
                <w:noProof/>
                <w:sz w:val="22"/>
                <w:lang w:val="en-GB"/>
              </w:rPr>
              <w:t xml:space="preserve"> in the Member States and the Commission, and by associations and universities; and</w:t>
            </w:r>
          </w:p>
          <w:p>
            <w:pPr>
              <w:numPr>
                <w:ilvl w:val="0"/>
                <w:numId w:val="64"/>
              </w:numPr>
              <w:spacing w:after="120"/>
              <w:jc w:val="both"/>
              <w:rPr>
                <w:rFonts w:cs="Times New Roman"/>
                <w:noProof/>
                <w:sz w:val="22"/>
                <w:lang w:val="en-GB"/>
              </w:rPr>
            </w:pPr>
            <w:r>
              <w:rPr>
                <w:rFonts w:cs="Times New Roman"/>
                <w:b/>
                <w:noProof/>
                <w:sz w:val="22"/>
                <w:lang w:val="en-GB"/>
              </w:rPr>
              <w:t>‘VocBench3’, which also falls under SEMIC</w:t>
            </w:r>
            <w:r>
              <w:rPr>
                <w:rStyle w:val="FootnoteReference"/>
                <w:noProof/>
              </w:rPr>
              <w:footnoteReference w:id="46"/>
            </w:r>
            <w:r>
              <w:rPr>
                <w:rFonts w:cs="Times New Roman"/>
                <w:b/>
                <w:noProof/>
                <w:sz w:val="22"/>
                <w:lang w:val="en-GB"/>
              </w:rPr>
              <w:t xml:space="preserve"> and</w:t>
            </w:r>
            <w:r>
              <w:rPr>
                <w:rFonts w:cs="Times New Roman"/>
                <w:noProof/>
                <w:sz w:val="22"/>
                <w:lang w:val="en-GB"/>
              </w:rPr>
              <w:t xml:space="preserve"> previous versions of which are used in </w:t>
            </w:r>
            <w:r>
              <w:rPr>
                <w:rFonts w:cs="Times New Roman"/>
                <w:b/>
                <w:noProof/>
                <w:sz w:val="22"/>
                <w:lang w:val="en-GB"/>
              </w:rPr>
              <w:t>14 public administrations</w:t>
            </w:r>
            <w:r>
              <w:rPr>
                <w:rFonts w:cs="Times New Roman"/>
                <w:noProof/>
                <w:sz w:val="22"/>
                <w:lang w:val="en-GB"/>
              </w:rPr>
              <w:t xml:space="preserve"> in the Member States and the Commission, and by universities, institutes, and international organisations.</w:t>
            </w:r>
          </w:p>
          <w:p>
            <w:pPr>
              <w:spacing w:after="120"/>
              <w:jc w:val="both"/>
              <w:rPr>
                <w:rFonts w:cs="Times New Roman"/>
                <w:noProof/>
                <w:sz w:val="22"/>
                <w:lang w:val="en-GB"/>
              </w:rPr>
            </w:pPr>
            <w:r>
              <w:rPr>
                <w:rFonts w:cs="Times New Roman"/>
                <w:noProof/>
                <w:sz w:val="22"/>
                <w:lang w:val="en-GB"/>
              </w:rPr>
              <w:t xml:space="preserve">An analysis of the solutions developed under the PMKI and SEMIC actions suggests that the </w:t>
            </w:r>
            <w:r>
              <w:rPr>
                <w:rFonts w:cs="Times New Roman"/>
                <w:b/>
                <w:noProof/>
                <w:sz w:val="22"/>
                <w:lang w:val="en-GB"/>
              </w:rPr>
              <w:t>performance indicators assessing actions continued from ISA tend to show a higher degree of maturity and take-up</w:t>
            </w:r>
            <w:r>
              <w:rPr>
                <w:rFonts w:cs="Times New Roman"/>
                <w:noProof/>
                <w:sz w:val="22"/>
                <w:lang w:val="en-GB"/>
              </w:rPr>
              <w:t xml:space="preserve"> than those developed under ISA</w:t>
            </w:r>
            <w:r>
              <w:rPr>
                <w:rFonts w:cs="Times New Roman"/>
                <w:noProof/>
                <w:sz w:val="22"/>
                <w:vertAlign w:val="superscript"/>
                <w:lang w:val="en-GB"/>
              </w:rPr>
              <w:t>2</w:t>
            </w:r>
            <w:r>
              <w:rPr>
                <w:rFonts w:cs="Times New Roman"/>
                <w:noProof/>
                <w:sz w:val="22"/>
                <w:lang w:val="en-GB"/>
              </w:rPr>
              <w:t>. Therefore, it is clear that solutions need time to show fully-fledged results. This is a natural conclusion, and since there is still over one year and a half left until the ISA</w:t>
            </w:r>
            <w:r>
              <w:rPr>
                <w:rFonts w:cs="Times New Roman"/>
                <w:noProof/>
                <w:sz w:val="22"/>
                <w:vertAlign w:val="superscript"/>
                <w:lang w:val="en-GB"/>
              </w:rPr>
              <w:t>2</w:t>
            </w:r>
            <w:r>
              <w:rPr>
                <w:rFonts w:cs="Times New Roman"/>
                <w:noProof/>
                <w:sz w:val="22"/>
                <w:lang w:val="en-GB"/>
              </w:rPr>
              <w:t xml:space="preserve"> programme concludes, there is still time for solutions to be further developed. </w:t>
            </w:r>
          </w:p>
        </w:tc>
      </w:tr>
    </w:tbl>
    <w:p>
      <w:pPr>
        <w:rPr>
          <w:rFonts w:cs="Times New Roman"/>
          <w:noProof/>
          <w:lang w:val="en-GB"/>
        </w:rPr>
      </w:pPr>
    </w:p>
    <w:p>
      <w:pPr>
        <w:pStyle w:val="Heading4"/>
        <w:rPr>
          <w:noProof/>
        </w:rPr>
      </w:pPr>
      <w:r>
        <w:rPr>
          <w:noProof/>
        </w:rPr>
        <w:t>JC5: Alignment with principles specified in Article 4(b) of the ISA</w:t>
      </w:r>
      <w:r>
        <w:rPr>
          <w:noProof/>
          <w:vertAlign w:val="superscript"/>
        </w:rPr>
        <w:t>2</w:t>
      </w:r>
      <w:r>
        <w:rPr>
          <w:noProof/>
        </w:rPr>
        <w:t xml:space="preserve"> Decision</w:t>
      </w:r>
    </w:p>
    <w:p>
      <w:pPr>
        <w:jc w:val="both"/>
        <w:rPr>
          <w:rFonts w:cs="Times New Roman"/>
          <w:noProof/>
          <w:lang w:val="en-GB"/>
        </w:rPr>
      </w:pPr>
      <w:r>
        <w:rPr>
          <w:rFonts w:cs="Times New Roman"/>
          <w:noProof/>
          <w:lang w:val="en-GB"/>
        </w:rPr>
        <w:t xml:space="preserve">The evaluation of effectiveness also requires an assessment of the </w:t>
      </w:r>
      <w:r>
        <w:rPr>
          <w:rFonts w:cs="Times New Roman"/>
          <w:b/>
          <w:noProof/>
          <w:lang w:val="en-GB"/>
        </w:rPr>
        <w:t>programme’s compliance with the principles listed in Article 4(b) of the ISA</w:t>
      </w:r>
      <w:r>
        <w:rPr>
          <w:rFonts w:cs="Times New Roman"/>
          <w:b/>
          <w:noProof/>
          <w:vertAlign w:val="superscript"/>
          <w:lang w:val="en-GB"/>
        </w:rPr>
        <w:t>2</w:t>
      </w:r>
      <w:r>
        <w:rPr>
          <w:rFonts w:cs="Times New Roman"/>
          <w:b/>
          <w:noProof/>
          <w:lang w:val="en-GB"/>
        </w:rPr>
        <w:t xml:space="preserve"> Decision</w:t>
      </w:r>
      <w:r>
        <w:rPr>
          <w:rFonts w:cs="Times New Roman"/>
          <w:noProof/>
          <w:lang w:val="en-GB"/>
        </w:rPr>
        <w:t>. The rolling work programme provides details on how the ISA</w:t>
      </w:r>
      <w:r>
        <w:rPr>
          <w:rFonts w:cs="Times New Roman"/>
          <w:noProof/>
          <w:vertAlign w:val="superscript"/>
          <w:lang w:val="en-GB"/>
        </w:rPr>
        <w:t>2</w:t>
      </w:r>
      <w:r>
        <w:rPr>
          <w:rFonts w:cs="Times New Roman"/>
          <w:noProof/>
          <w:lang w:val="en-GB"/>
        </w:rPr>
        <w:t xml:space="preserve"> actions should consider these principles. The overall judgment stemming from the desk analysis of the rolling work programme is </w:t>
      </w:r>
      <w:r>
        <w:rPr>
          <w:rFonts w:cs="Times New Roman"/>
          <w:b/>
          <w:noProof/>
          <w:lang w:val="en-GB"/>
        </w:rPr>
        <w:t xml:space="preserve">positive </w:t>
      </w:r>
      <w:r>
        <w:rPr>
          <w:rFonts w:cs="Times New Roman"/>
          <w:noProof/>
          <w:lang w:val="en-GB"/>
        </w:rPr>
        <w:t>(</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_Ref9596232 \h  \* MERGEFORMAT </w:instrText>
      </w:r>
      <w:r>
        <w:rPr>
          <w:rFonts w:cs="Times New Roman"/>
          <w:noProof/>
        </w:rPr>
      </w:r>
      <w:r>
        <w:rPr>
          <w:rFonts w:cs="Times New Roman"/>
          <w:noProof/>
        </w:rPr>
        <w:fldChar w:fldCharType="separate"/>
      </w:r>
      <w:r>
        <w:rPr>
          <w:rFonts w:cs="Times New Roman"/>
          <w:noProof/>
          <w:lang w:val="en-GB"/>
        </w:rPr>
        <w:t>Table 15</w:t>
      </w:r>
      <w:r>
        <w:rPr>
          <w:rFonts w:cs="Times New Roman"/>
          <w:noProof/>
        </w:rPr>
        <w:fldChar w:fldCharType="end"/>
      </w:r>
      <w:r>
        <w:rPr>
          <w:rFonts w:cs="Times New Roman"/>
          <w:noProof/>
          <w:lang w:val="en-GB"/>
        </w:rPr>
        <w:t>). Supporting examples are provided by examining the contribution of ISA</w:t>
      </w:r>
      <w:r>
        <w:rPr>
          <w:rFonts w:cs="Times New Roman"/>
          <w:noProof/>
          <w:vertAlign w:val="superscript"/>
          <w:lang w:val="en-GB"/>
        </w:rPr>
        <w:t>2</w:t>
      </w:r>
      <w:r>
        <w:rPr>
          <w:rFonts w:cs="Times New Roman"/>
          <w:noProof/>
          <w:lang w:val="en-GB"/>
        </w:rPr>
        <w:t xml:space="preserve"> actions to the implementation of the EIF, as the principles in question also fall under the scope of the EIF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_Ref9597000 \h  \* MERGEFORMAT </w:instrText>
      </w:r>
      <w:r>
        <w:rPr>
          <w:rFonts w:cs="Times New Roman"/>
          <w:noProof/>
        </w:rPr>
      </w:r>
      <w:r>
        <w:rPr>
          <w:rFonts w:cs="Times New Roman"/>
          <w:noProof/>
        </w:rPr>
        <w:fldChar w:fldCharType="separate"/>
      </w:r>
      <w:r>
        <w:rPr>
          <w:rFonts w:cs="Times New Roman"/>
          <w:noProof/>
          <w:lang w:val="en-GB"/>
        </w:rPr>
        <w:t>Table 23</w:t>
      </w:r>
      <w:r>
        <w:rPr>
          <w:rFonts w:cs="Times New Roman"/>
          <w:noProof/>
        </w:rPr>
        <w:fldChar w:fldCharType="end"/>
      </w:r>
      <w:r>
        <w:rPr>
          <w:rFonts w:cs="Times New Roman"/>
          <w:noProof/>
          <w:lang w:val="en-GB"/>
        </w:rPr>
        <w:t>).</w:t>
      </w:r>
    </w:p>
    <w:p>
      <w:pPr>
        <w:pStyle w:val="Heading3"/>
        <w:rPr>
          <w:noProof/>
          <w:lang w:val="en-GB"/>
        </w:rPr>
      </w:pPr>
      <w:r>
        <w:rPr>
          <w:noProof/>
          <w:lang w:val="en-GB"/>
        </w:rPr>
        <w:t>Answer to the EQs on ‘effectiveness’</w:t>
      </w:r>
    </w:p>
    <w:p>
      <w:pPr>
        <w:shd w:val="clear" w:color="auto" w:fill="C6D9F1" w:themeFill="text2" w:themeFillTint="33"/>
        <w:jc w:val="both"/>
        <w:rPr>
          <w:rFonts w:cs="Times New Roman"/>
          <w:noProof/>
          <w:lang w:val="en-GB"/>
        </w:rPr>
      </w:pPr>
      <w:r>
        <w:rPr>
          <w:rFonts w:cs="Times New Roman"/>
          <w:noProof/>
          <w:lang w:val="en-GB"/>
        </w:rPr>
        <w:t>EQ2: How far are the ISA² programme’s results in the process of achieving the programme’s objectives?</w:t>
      </w:r>
    </w:p>
    <w:p>
      <w:pPr>
        <w:jc w:val="both"/>
        <w:rPr>
          <w:rFonts w:cs="Times New Roman"/>
          <w:noProof/>
          <w:lang w:val="en-GB"/>
        </w:rPr>
      </w:pPr>
      <w:r>
        <w:rPr>
          <w:rFonts w:cs="Times New Roman"/>
          <w:b/>
          <w:noProof/>
          <w:lang w:val="en-GB"/>
        </w:rPr>
        <w:t>The results achieved by ISA</w:t>
      </w:r>
      <w:r>
        <w:rPr>
          <w:rFonts w:cs="Times New Roman"/>
          <w:b/>
          <w:noProof/>
          <w:vertAlign w:val="superscript"/>
          <w:lang w:val="en-GB"/>
        </w:rPr>
        <w:t xml:space="preserve">2 </w:t>
      </w:r>
      <w:r>
        <w:rPr>
          <w:rFonts w:cs="Times New Roman"/>
          <w:b/>
          <w:noProof/>
          <w:lang w:val="en-GB"/>
        </w:rPr>
        <w:t>so far are aligned with the programme’s objectives</w:t>
      </w:r>
      <w:r>
        <w:rPr>
          <w:rFonts w:cs="Times New Roman"/>
          <w:noProof/>
          <w:lang w:val="en-GB"/>
        </w:rPr>
        <w:t xml:space="preserve">. However, they do not yet fully match the expected results, as most of the actions are still ongoing and solutions are still being developed. </w:t>
      </w:r>
      <w:r>
        <w:rPr>
          <w:rFonts w:cs="Times New Roman"/>
          <w:b/>
          <w:noProof/>
          <w:lang w:val="en-GB"/>
        </w:rPr>
        <w:t>More time is needed in order to achieve all the expected results</w:t>
      </w:r>
      <w:r>
        <w:rPr>
          <w:rFonts w:cs="Times New Roman"/>
          <w:noProof/>
          <w:lang w:val="en-GB"/>
        </w:rPr>
        <w:t>. This is confirmed by the assessment of key performance indicators and a comparison between actions continued from ISA and actions started under ISA</w:t>
      </w:r>
      <w:r>
        <w:rPr>
          <w:rFonts w:cs="Times New Roman"/>
          <w:noProof/>
          <w:vertAlign w:val="superscript"/>
          <w:lang w:val="en-GB"/>
        </w:rPr>
        <w:t>2</w:t>
      </w:r>
      <w:r>
        <w:rPr>
          <w:rFonts w:cs="Times New Roman"/>
          <w:noProof/>
          <w:lang w:val="en-GB"/>
        </w:rPr>
        <w:t>.</w:t>
      </w:r>
    </w:p>
    <w:p>
      <w:pPr>
        <w:jc w:val="both"/>
        <w:rPr>
          <w:rFonts w:cs="Times New Roman"/>
          <w:noProof/>
          <w:lang w:val="en-GB"/>
        </w:rPr>
      </w:pPr>
      <w:r>
        <w:rPr>
          <w:rFonts w:cs="Times New Roman"/>
          <w:b/>
          <w:noProof/>
          <w:lang w:val="en-GB"/>
        </w:rPr>
        <w:t>External factors could improve but also jeopardise the way in which the programme achieves its objectives and delivers its results</w:t>
      </w:r>
      <w:r>
        <w:rPr>
          <w:rFonts w:cs="Times New Roman"/>
          <w:noProof/>
          <w:lang w:val="en-GB"/>
        </w:rPr>
        <w:t>. The main findings hold true across the different stakeholder groups and are further confirmed by expert assessments. The call for common standards and frameworks from public administrations is an external factor that contributes to the programme’s performance. In contrast, institutional complexity</w:t>
      </w:r>
      <w:r>
        <w:rPr>
          <w:rFonts w:cs="Times New Roman"/>
          <w:b/>
          <w:noProof/>
          <w:lang w:val="en-GB"/>
        </w:rPr>
        <w:t xml:space="preserve"> </w:t>
      </w:r>
      <w:r>
        <w:rPr>
          <w:rFonts w:cs="Times New Roman"/>
          <w:noProof/>
          <w:lang w:val="en-GB"/>
        </w:rPr>
        <w:t>could harm the achievement of cross-border and cross-sectoral interoperability.</w:t>
      </w:r>
    </w:p>
    <w:p>
      <w:pPr>
        <w:shd w:val="clear" w:color="auto" w:fill="C6D9F1" w:themeFill="text2" w:themeFillTint="33"/>
        <w:jc w:val="both"/>
        <w:rPr>
          <w:rFonts w:cs="Times New Roman"/>
          <w:noProof/>
          <w:lang w:val="en-GB"/>
        </w:rPr>
      </w:pPr>
      <w:r>
        <w:rPr>
          <w:rFonts w:cs="Times New Roman"/>
          <w:noProof/>
          <w:lang w:val="en-GB"/>
        </w:rPr>
        <w:t>EQ3: Are there aspects that are more or less effective than others are, and if so, what lessons can be drawn from this?</w:t>
      </w:r>
    </w:p>
    <w:p>
      <w:pPr>
        <w:jc w:val="both"/>
        <w:rPr>
          <w:rFonts w:cs="Times New Roman"/>
          <w:noProof/>
          <w:lang w:val="en-GB"/>
        </w:rPr>
      </w:pPr>
      <w:r>
        <w:rPr>
          <w:rFonts w:cs="Times New Roman"/>
          <w:noProof/>
          <w:lang w:val="en-GB"/>
        </w:rPr>
        <w:t xml:space="preserve">While in general the programme is on track to achieving its objectives, </w:t>
      </w:r>
      <w:r>
        <w:rPr>
          <w:rFonts w:cs="Times New Roman"/>
          <w:b/>
          <w:noProof/>
          <w:lang w:val="en-GB"/>
        </w:rPr>
        <w:t>it performs relatively less well when it comes to developing a more effective, simplified and user-friendly e-administration at the national, regional and local levels of public administration</w:t>
      </w:r>
      <w:r>
        <w:rPr>
          <w:rFonts w:cs="Times New Roman"/>
          <w:noProof/>
          <w:lang w:val="en-GB"/>
        </w:rPr>
        <w:t>. This is an area where Member States can in fact have a greater impact. N</w:t>
      </w:r>
      <w:r>
        <w:rPr>
          <w:rFonts w:cs="Times New Roman"/>
          <w:noProof/>
          <w:lang w:val="en-GB" w:eastAsia="de-DE"/>
        </w:rPr>
        <w:t xml:space="preserve">ational initiatives related to the ICT modernisation of the public sector can also </w:t>
      </w:r>
      <w:r>
        <w:rPr>
          <w:rFonts w:cs="Times New Roman"/>
          <w:noProof/>
          <w:lang w:val="en-GB"/>
        </w:rPr>
        <w:t>improve the overall performance of ISA</w:t>
      </w:r>
      <w:r>
        <w:rPr>
          <w:rFonts w:cs="Times New Roman"/>
          <w:noProof/>
          <w:vertAlign w:val="superscript"/>
          <w:lang w:val="en-GB"/>
        </w:rPr>
        <w:t>2</w:t>
      </w:r>
      <w:r>
        <w:rPr>
          <w:rFonts w:cs="Times New Roman"/>
          <w:noProof/>
          <w:lang w:val="en-GB"/>
        </w:rPr>
        <w:t xml:space="preserve"> </w:t>
      </w:r>
      <w:r>
        <w:rPr>
          <w:rFonts w:cs="Times New Roman"/>
          <w:noProof/>
          <w:lang w:val="en-GB" w:eastAsia="de-DE"/>
        </w:rPr>
        <w:t>by increasing the capacity for the take-up of ISA</w:t>
      </w:r>
      <w:r>
        <w:rPr>
          <w:rFonts w:cs="Times New Roman"/>
          <w:noProof/>
          <w:vertAlign w:val="superscript"/>
          <w:lang w:val="en-GB" w:eastAsia="de-DE"/>
        </w:rPr>
        <w:t xml:space="preserve">2 </w:t>
      </w:r>
      <w:r>
        <w:rPr>
          <w:rFonts w:cs="Times New Roman"/>
          <w:noProof/>
          <w:lang w:val="en-GB" w:eastAsia="de-DE"/>
        </w:rPr>
        <w:t>solutions.</w:t>
      </w:r>
    </w:p>
    <w:p>
      <w:pPr>
        <w:jc w:val="both"/>
        <w:rPr>
          <w:rFonts w:cs="Times New Roman"/>
          <w:noProof/>
          <w:lang w:val="en-GB"/>
        </w:rPr>
      </w:pPr>
      <w:r>
        <w:rPr>
          <w:rFonts w:cs="Times New Roman"/>
          <w:noProof/>
          <w:lang w:val="en-GB"/>
        </w:rPr>
        <w:t>Regarding the take-up rate of solutions, the evaluation found that the actions that continued from previous editions of the programme have produced solutions that are now more widely used than solutions resulting from newly established ISA</w:t>
      </w:r>
      <w:r>
        <w:rPr>
          <w:rFonts w:cs="Times New Roman"/>
          <w:noProof/>
          <w:vertAlign w:val="superscript"/>
          <w:lang w:val="en-GB"/>
        </w:rPr>
        <w:t xml:space="preserve">2 </w:t>
      </w:r>
      <w:r>
        <w:rPr>
          <w:rFonts w:cs="Times New Roman"/>
          <w:noProof/>
          <w:lang w:val="en-GB"/>
        </w:rPr>
        <w:t>actions.</w:t>
      </w:r>
    </w:p>
    <w:p>
      <w:pPr>
        <w:jc w:val="both"/>
        <w:rPr>
          <w:rFonts w:cs="Times New Roman"/>
          <w:noProof/>
          <w:lang w:val="en-GB"/>
        </w:rPr>
      </w:pPr>
      <w:r>
        <w:rPr>
          <w:rFonts w:cs="Times New Roman"/>
          <w:noProof/>
          <w:lang w:val="en-GB"/>
        </w:rPr>
        <w:t>As regards the specific request of Article 13(5) of the ISA</w:t>
      </w:r>
      <w:r>
        <w:rPr>
          <w:rFonts w:cs="Times New Roman"/>
          <w:noProof/>
          <w:vertAlign w:val="superscript"/>
          <w:lang w:val="en-GB"/>
        </w:rPr>
        <w:t>2</w:t>
      </w:r>
      <w:r>
        <w:rPr>
          <w:rFonts w:cs="Times New Roman"/>
          <w:noProof/>
          <w:lang w:val="en-GB"/>
        </w:rPr>
        <w:t xml:space="preserve"> Decision to assess the programme’s compliance with the principles set out in Article 4 of this decision, the evaluation found that </w:t>
      </w:r>
      <w:r>
        <w:rPr>
          <w:rFonts w:cs="Times New Roman"/>
          <w:b/>
          <w:noProof/>
          <w:lang w:val="en-GB"/>
        </w:rPr>
        <w:t>the rolling work programme process effectively ensures that the ISA</w:t>
      </w:r>
      <w:r>
        <w:rPr>
          <w:rFonts w:cs="Times New Roman"/>
          <w:b/>
          <w:noProof/>
          <w:vertAlign w:val="superscript"/>
          <w:lang w:val="en-GB"/>
        </w:rPr>
        <w:t>2</w:t>
      </w:r>
      <w:r>
        <w:rPr>
          <w:rFonts w:cs="Times New Roman"/>
          <w:b/>
          <w:noProof/>
          <w:lang w:val="en-GB"/>
        </w:rPr>
        <w:t xml:space="preserve"> actions take into consideration the core principles listed in the ISA</w:t>
      </w:r>
      <w:r>
        <w:rPr>
          <w:rFonts w:cs="Times New Roman"/>
          <w:b/>
          <w:noProof/>
          <w:vertAlign w:val="superscript"/>
          <w:lang w:val="en-GB"/>
        </w:rPr>
        <w:t>2</w:t>
      </w:r>
      <w:r>
        <w:rPr>
          <w:rFonts w:cs="Times New Roman"/>
          <w:b/>
          <w:noProof/>
          <w:lang w:val="en-GB"/>
        </w:rPr>
        <w:t xml:space="preserve"> Decision</w:t>
      </w:r>
      <w:r>
        <w:rPr>
          <w:rFonts w:cs="Times New Roman"/>
          <w:noProof/>
          <w:lang w:val="en-GB"/>
        </w:rPr>
        <w:t>.</w:t>
      </w:r>
    </w:p>
    <w:p>
      <w:pPr>
        <w:jc w:val="both"/>
        <w:rPr>
          <w:rFonts w:cs="Times New Roman"/>
          <w:iCs/>
          <w:noProof/>
          <w:lang w:val="en-GB"/>
        </w:rPr>
      </w:pPr>
      <w:r>
        <w:rPr>
          <w:rFonts w:cs="Times New Roman"/>
          <w:iCs/>
          <w:noProof/>
          <w:lang w:val="en-GB"/>
        </w:rPr>
        <w:t>When it comes to communication and awareness-raising activities, the evaluation results suggest that ISA</w:t>
      </w:r>
      <w:r>
        <w:rPr>
          <w:rFonts w:cs="Times New Roman"/>
          <w:iCs/>
          <w:noProof/>
          <w:vertAlign w:val="superscript"/>
          <w:lang w:val="en-GB"/>
        </w:rPr>
        <w:t>2</w:t>
      </w:r>
      <w:r>
        <w:rPr>
          <w:rFonts w:cs="Times New Roman"/>
          <w:iCs/>
          <w:noProof/>
          <w:lang w:val="en-GB"/>
        </w:rPr>
        <w:t xml:space="preserve"> duly acted upon the recommendation of the final ISA evaluation and increased general awareness of the programme. Still, </w:t>
      </w:r>
      <w:r>
        <w:rPr>
          <w:rFonts w:cs="Times New Roman"/>
          <w:b/>
          <w:iCs/>
          <w:noProof/>
          <w:lang w:val="en-GB"/>
        </w:rPr>
        <w:t>some aspects of ISA</w:t>
      </w:r>
      <w:r>
        <w:rPr>
          <w:rFonts w:cs="Times New Roman"/>
          <w:b/>
          <w:iCs/>
          <w:noProof/>
          <w:vertAlign w:val="superscript"/>
          <w:lang w:val="en-GB"/>
        </w:rPr>
        <w:t>2</w:t>
      </w:r>
      <w:r>
        <w:rPr>
          <w:rFonts w:cs="Times New Roman"/>
          <w:b/>
          <w:iCs/>
          <w:noProof/>
          <w:lang w:val="en-GB"/>
        </w:rPr>
        <w:t xml:space="preserve"> could benefit from more promotion</w:t>
      </w:r>
      <w:r>
        <w:rPr>
          <w:rFonts w:cs="Times New Roman"/>
          <w:iCs/>
          <w:noProof/>
          <w:lang w:val="en-GB"/>
        </w:rPr>
        <w:t xml:space="preserve">. </w:t>
      </w:r>
      <w:r>
        <w:rPr>
          <w:rFonts w:cs="Times New Roman"/>
          <w:noProof/>
          <w:lang w:val="en-GB"/>
        </w:rPr>
        <w:t xml:space="preserve">For example, as legal interoperability is specifically mentioned among the operational objectives, the solutions developed for assessing the ICT and interoperability impacts of legislation could be more prominently featured in order to improve awareness among </w:t>
      </w:r>
      <w:r>
        <w:rPr>
          <w:rFonts w:cs="Times New Roman"/>
          <w:iCs/>
          <w:noProof/>
          <w:lang w:val="en-GB"/>
        </w:rPr>
        <w:t>stakeholders</w:t>
      </w:r>
      <w:r>
        <w:rPr>
          <w:rFonts w:cs="Times New Roman"/>
          <w:noProof/>
          <w:lang w:val="en-GB"/>
        </w:rPr>
        <w:t>. Moreover, ISA</w:t>
      </w:r>
      <w:r>
        <w:rPr>
          <w:rFonts w:cs="Times New Roman"/>
          <w:noProof/>
          <w:vertAlign w:val="superscript"/>
          <w:lang w:val="en-GB"/>
        </w:rPr>
        <w:t xml:space="preserve">2 </w:t>
      </w:r>
      <w:r>
        <w:rPr>
          <w:rFonts w:cs="Times New Roman"/>
          <w:noProof/>
          <w:lang w:val="en-GB"/>
        </w:rPr>
        <w:t xml:space="preserve">could better stress the benefits of implementing certain interoperability solutions. To this end, it could run </w:t>
      </w:r>
      <w:r>
        <w:rPr>
          <w:rFonts w:cs="Times New Roman"/>
          <w:b/>
          <w:noProof/>
          <w:lang w:val="en-GB"/>
        </w:rPr>
        <w:t>studies that quantify the impact of interoperability solutions</w:t>
      </w:r>
      <w:r>
        <w:rPr>
          <w:rFonts w:cs="Times New Roman"/>
          <w:noProof/>
          <w:lang w:val="en-GB"/>
        </w:rPr>
        <w:t xml:space="preserve"> on the </w:t>
      </w:r>
      <w:r>
        <w:rPr>
          <w:rFonts w:cs="Times New Roman"/>
          <w:b/>
          <w:noProof/>
          <w:lang w:val="en-GB"/>
        </w:rPr>
        <w:t>efficiency and productivity of public administrations</w:t>
      </w:r>
      <w:r>
        <w:rPr>
          <w:rFonts w:cs="Times New Roman"/>
          <w:noProof/>
          <w:lang w:val="en-GB"/>
        </w:rPr>
        <w:t>. Such studies would improve the conditions for assessing the programme’s effectiveness and could have positive spillover effects on dissemination and communication activities: the monetary benefits deriving from ISA</w:t>
      </w:r>
      <w:r>
        <w:rPr>
          <w:rFonts w:cs="Times New Roman"/>
          <w:noProof/>
          <w:vertAlign w:val="superscript"/>
          <w:lang w:val="en-GB"/>
        </w:rPr>
        <w:t>2</w:t>
      </w:r>
      <w:r>
        <w:rPr>
          <w:rFonts w:cs="Times New Roman"/>
          <w:noProof/>
          <w:lang w:val="en-GB"/>
        </w:rPr>
        <w:t xml:space="preserve"> solutions would be better emphasised, thus providing a better basis for stakeholder support of future EU efforts promoting interoperability. Finally, a</w:t>
      </w:r>
      <w:r>
        <w:rPr>
          <w:rFonts w:cs="Times New Roman"/>
          <w:iCs/>
          <w:noProof/>
          <w:lang w:val="en-GB"/>
        </w:rPr>
        <w:t xml:space="preserve">s noted under section 5.1 </w:t>
      </w:r>
      <w:r>
        <w:rPr>
          <w:rFonts w:cs="Times New Roman"/>
          <w:iCs/>
          <w:noProof/>
        </w:rPr>
        <w:fldChar w:fldCharType="begin"/>
      </w:r>
      <w:r>
        <w:rPr>
          <w:rFonts w:cs="Times New Roman"/>
          <w:iCs/>
          <w:noProof/>
          <w:lang w:val="en-GB"/>
        </w:rPr>
        <w:instrText xml:space="preserve"> REF _Ref9609437 \h  \* MERGEFORMAT </w:instrText>
      </w:r>
      <w:r>
        <w:rPr>
          <w:rFonts w:cs="Times New Roman"/>
          <w:iCs/>
          <w:noProof/>
        </w:rPr>
      </w:r>
      <w:r>
        <w:rPr>
          <w:rFonts w:cs="Times New Roman"/>
          <w:iCs/>
          <w:noProof/>
        </w:rPr>
        <w:fldChar w:fldCharType="separate"/>
      </w:r>
      <w:r>
        <w:rPr>
          <w:rFonts w:cs="Times New Roman"/>
          <w:noProof/>
          <w:lang w:val="en-GB"/>
        </w:rPr>
        <w:t>Relevance</w:t>
      </w:r>
      <w:r>
        <w:rPr>
          <w:rFonts w:cs="Times New Roman"/>
          <w:iCs/>
          <w:noProof/>
        </w:rPr>
        <w:fldChar w:fldCharType="end"/>
      </w:r>
      <w:r>
        <w:rPr>
          <w:rFonts w:cs="Times New Roman"/>
          <w:iCs/>
          <w:noProof/>
          <w:lang w:val="en-GB"/>
        </w:rPr>
        <w:t>, ISA</w:t>
      </w:r>
      <w:r>
        <w:rPr>
          <w:rFonts w:cs="Times New Roman"/>
          <w:iCs/>
          <w:noProof/>
          <w:vertAlign w:val="superscript"/>
          <w:lang w:val="en-GB"/>
        </w:rPr>
        <w:t>2</w:t>
      </w:r>
      <w:r>
        <w:rPr>
          <w:rFonts w:cs="Times New Roman"/>
          <w:iCs/>
          <w:noProof/>
          <w:lang w:val="en-GB"/>
        </w:rPr>
        <w:t xml:space="preserve"> communication activities should better target the sub-national layers of administrations.</w:t>
      </w:r>
    </w:p>
    <w:p>
      <w:pPr>
        <w:pStyle w:val="Heading2"/>
        <w:rPr>
          <w:noProof/>
        </w:rPr>
      </w:pPr>
      <w:bookmarkStart w:id="16" w:name="_Toc14708139"/>
      <w:r>
        <w:rPr>
          <w:noProof/>
        </w:rPr>
        <w:t>Efficiency</w:t>
      </w:r>
      <w:bookmarkEnd w:id="16"/>
    </w:p>
    <w:p>
      <w:pPr>
        <w:pStyle w:val="Heading3"/>
        <w:rPr>
          <w:noProof/>
          <w:lang w:val="en-GB"/>
        </w:rPr>
      </w:pPr>
      <w:r>
        <w:rPr>
          <w:noProof/>
          <w:lang w:val="en-GB"/>
        </w:rPr>
        <w:t>Evaluation framework for ‘efficiency’</w:t>
      </w:r>
    </w:p>
    <w:p>
      <w:pPr>
        <w:jc w:val="both"/>
        <w:rPr>
          <w:rFonts w:cs="Times New Roman"/>
          <w:noProof/>
          <w:lang w:val="en-GB"/>
        </w:rPr>
      </w:pPr>
      <w:r>
        <w:rPr>
          <w:rFonts w:cs="Times New Roman"/>
          <w:noProof/>
          <w:lang w:val="en-GB"/>
        </w:rPr>
        <w:t>Efficiency relates to the extent to which the programme’s objectives are achieved at a minimum cost. This evaluation criterion includes two EQs and one sub-question:</w:t>
      </w:r>
    </w:p>
    <w:p>
      <w:pPr>
        <w:pStyle w:val="ListParagraph"/>
        <w:numPr>
          <w:ilvl w:val="0"/>
          <w:numId w:val="21"/>
        </w:numPr>
        <w:spacing w:after="120" w:line="276" w:lineRule="auto"/>
        <w:ind w:left="850"/>
        <w:contextualSpacing w:val="0"/>
        <w:rPr>
          <w:b/>
          <w:noProof/>
        </w:rPr>
      </w:pPr>
      <w:r>
        <w:rPr>
          <w:b/>
          <w:noProof/>
        </w:rPr>
        <w:t>To what extent has the programme been cost-effective?</w:t>
      </w:r>
    </w:p>
    <w:p>
      <w:pPr>
        <w:pStyle w:val="ListParagraph"/>
        <w:numPr>
          <w:ilvl w:val="0"/>
          <w:numId w:val="21"/>
        </w:numPr>
        <w:spacing w:after="120" w:line="276" w:lineRule="auto"/>
        <w:ind w:left="850"/>
        <w:contextualSpacing w:val="0"/>
        <w:rPr>
          <w:b/>
          <w:noProof/>
        </w:rPr>
      </w:pPr>
      <w:r>
        <w:rPr>
          <w:b/>
          <w:noProof/>
        </w:rPr>
        <w:t>Which aspects of the programme are the most efficient or inefficient, especially in terms of resources mobilised?</w:t>
      </w:r>
    </w:p>
    <w:p>
      <w:pPr>
        <w:ind w:left="1701" w:hanging="850"/>
        <w:jc w:val="both"/>
        <w:rPr>
          <w:rFonts w:cs="Times New Roman"/>
          <w:noProof/>
          <w:lang w:val="en-GB"/>
        </w:rPr>
      </w:pPr>
      <w:r>
        <w:rPr>
          <w:rFonts w:cs="Times New Roman"/>
          <w:noProof/>
          <w:lang w:val="en-GB"/>
        </w:rPr>
        <w:t>EQ5.1:</w:t>
      </w:r>
      <w:r>
        <w:rPr>
          <w:rFonts w:cs="Times New Roman"/>
          <w:noProof/>
          <w:lang w:val="en-GB"/>
        </w:rPr>
        <w:tab/>
        <w:t>How is the programme performing relative to the planned work and budget?</w:t>
      </w:r>
    </w:p>
    <w:p>
      <w:pPr>
        <w:jc w:val="both"/>
        <w:rPr>
          <w:rFonts w:cs="Times New Roman"/>
          <w:noProof/>
          <w:lang w:val="en-GB"/>
        </w:rPr>
      </w:pPr>
      <w:r>
        <w:rPr>
          <w:rFonts w:cs="Times New Roman"/>
          <w:noProof/>
          <w:lang w:val="en-GB"/>
        </w:rPr>
        <w:t>To answer these questions, the evaluation focused on three</w:t>
      </w:r>
      <w:r>
        <w:rPr>
          <w:rFonts w:cs="Times New Roman"/>
          <w:bCs/>
          <w:noProof/>
          <w:lang w:val="en-GB"/>
        </w:rPr>
        <w:t xml:space="preserve"> judgment criteria, relying on data</w:t>
      </w:r>
      <w:r>
        <w:rPr>
          <w:rFonts w:cs="Times New Roman"/>
          <w:noProof/>
          <w:lang w:val="en-GB" w:eastAsia="de-DE"/>
        </w:rPr>
        <w:t xml:space="preserve"> collected from the ISA</w:t>
      </w:r>
      <w:r>
        <w:rPr>
          <w:rFonts w:cs="Times New Roman"/>
          <w:noProof/>
          <w:vertAlign w:val="superscript"/>
          <w:lang w:val="en-GB" w:eastAsia="de-DE"/>
        </w:rPr>
        <w:t>2</w:t>
      </w:r>
      <w:r>
        <w:rPr>
          <w:rFonts w:cs="Times New Roman"/>
          <w:noProof/>
          <w:lang w:val="en-GB" w:eastAsia="de-DE"/>
        </w:rPr>
        <w:t xml:space="preserve"> dashboard, the monitoring and evaluation reports and consultation activities</w:t>
      </w:r>
      <w:r>
        <w:rPr>
          <w:rFonts w:cs="Times New Roman"/>
          <w:noProof/>
          <w:lang w:val="en-GB"/>
        </w:rPr>
        <w:t>:</w:t>
      </w:r>
    </w:p>
    <w:p>
      <w:pPr>
        <w:pStyle w:val="ListParagraph"/>
        <w:numPr>
          <w:ilvl w:val="0"/>
          <w:numId w:val="26"/>
        </w:numPr>
        <w:spacing w:after="120" w:line="259" w:lineRule="auto"/>
        <w:contextualSpacing w:val="0"/>
        <w:rPr>
          <w:noProof/>
        </w:rPr>
      </w:pPr>
      <w:r>
        <w:rPr>
          <w:noProof/>
          <w:lang w:eastAsia="it-IT"/>
        </w:rPr>
        <w:t>Efficiency of the selection process of the actions to be included in the rolling work programme</w:t>
      </w:r>
      <w:r>
        <w:rPr>
          <w:noProof/>
        </w:rPr>
        <w:t>;</w:t>
      </w:r>
    </w:p>
    <w:p>
      <w:pPr>
        <w:pStyle w:val="ListParagraph"/>
        <w:numPr>
          <w:ilvl w:val="0"/>
          <w:numId w:val="26"/>
        </w:numPr>
        <w:spacing w:after="120" w:line="259" w:lineRule="auto"/>
        <w:ind w:left="850" w:hanging="737"/>
        <w:contextualSpacing w:val="0"/>
        <w:rPr>
          <w:noProof/>
        </w:rPr>
      </w:pPr>
      <w:r>
        <w:rPr>
          <w:noProof/>
          <w:lang w:eastAsia="it-IT"/>
        </w:rPr>
        <w:t>Cost-effectiveness analysis to assess the ratio between allocated funds and actual results of the programme</w:t>
      </w:r>
      <w:r>
        <w:rPr>
          <w:noProof/>
        </w:rPr>
        <w:t>; and</w:t>
      </w:r>
    </w:p>
    <w:p>
      <w:pPr>
        <w:pStyle w:val="ListParagraph"/>
        <w:numPr>
          <w:ilvl w:val="0"/>
          <w:numId w:val="26"/>
        </w:numPr>
        <w:spacing w:after="200" w:line="276" w:lineRule="auto"/>
        <w:ind w:left="850" w:hanging="737"/>
        <w:contextualSpacing w:val="0"/>
        <w:rPr>
          <w:noProof/>
        </w:rPr>
      </w:pPr>
      <w:r>
        <w:rPr>
          <w:noProof/>
        </w:rPr>
        <w:t>Earned value management analysis.</w:t>
      </w:r>
    </w:p>
    <w:p>
      <w:pPr>
        <w:pStyle w:val="Heading3"/>
        <w:rPr>
          <w:noProof/>
          <w:lang w:val="en-GB"/>
        </w:rPr>
      </w:pPr>
      <w:r>
        <w:rPr>
          <w:noProof/>
          <w:lang w:val="en-GB"/>
        </w:rPr>
        <w:t>Analysis</w:t>
      </w:r>
    </w:p>
    <w:p>
      <w:pPr>
        <w:jc w:val="both"/>
        <w:rPr>
          <w:rFonts w:cs="Times New Roman"/>
          <w:b/>
          <w:iCs/>
          <w:noProof/>
          <w:u w:val="single"/>
          <w:lang w:val="en-GB"/>
        </w:rPr>
      </w:pPr>
      <w:r>
        <w:rPr>
          <w:rFonts w:cs="Times New Roman"/>
          <w:b/>
          <w:iCs/>
          <w:noProof/>
          <w:u w:val="single"/>
          <w:lang w:val="en-GB"/>
        </w:rPr>
        <w:t>JC1: Efficiency of the action selection process</w:t>
      </w:r>
    </w:p>
    <w:p>
      <w:pPr>
        <w:jc w:val="both"/>
        <w:rPr>
          <w:rFonts w:cs="Times New Roman"/>
          <w:noProof/>
          <w:lang w:val="en-GB"/>
        </w:rPr>
      </w:pPr>
      <w:r>
        <w:rPr>
          <w:rFonts w:cs="Times New Roman"/>
          <w:noProof/>
          <w:lang w:val="en-GB"/>
        </w:rPr>
        <w:t>The ISA</w:t>
      </w:r>
      <w:r>
        <w:rPr>
          <w:rFonts w:cs="Times New Roman"/>
          <w:noProof/>
          <w:vertAlign w:val="superscript"/>
          <w:lang w:val="en-GB"/>
        </w:rPr>
        <w:t>2</w:t>
      </w:r>
      <w:r>
        <w:rPr>
          <w:rFonts w:cs="Times New Roman"/>
          <w:noProof/>
          <w:lang w:val="en-GB"/>
        </w:rPr>
        <w:t xml:space="preserve"> programme is implemented in four phases: i) submission; ii) evaluation; iii) adoption; and iv) implementation (further details are provided in Chapter 3). The process to select ISA</w:t>
      </w:r>
      <w:r>
        <w:rPr>
          <w:rFonts w:cs="Times New Roman"/>
          <w:noProof/>
          <w:vertAlign w:val="superscript"/>
          <w:lang w:val="en-GB"/>
        </w:rPr>
        <w:t>2</w:t>
      </w:r>
      <w:r>
        <w:rPr>
          <w:rFonts w:cs="Times New Roman"/>
          <w:noProof/>
          <w:lang w:val="en-GB"/>
        </w:rPr>
        <w:t xml:space="preserve"> actions includes the first three phases, i.e. submission, evaluation, and adoption. Note that this section does not assess the selection of contractors who will implement the actions, as this process follows the general European public procurement rules.</w:t>
      </w:r>
    </w:p>
    <w:p>
      <w:pPr>
        <w:jc w:val="both"/>
        <w:rPr>
          <w:rFonts w:cs="Times New Roman"/>
          <w:noProof/>
          <w:lang w:val="en-GB"/>
        </w:rPr>
      </w:pPr>
      <w:r>
        <w:rPr>
          <w:rFonts w:cs="Times New Roman"/>
          <w:noProof/>
          <w:lang w:val="en-GB"/>
        </w:rPr>
        <w:t>Several elements of the ‘submission’ phase need to be explained here. First, it is important to note that, in order to prepare and submit a proposal to be included in the ISA</w:t>
      </w:r>
      <w:r>
        <w:rPr>
          <w:rFonts w:cs="Times New Roman"/>
          <w:noProof/>
          <w:vertAlign w:val="superscript"/>
          <w:lang w:val="en-GB"/>
        </w:rPr>
        <w:t>2</w:t>
      </w:r>
      <w:r>
        <w:rPr>
          <w:rFonts w:cs="Times New Roman"/>
          <w:noProof/>
          <w:lang w:val="en-GB"/>
        </w:rPr>
        <w:t xml:space="preserve"> rolling work programme, the applicant must: i) find out about the call for proposals; ii) study the documents of the call for proposals and understand the rules and procedures; iii) prepare a concise description of the proposed action in compliance with the ‘work programme entry template’; iv) collect the required internal authorisations to submit the proposal; and v) submit the proposal by e-mail. Second, it is important to distinguish between two types of proposal, namely proposals for new actions and proposals for continuing actions that have already started. This distinction is relevant when it comes to assessing the overall workload required for submitting a proposal.</w:t>
      </w:r>
    </w:p>
    <w:p>
      <w:pPr>
        <w:jc w:val="both"/>
        <w:rPr>
          <w:rFonts w:cs="Times New Roman"/>
          <w:noProof/>
        </w:rPr>
      </w:pPr>
      <w:r>
        <w:rPr>
          <w:rFonts w:cs="Times New Roman"/>
          <w:noProof/>
          <w:lang w:val="en-GB"/>
        </w:rPr>
        <w:t>The efficiency of</w:t>
      </w:r>
      <w:r>
        <w:rPr>
          <w:rFonts w:cs="Times New Roman"/>
          <w:b/>
          <w:bCs/>
          <w:noProof/>
          <w:lang w:val="en-GB"/>
        </w:rPr>
        <w:t xml:space="preserve"> the action selection process </w:t>
      </w:r>
      <w:r>
        <w:rPr>
          <w:rFonts w:cs="Times New Roman"/>
          <w:bCs/>
          <w:noProof/>
          <w:lang w:val="en-GB"/>
        </w:rPr>
        <w:t>(which includes the submission, evaluation and adoption phases)</w:t>
      </w:r>
      <w:r>
        <w:rPr>
          <w:rFonts w:cs="Times New Roman"/>
          <w:noProof/>
          <w:lang w:val="en-GB"/>
        </w:rPr>
        <w:t xml:space="preserve"> is assessed based on feedback received from programme governance representatives and action owners, as they are the stakeholder groups directly involved in the process. </w:t>
      </w:r>
      <w:r>
        <w:rPr>
          <w:rFonts w:cs="Times New Roman"/>
          <w:b/>
          <w:bCs/>
          <w:noProof/>
          <w:lang w:val="en-GB"/>
        </w:rPr>
        <w:t>Most respondents consider the process fit-for-purpose at least to some extent</w:t>
      </w:r>
      <w:r>
        <w:rPr>
          <w:rFonts w:cs="Times New Roman"/>
          <w:noProof/>
          <w:lang w:val="en-GB"/>
        </w:rPr>
        <w:t>: 16 out of 19 consulted programme governance stakeholders and 21 out of 23 consulted action owners (</w:t>
      </w:r>
      <w:r>
        <w:rPr>
          <w:rFonts w:cs="Times New Roman"/>
          <w:noProof/>
        </w:rPr>
        <w:fldChar w:fldCharType="begin"/>
      </w:r>
      <w:r>
        <w:rPr>
          <w:rFonts w:cs="Times New Roman"/>
          <w:noProof/>
          <w:lang w:val="en-GB"/>
        </w:rPr>
        <w:instrText xml:space="preserve"> REF _Ref9675404 \h  \* MERGEFORMAT </w:instrText>
      </w:r>
      <w:r>
        <w:rPr>
          <w:rFonts w:cs="Times New Roman"/>
          <w:noProof/>
        </w:rPr>
      </w:r>
      <w:r>
        <w:rPr>
          <w:rFonts w:cs="Times New Roman"/>
          <w:noProof/>
        </w:rPr>
        <w:fldChar w:fldCharType="separate"/>
      </w:r>
      <w:r>
        <w:rPr>
          <w:rFonts w:cs="Times New Roman"/>
          <w:noProof/>
          <w:lang w:val="en-GB"/>
        </w:rPr>
        <w:t>Figure 11</w:t>
      </w:r>
      <w:r>
        <w:rPr>
          <w:rFonts w:cs="Times New Roman"/>
          <w:noProof/>
        </w:rPr>
        <w:fldChar w:fldCharType="end"/>
      </w:r>
      <w:r>
        <w:rPr>
          <w:rFonts w:cs="Times New Roman"/>
          <w:noProof/>
          <w:lang w:val="en-GB"/>
        </w:rPr>
        <w:t>). However, 13 out of the</w:t>
      </w:r>
      <w:r>
        <w:rPr>
          <w:rFonts w:cs="Times New Roman"/>
          <w:b/>
          <w:noProof/>
          <w:lang w:val="en-GB"/>
        </w:rPr>
        <w:t xml:space="preserve"> </w:t>
      </w:r>
      <w:r>
        <w:rPr>
          <w:rFonts w:cs="Times New Roman"/>
          <w:noProof/>
          <w:lang w:val="en-GB"/>
        </w:rPr>
        <w:t xml:space="preserve">42 consulted stakeholders indicated that some </w:t>
      </w:r>
      <w:r>
        <w:rPr>
          <w:rFonts w:cs="Times New Roman"/>
          <w:b/>
          <w:bCs/>
          <w:noProof/>
          <w:lang w:val="en-GB"/>
        </w:rPr>
        <w:t>measures could still be taken to further streamline the process</w:t>
      </w:r>
      <w:r>
        <w:rPr>
          <w:rFonts w:cs="Times New Roman"/>
          <w:noProof/>
          <w:lang w:val="en-GB"/>
        </w:rPr>
        <w:t>. The measures mentioned by several stakeholders include:</w:t>
      </w:r>
    </w:p>
    <w:p>
      <w:pPr>
        <w:pStyle w:val="Firstlevellist"/>
        <w:rPr>
          <w:noProof/>
        </w:rPr>
      </w:pPr>
      <w:r>
        <w:rPr>
          <w:b/>
          <w:noProof/>
        </w:rPr>
        <w:t>Simplifying the rolling work programme</w:t>
      </w:r>
      <w:r>
        <w:rPr>
          <w:noProof/>
        </w:rPr>
        <w:t>, which can be done by:</w:t>
      </w:r>
    </w:p>
    <w:p>
      <w:pPr>
        <w:pStyle w:val="Firstlevellist"/>
        <w:numPr>
          <w:ilvl w:val="1"/>
          <w:numId w:val="6"/>
        </w:numPr>
        <w:rPr>
          <w:noProof/>
        </w:rPr>
      </w:pPr>
      <w:r>
        <w:rPr>
          <w:noProof/>
        </w:rPr>
        <w:t>Making the template more flexible to account for action specificities. This would ensure better input of information, which would make the process of drafting the proposals more efficient, and would also make it easier for anyone seeking specific information about ISA</w:t>
      </w:r>
      <w:r>
        <w:rPr>
          <w:noProof/>
          <w:vertAlign w:val="superscript"/>
        </w:rPr>
        <w:t>2</w:t>
      </w:r>
      <w:r>
        <w:rPr>
          <w:noProof/>
        </w:rPr>
        <w:t xml:space="preserve"> actions to read and understand the work programme.</w:t>
      </w:r>
    </w:p>
    <w:p>
      <w:pPr>
        <w:pStyle w:val="Firstlevellist"/>
        <w:numPr>
          <w:ilvl w:val="1"/>
          <w:numId w:val="6"/>
        </w:numPr>
        <w:rPr>
          <w:noProof/>
        </w:rPr>
      </w:pPr>
      <w:r>
        <w:rPr>
          <w:noProof/>
        </w:rPr>
        <w:t xml:space="preserve">Extending the duration of a rolling work programme to cover more than one year, thus allowing for multiannual actions. In principle, actions to be run on a multiannual basis </w:t>
      </w:r>
      <w:r>
        <w:rPr>
          <w:i/>
          <w:noProof/>
        </w:rPr>
        <w:t>can</w:t>
      </w:r>
      <w:r>
        <w:rPr>
          <w:noProof/>
        </w:rPr>
        <w:t xml:space="preserve"> be proposed, but the budget is allocated on an annual basis. Therefore, action owners must submit an updated proposal every year as part of the rolling work programme in order to access funding.</w:t>
      </w:r>
    </w:p>
    <w:p>
      <w:pPr>
        <w:pStyle w:val="Firstlevellist"/>
        <w:numPr>
          <w:ilvl w:val="1"/>
          <w:numId w:val="6"/>
        </w:numPr>
        <w:rPr>
          <w:noProof/>
        </w:rPr>
      </w:pPr>
      <w:r>
        <w:rPr>
          <w:noProof/>
        </w:rPr>
        <w:t>Setting up an electronic data input system rather than full text editing.</w:t>
      </w:r>
    </w:p>
    <w:p>
      <w:pPr>
        <w:pStyle w:val="FirstlevellistLAST"/>
        <w:rPr>
          <w:noProof/>
        </w:rPr>
      </w:pPr>
      <w:r>
        <w:rPr>
          <w:b/>
          <w:noProof/>
        </w:rPr>
        <w:t>Simplifying the overall process by launching thematic calls for actions,</w:t>
      </w:r>
      <w:r>
        <w:rPr>
          <w:noProof/>
        </w:rPr>
        <w:t xml:space="preserve"> thus ensuring that the selection is more objective-driven.</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11</w:t>
      </w:r>
      <w:r>
        <w:rPr>
          <w:rFonts w:cs="Times New Roman"/>
          <w:noProof/>
        </w:rPr>
        <w:fldChar w:fldCharType="end"/>
      </w:r>
      <w:r>
        <w:rPr>
          <w:rFonts w:cs="Times New Roman"/>
          <w:noProof/>
        </w:rPr>
        <w:t>: Extent to which the action selection process is fit-for-purpose (number of respondents by stakeholder category)</w:t>
      </w:r>
    </w:p>
    <w:p>
      <w:pPr>
        <w:pStyle w:val="VISUAL"/>
        <w:rPr>
          <w:rFonts w:cs="Times New Roman"/>
          <w:noProof/>
        </w:rPr>
      </w:pPr>
      <w:r>
        <w:rPr>
          <w:rFonts w:cs="Times New Roman"/>
          <w:noProof/>
          <w:lang w:eastAsia="en-GB"/>
        </w:rPr>
        <w:drawing>
          <wp:inline distT="0" distB="0" distL="0" distR="0">
            <wp:extent cx="4794250" cy="2749550"/>
            <wp:effectExtent l="0" t="0" r="6350" b="0"/>
            <wp:docPr id="140" name="Chart 14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900-000071B83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81"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As regards the </w:t>
      </w:r>
      <w:r>
        <w:rPr>
          <w:rFonts w:cs="Times New Roman"/>
          <w:b/>
          <w:noProof/>
          <w:lang w:val="en-GB"/>
        </w:rPr>
        <w:t>submission phase</w:t>
      </w:r>
      <w:r>
        <w:rPr>
          <w:rFonts w:cs="Times New Roman"/>
          <w:noProof/>
          <w:lang w:val="en-GB"/>
        </w:rPr>
        <w:t xml:space="preserve"> of the selection process, 26 out of the 42 consulted action owners and programme governance representatives indicated that they had prepared and submitted proposals. Out of these 26 respondents, 21 also specified the amount of time they spent on preparing the proposal. The answers provided vary between 1 to 30 person-days, with the average being 9 person-days. The large variation can be primarily explained by the differences in the efforts required to submit a proposal for a new action versus the amount of effort required to renew a proposal for an existing action.</w:t>
      </w:r>
    </w:p>
    <w:p>
      <w:pPr>
        <w:jc w:val="both"/>
        <w:rPr>
          <w:rFonts w:cs="Times New Roman"/>
          <w:noProof/>
          <w:lang w:val="en-GB"/>
        </w:rPr>
      </w:pPr>
      <w:r>
        <w:rPr>
          <w:rFonts w:cs="Times New Roman"/>
          <w:noProof/>
          <w:lang w:val="en-GB"/>
        </w:rPr>
        <w:t xml:space="preserve">As regards the time needed for submission, </w:t>
      </w:r>
      <w:r>
        <w:rPr>
          <w:rFonts w:cs="Times New Roman"/>
          <w:noProof/>
        </w:rPr>
        <w:fldChar w:fldCharType="begin"/>
      </w:r>
      <w:r>
        <w:rPr>
          <w:rFonts w:cs="Times New Roman"/>
          <w:noProof/>
          <w:lang w:val="en-GB"/>
        </w:rPr>
        <w:instrText xml:space="preserve"> REF _Ref9675447 \h  \* MERGEFORMAT </w:instrText>
      </w:r>
      <w:r>
        <w:rPr>
          <w:rFonts w:cs="Times New Roman"/>
          <w:noProof/>
        </w:rPr>
      </w:r>
      <w:r>
        <w:rPr>
          <w:rFonts w:cs="Times New Roman"/>
          <w:noProof/>
        </w:rPr>
        <w:fldChar w:fldCharType="separate"/>
      </w:r>
      <w:r>
        <w:rPr>
          <w:rFonts w:cs="Times New Roman"/>
          <w:noProof/>
          <w:lang w:val="en-GB"/>
        </w:rPr>
        <w:t>Figure 12</w:t>
      </w:r>
      <w:r>
        <w:rPr>
          <w:rFonts w:cs="Times New Roman"/>
          <w:noProof/>
        </w:rPr>
        <w:fldChar w:fldCharType="end"/>
      </w:r>
      <w:r>
        <w:rPr>
          <w:rFonts w:cs="Times New Roman"/>
          <w:noProof/>
          <w:lang w:val="en-GB"/>
        </w:rPr>
        <w:t xml:space="preserve"> shows a clear </w:t>
      </w:r>
      <w:r>
        <w:rPr>
          <w:rFonts w:cs="Times New Roman"/>
          <w:b/>
          <w:bCs/>
          <w:noProof/>
          <w:lang w:val="en-GB"/>
        </w:rPr>
        <w:t>concentration of answers</w:t>
      </w:r>
      <w:r>
        <w:rPr>
          <w:rFonts w:cs="Times New Roman"/>
          <w:noProof/>
          <w:lang w:val="en-GB"/>
        </w:rPr>
        <w:t xml:space="preserve">: 14 of the respondents indicated that they finalised their proposal in 1 to 6 person-days. However, four respondents indicated that 20 or more person-days were needed. This distribution of answers and the qualitative inputs provided by some of the respondents during the consultation activities makes it possible to </w:t>
      </w:r>
      <w:r>
        <w:rPr>
          <w:rFonts w:cs="Times New Roman"/>
          <w:b/>
          <w:bCs/>
          <w:noProof/>
          <w:lang w:val="en-GB"/>
        </w:rPr>
        <w:t>differentiate between preparing a renewed proposal and a brand-new proposal</w:t>
      </w:r>
      <w:r>
        <w:rPr>
          <w:rFonts w:cs="Times New Roman"/>
          <w:noProof/>
          <w:lang w:val="en-GB"/>
        </w:rPr>
        <w:t xml:space="preserve">. Renewing a proposal for an action that has already been included in a previous rolling work programme tends to require between </w:t>
      </w:r>
      <w:r>
        <w:rPr>
          <w:rFonts w:cs="Times New Roman"/>
          <w:b/>
          <w:bCs/>
          <w:noProof/>
          <w:lang w:val="en-GB"/>
        </w:rPr>
        <w:t>1 and 6 person-days at most</w:t>
      </w:r>
      <w:r>
        <w:rPr>
          <w:rFonts w:cs="Times New Roman"/>
          <w:noProof/>
          <w:lang w:val="en-GB"/>
        </w:rPr>
        <w:t xml:space="preserve">, while </w:t>
      </w:r>
      <w:r>
        <w:rPr>
          <w:rFonts w:cs="Times New Roman"/>
          <w:b/>
          <w:bCs/>
          <w:noProof/>
          <w:lang w:val="en-GB"/>
        </w:rPr>
        <w:t>preparing a new proposal</w:t>
      </w:r>
      <w:r>
        <w:rPr>
          <w:rFonts w:cs="Times New Roman"/>
          <w:noProof/>
          <w:lang w:val="en-GB"/>
        </w:rPr>
        <w:t xml:space="preserve"> takes significantly longer, </w:t>
      </w:r>
      <w:r>
        <w:rPr>
          <w:rFonts w:cs="Times New Roman"/>
          <w:b/>
          <w:bCs/>
          <w:noProof/>
          <w:lang w:val="en-GB"/>
        </w:rPr>
        <w:t>between 10 and 30 person-days</w:t>
      </w:r>
      <w:r>
        <w:rPr>
          <w:rFonts w:cs="Times New Roman"/>
          <w:noProof/>
          <w:lang w:val="en-GB"/>
        </w:rPr>
        <w:t xml:space="preserve">. In most cases, stakeholders prepare the proposals themselves, </w:t>
      </w:r>
      <w:r>
        <w:rPr>
          <w:rFonts w:cs="Times New Roman"/>
          <w:b/>
          <w:bCs/>
          <w:noProof/>
          <w:lang w:val="en-GB"/>
        </w:rPr>
        <w:t>without relying on external contractors</w:t>
      </w:r>
      <w:r>
        <w:rPr>
          <w:rFonts w:cs="Times New Roman"/>
          <w:noProof/>
          <w:lang w:val="en-GB"/>
        </w:rPr>
        <w:t>.</w:t>
      </w:r>
    </w:p>
    <w:p>
      <w:pPr>
        <w:jc w:val="both"/>
        <w:rPr>
          <w:rFonts w:cs="Times New Roman"/>
          <w:noProof/>
          <w:lang w:val="en-GB"/>
        </w:rPr>
      </w:pPr>
      <w:r>
        <w:rPr>
          <w:rFonts w:cs="Times New Roman"/>
          <w:noProof/>
          <w:lang w:val="en-GB"/>
        </w:rPr>
        <w:t xml:space="preserve">Additional time is also required to </w:t>
      </w:r>
      <w:r>
        <w:rPr>
          <w:rFonts w:cs="Times New Roman"/>
          <w:b/>
          <w:bCs/>
          <w:noProof/>
          <w:lang w:val="en-GB"/>
        </w:rPr>
        <w:t xml:space="preserve">merge similar proposals, </w:t>
      </w:r>
      <w:r>
        <w:rPr>
          <w:rFonts w:cs="Times New Roman"/>
          <w:noProof/>
          <w:lang w:val="en-GB"/>
        </w:rPr>
        <w:t>upon request by the Commission team in charge of shortlisting the proposals to be funded.</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12</w:t>
      </w:r>
      <w:r>
        <w:rPr>
          <w:rFonts w:cs="Times New Roman"/>
          <w:noProof/>
        </w:rPr>
        <w:fldChar w:fldCharType="end"/>
      </w:r>
      <w:r>
        <w:rPr>
          <w:rFonts w:cs="Times New Roman"/>
          <w:noProof/>
        </w:rPr>
        <w:t>: Distribution of the number of days needed to prepare and submit a proposal for an ISA</w:t>
      </w:r>
      <w:r>
        <w:rPr>
          <w:rFonts w:cs="Times New Roman"/>
          <w:noProof/>
          <w:vertAlign w:val="superscript"/>
        </w:rPr>
        <w:t>2</w:t>
      </w:r>
      <w:r>
        <w:rPr>
          <w:rFonts w:cs="Times New Roman"/>
          <w:noProof/>
        </w:rPr>
        <w:t xml:space="preserve"> action (number of respondents)</w:t>
      </w:r>
    </w:p>
    <w:p>
      <w:pPr>
        <w:pStyle w:val="VISUAL"/>
        <w:rPr>
          <w:rFonts w:cs="Times New Roman"/>
          <w:noProof/>
        </w:rPr>
      </w:pPr>
      <w:r>
        <w:rPr>
          <w:rFonts w:cs="Times New Roman"/>
          <w:noProof/>
          <w:lang w:eastAsia="en-GB"/>
        </w:rPr>
        <w:drawing>
          <wp:inline distT="0" distB="0" distL="0" distR="0">
            <wp:extent cx="5760720" cy="2953385"/>
            <wp:effectExtent l="0" t="0" r="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Notes"/>
        <w:rPr>
          <w:rFonts w:cs="Times New Roman"/>
          <w:noProof/>
        </w:rPr>
      </w:pPr>
      <w:r>
        <w:rPr>
          <w:rFonts w:cs="Times New Roman"/>
          <w:noProof/>
        </w:rPr>
        <w:t>Note: The histogram was constructed using a bin size of 2 days, which grouped the answers of respondents in intervals of 2 days. This bin size was deemed most appropriate after reviewing the answers provided.</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83"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The time spent to prepare and submit a proposal for an action to be included in the rolling work programme, whether it is a new or a renewed proposal, can be used to measure regulatory costs by applying the </w:t>
      </w:r>
      <w:r>
        <w:rPr>
          <w:rFonts w:cs="Times New Roman"/>
          <w:b/>
          <w:bCs/>
          <w:noProof/>
          <w:lang w:val="en-GB"/>
        </w:rPr>
        <w:t>standard cost model</w:t>
      </w:r>
      <w:r>
        <w:rPr>
          <w:rStyle w:val="FootnoteReference"/>
          <w:noProof/>
        </w:rPr>
        <w:footnoteReference w:id="47"/>
      </w:r>
      <w:r>
        <w:rPr>
          <w:rFonts w:cs="Times New Roman"/>
          <w:noProof/>
          <w:lang w:val="en-GB"/>
        </w:rPr>
        <w:t>, presented in the Better Regulation Toolbox</w:t>
      </w:r>
      <w:r>
        <w:rPr>
          <w:rStyle w:val="FootnoteReference"/>
          <w:noProof/>
        </w:rPr>
        <w:footnoteReference w:id="48"/>
      </w:r>
      <w:r>
        <w:rPr>
          <w:rFonts w:cs="Times New Roman"/>
          <w:noProof/>
          <w:lang w:val="en-GB"/>
        </w:rPr>
        <w:t>. First, person-days are converted into person-hours by assuming that each person-day corresponds to eight hours</w:t>
      </w:r>
      <w:r>
        <w:rPr>
          <w:rStyle w:val="FootnoteReference"/>
          <w:noProof/>
        </w:rPr>
        <w:footnoteReference w:id="49"/>
      </w:r>
      <w:r>
        <w:rPr>
          <w:rFonts w:cs="Times New Roman"/>
          <w:noProof/>
          <w:lang w:val="en-GB"/>
        </w:rPr>
        <w:t xml:space="preserve">. Then, the overall number of hours is multiplied by a standard tariff, i.e. the 2017 hourly labour cost for the service sector at the Member State level (see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_Ref9675970 \h  \* MERGEFORMAT </w:instrText>
      </w:r>
      <w:r>
        <w:rPr>
          <w:rFonts w:cs="Times New Roman"/>
          <w:noProof/>
        </w:rPr>
      </w:r>
      <w:r>
        <w:rPr>
          <w:rFonts w:cs="Times New Roman"/>
          <w:noProof/>
        </w:rPr>
        <w:fldChar w:fldCharType="separate"/>
      </w:r>
      <w:r>
        <w:rPr>
          <w:rFonts w:cs="Times New Roman"/>
          <w:noProof/>
          <w:lang w:val="en-GB"/>
        </w:rPr>
        <w:t>Table 22</w:t>
      </w:r>
      <w:r>
        <w:rPr>
          <w:rFonts w:cs="Times New Roman"/>
          <w:noProof/>
        </w:rPr>
        <w:fldChar w:fldCharType="end"/>
      </w:r>
      <w:r>
        <w:rPr>
          <w:rFonts w:cs="Times New Roman"/>
          <w:noProof/>
          <w:lang w:val="en-GB"/>
        </w:rPr>
        <w:t>)</w:t>
      </w:r>
      <w:r>
        <w:rPr>
          <w:rStyle w:val="FootnoteReference"/>
          <w:noProof/>
        </w:rPr>
        <w:footnoteReference w:id="50"/>
      </w:r>
      <w:r>
        <w:rPr>
          <w:rFonts w:cs="Times New Roman"/>
          <w:noProof/>
          <w:lang w:val="en-GB"/>
        </w:rPr>
        <w:t>.</w:t>
      </w:r>
    </w:p>
    <w:p>
      <w:pPr>
        <w:jc w:val="both"/>
        <w:rPr>
          <w:rFonts w:cs="Times New Roman"/>
          <w:noProof/>
          <w:lang w:val="en-GB"/>
        </w:rPr>
      </w:pPr>
      <w:r>
        <w:rPr>
          <w:rFonts w:cs="Times New Roman"/>
          <w:noProof/>
          <w:lang w:val="en-GB"/>
        </w:rPr>
        <w:t xml:space="preserve">Two respondents indicated that they relied on </w:t>
      </w:r>
      <w:r>
        <w:rPr>
          <w:rFonts w:cs="Times New Roman"/>
          <w:b/>
          <w:bCs/>
          <w:noProof/>
          <w:lang w:val="en-GB"/>
        </w:rPr>
        <w:t>external service providers</w:t>
      </w:r>
      <w:r>
        <w:rPr>
          <w:rFonts w:cs="Times New Roman"/>
          <w:noProof/>
          <w:lang w:val="en-GB"/>
        </w:rPr>
        <w:t xml:space="preserve"> to prepare the proposal. In this case, regulatory costs would also include out-of-pocket expenses incurred for such services. </w:t>
      </w:r>
      <w:r>
        <w:rPr>
          <w:rFonts w:cs="Times New Roman"/>
          <w:noProof/>
        </w:rPr>
        <w:fldChar w:fldCharType="begin"/>
      </w:r>
      <w:r>
        <w:rPr>
          <w:rFonts w:cs="Times New Roman"/>
          <w:noProof/>
          <w:lang w:val="en-GB"/>
        </w:rPr>
        <w:instrText xml:space="preserve"> REF _Ref9686590 \h  \* MERGEFORMAT </w:instrText>
      </w:r>
      <w:r>
        <w:rPr>
          <w:rFonts w:cs="Times New Roman"/>
          <w:noProof/>
        </w:rPr>
      </w:r>
      <w:r>
        <w:rPr>
          <w:rFonts w:cs="Times New Roman"/>
          <w:noProof/>
        </w:rPr>
        <w:fldChar w:fldCharType="separate"/>
      </w:r>
      <w:r>
        <w:rPr>
          <w:rFonts w:cs="Times New Roman"/>
          <w:noProof/>
          <w:lang w:val="en-GB"/>
        </w:rPr>
        <w:t>Table 3</w:t>
      </w:r>
      <w:r>
        <w:rPr>
          <w:rFonts w:cs="Times New Roman"/>
          <w:noProof/>
        </w:rPr>
        <w:fldChar w:fldCharType="end"/>
      </w:r>
      <w:r>
        <w:rPr>
          <w:rFonts w:cs="Times New Roman"/>
          <w:noProof/>
          <w:lang w:val="en-GB"/>
        </w:rPr>
        <w:t xml:space="preserve"> presents the average regulatory costs both taking into account the fees related to external service providers and without accounting for these additional fees. The average respondent faced regulatory costs of approximately €1 077 for renewing a proposal and €5 651 for preparing a new proposal, without accounting for fees incurred when relying on external service providers. Considering the two instances when external service providers were used in the preparation of proposals, the average regulatory cost for a renewed proposal amounted to €1 138 and for a new proposal the average regulatory cost was €6 590. At the same time, the average funding allocated to an ISA</w:t>
      </w:r>
      <w:r>
        <w:rPr>
          <w:rFonts w:cs="Times New Roman"/>
          <w:noProof/>
          <w:vertAlign w:val="superscript"/>
          <w:lang w:val="en-GB"/>
        </w:rPr>
        <w:t>2</w:t>
      </w:r>
      <w:r>
        <w:rPr>
          <w:rFonts w:cs="Times New Roman"/>
          <w:noProof/>
          <w:lang w:val="en-GB"/>
        </w:rPr>
        <w:t xml:space="preserve"> action between 2016 and 2018 amounted to €1 217,566</w:t>
      </w:r>
      <w:r>
        <w:rPr>
          <w:rStyle w:val="FootnoteReference"/>
          <w:noProof/>
        </w:rPr>
        <w:footnoteReference w:id="51"/>
      </w:r>
      <w:r>
        <w:rPr>
          <w:rFonts w:cs="Times New Roman"/>
          <w:noProof/>
          <w:lang w:val="en-GB"/>
        </w:rPr>
        <w:t xml:space="preserve">. </w:t>
      </w:r>
      <w:r>
        <w:rPr>
          <w:rFonts w:cs="Times New Roman"/>
          <w:b/>
          <w:bCs/>
          <w:noProof/>
          <w:lang w:val="en-GB"/>
        </w:rPr>
        <w:t>The costs incurred to prepare a proposal are thus very small, ranging between 0.09 % and 0.5 % of the potential funding that could be allocated to the proposal once accepted</w:t>
      </w:r>
      <w:r>
        <w:rPr>
          <w:rFonts w:cs="Times New Roman"/>
          <w:noProof/>
          <w:lang w:val="en-GB"/>
        </w:rPr>
        <w:t>.</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3</w:t>
      </w:r>
      <w:r>
        <w:rPr>
          <w:rFonts w:cs="Times New Roman"/>
          <w:noProof/>
        </w:rPr>
        <w:fldChar w:fldCharType="end"/>
      </w:r>
      <w:r>
        <w:rPr>
          <w:rFonts w:cs="Times New Roman"/>
          <w:noProof/>
        </w:rPr>
        <w:t>: Average regulatory costs incurred by respondents who prepared and submitted proposals for ISA</w:t>
      </w:r>
      <w:r>
        <w:rPr>
          <w:rFonts w:cs="Times New Roman"/>
          <w:noProof/>
          <w:vertAlign w:val="superscript"/>
        </w:rPr>
        <w:t>2</w:t>
      </w:r>
      <w:r>
        <w:rPr>
          <w:rFonts w:cs="Times New Roman"/>
          <w:noProof/>
        </w:rPr>
        <w:t xml:space="preserve"> actions</w:t>
      </w:r>
    </w:p>
    <w:tbl>
      <w:tblPr>
        <w:tblStyle w:val="GridTable5Dark-Accent11"/>
        <w:tblW w:w="4889" w:type="pct"/>
        <w:tblLook w:val="04A0" w:firstRow="1" w:lastRow="0" w:firstColumn="1" w:lastColumn="0" w:noHBand="0" w:noVBand="1"/>
      </w:tblPr>
      <w:tblGrid>
        <w:gridCol w:w="1583"/>
        <w:gridCol w:w="2211"/>
        <w:gridCol w:w="2268"/>
        <w:gridCol w:w="2576"/>
      </w:tblGrid>
      <w:tr>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 w:type="pct"/>
            <w:vAlign w:val="center"/>
          </w:tcPr>
          <w:p>
            <w:pPr>
              <w:spacing w:before="20" w:after="20"/>
              <w:jc w:val="center"/>
              <w:rPr>
                <w:rFonts w:eastAsiaTheme="minorHAnsi"/>
                <w:noProof/>
                <w:sz w:val="22"/>
              </w:rPr>
            </w:pPr>
          </w:p>
        </w:tc>
        <w:tc>
          <w:tcPr>
            <w:tcW w:w="1280" w:type="pct"/>
            <w:vAlign w:val="center"/>
          </w:tcPr>
          <w:p>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Average regulatory cost, including external services (€)</w:t>
            </w:r>
          </w:p>
        </w:tc>
        <w:tc>
          <w:tcPr>
            <w:tcW w:w="1313" w:type="pct"/>
            <w:vAlign w:val="center"/>
          </w:tcPr>
          <w:p>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Average regulatory cost without external services (€)</w:t>
            </w:r>
          </w:p>
        </w:tc>
        <w:tc>
          <w:tcPr>
            <w:tcW w:w="1491" w:type="pct"/>
            <w:vAlign w:val="center"/>
          </w:tcPr>
          <w:p>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Average funding allocated per action (€)</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 w:type="pct"/>
            <w:vAlign w:val="center"/>
          </w:tcPr>
          <w:p>
            <w:pPr>
              <w:spacing w:before="20" w:after="20"/>
              <w:rPr>
                <w:rFonts w:eastAsiaTheme="minorHAnsi"/>
                <w:noProof/>
                <w:sz w:val="22"/>
              </w:rPr>
            </w:pPr>
            <w:r>
              <w:rPr>
                <w:rFonts w:eastAsiaTheme="minorHAnsi"/>
                <w:noProof/>
                <w:sz w:val="22"/>
              </w:rPr>
              <w:t>Renewed proposal</w:t>
            </w:r>
          </w:p>
        </w:tc>
        <w:tc>
          <w:tcPr>
            <w:tcW w:w="1280" w:type="pct"/>
            <w:vAlign w:val="center"/>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1 138</w:t>
            </w:r>
          </w:p>
        </w:tc>
        <w:tc>
          <w:tcPr>
            <w:tcW w:w="1313" w:type="pct"/>
            <w:vAlign w:val="center"/>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1 077</w:t>
            </w:r>
          </w:p>
        </w:tc>
        <w:tc>
          <w:tcPr>
            <w:tcW w:w="1491" w:type="pct"/>
            <w:vMerge w:val="restart"/>
            <w:vAlign w:val="center"/>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1 217,566</w:t>
            </w:r>
          </w:p>
        </w:tc>
      </w:tr>
      <w:tr>
        <w:trPr>
          <w:trHeight w:val="20"/>
        </w:trPr>
        <w:tc>
          <w:tcPr>
            <w:cnfStyle w:val="001000000000" w:firstRow="0" w:lastRow="0" w:firstColumn="1" w:lastColumn="0" w:oddVBand="0" w:evenVBand="0" w:oddHBand="0" w:evenHBand="0" w:firstRowFirstColumn="0" w:firstRowLastColumn="0" w:lastRowFirstColumn="0" w:lastRowLastColumn="0"/>
            <w:tcW w:w="916" w:type="pct"/>
            <w:vAlign w:val="center"/>
          </w:tcPr>
          <w:p>
            <w:pPr>
              <w:spacing w:before="20" w:after="20"/>
              <w:rPr>
                <w:rFonts w:eastAsiaTheme="minorHAnsi"/>
                <w:noProof/>
                <w:sz w:val="22"/>
              </w:rPr>
            </w:pPr>
            <w:r>
              <w:rPr>
                <w:rFonts w:eastAsiaTheme="minorHAnsi"/>
                <w:noProof/>
                <w:sz w:val="22"/>
              </w:rPr>
              <w:t>New proposal</w:t>
            </w:r>
          </w:p>
        </w:tc>
        <w:tc>
          <w:tcPr>
            <w:tcW w:w="1280" w:type="pct"/>
            <w:vAlign w:val="center"/>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6 590</w:t>
            </w:r>
          </w:p>
        </w:tc>
        <w:tc>
          <w:tcPr>
            <w:tcW w:w="1313" w:type="pct"/>
            <w:vAlign w:val="center"/>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5 651</w:t>
            </w:r>
          </w:p>
        </w:tc>
        <w:tc>
          <w:tcPr>
            <w:tcW w:w="1491" w:type="pct"/>
            <w:vMerge/>
            <w:vAlign w:val="center"/>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rPr>
            </w:pPr>
          </w:p>
        </w:tc>
      </w:tr>
    </w:tbl>
    <w:p>
      <w:pPr>
        <w:pStyle w:val="Notes"/>
        <w:rPr>
          <w:rFonts w:cs="Times New Roman"/>
          <w:noProof/>
        </w:rPr>
      </w:pPr>
      <w:r>
        <w:rPr>
          <w:rFonts w:cs="Times New Roman"/>
          <w:noProof/>
        </w:rPr>
        <w:t>Note: The calculations are based on a sample of 21 respondents who specified the time spent on preparing proposals.</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84"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One respondent mentioned that the reason they relied on external service providers in this process was </w:t>
      </w:r>
      <w:r>
        <w:rPr>
          <w:rFonts w:cs="Times New Roman"/>
          <w:b/>
          <w:bCs/>
          <w:noProof/>
          <w:lang w:val="en-GB"/>
        </w:rPr>
        <w:t>the need to tailor the proposal to the requirements of the rolling work programme template</w:t>
      </w:r>
      <w:r>
        <w:rPr>
          <w:rFonts w:cs="Times New Roman"/>
          <w:noProof/>
          <w:lang w:val="en-GB"/>
        </w:rPr>
        <w:t>. As such, one potential cost-reduction method could be the simplification of the rolling work programme template, thus further corroborating the measures proposed to streamline the action selection process.</w:t>
      </w:r>
    </w:p>
    <w:p>
      <w:pPr>
        <w:jc w:val="both"/>
        <w:rPr>
          <w:rFonts w:cs="Times New Roman"/>
          <w:b/>
          <w:iCs/>
          <w:noProof/>
          <w:u w:val="single"/>
          <w:lang w:val="en-GB"/>
        </w:rPr>
      </w:pPr>
      <w:r>
        <w:rPr>
          <w:rFonts w:cs="Times New Roman"/>
          <w:b/>
          <w:iCs/>
          <w:noProof/>
          <w:u w:val="single"/>
          <w:lang w:val="en-GB"/>
        </w:rPr>
        <w:t>JC2: Cost-effectiveness analysis</w:t>
      </w:r>
    </w:p>
    <w:p>
      <w:pPr>
        <w:jc w:val="both"/>
        <w:rPr>
          <w:rFonts w:cs="Times New Roman"/>
          <w:noProof/>
          <w:lang w:val="en-GB"/>
        </w:rPr>
      </w:pPr>
      <w:r>
        <w:rPr>
          <w:rFonts w:cs="Times New Roman"/>
          <w:noProof/>
          <w:lang w:val="en-GB"/>
        </w:rPr>
        <w:t>Based on the performance indicators discussed in section 5.2 on effectiveness and on data related to the actual costs of actions, a cost-effectiveness analysis</w:t>
      </w:r>
      <w:r>
        <w:rPr>
          <w:rStyle w:val="FootnoteReference"/>
          <w:noProof/>
        </w:rPr>
        <w:footnoteReference w:id="52"/>
      </w:r>
      <w:r>
        <w:rPr>
          <w:rFonts w:cs="Times New Roman"/>
          <w:noProof/>
          <w:lang w:val="en-GB"/>
        </w:rPr>
        <w:t xml:space="preserve"> could be performed. However, it is important to note the </w:t>
      </w:r>
      <w:r>
        <w:rPr>
          <w:rFonts w:cs="Times New Roman"/>
          <w:b/>
          <w:bCs/>
          <w:noProof/>
          <w:lang w:val="en-GB"/>
        </w:rPr>
        <w:t>limitations of this method</w:t>
      </w:r>
      <w:r>
        <w:rPr>
          <w:rFonts w:cs="Times New Roman"/>
          <w:noProof/>
          <w:lang w:val="en-GB"/>
        </w:rPr>
        <w:t>. First, the heterogeneity of performance indicators makes it difficult to draw conclusions about the programme’s overall cost-effectiveness (</w:t>
      </w:r>
      <w:r>
        <w:rPr>
          <w:rFonts w:cs="Times New Roman"/>
          <w:noProof/>
        </w:rPr>
        <w:fldChar w:fldCharType="begin"/>
      </w:r>
      <w:r>
        <w:rPr>
          <w:rFonts w:cs="Times New Roman"/>
          <w:noProof/>
          <w:lang w:val="en-GB"/>
        </w:rPr>
        <w:instrText xml:space="preserve"> REF _Ref9691206 \h  \* MERGEFORMAT </w:instrText>
      </w:r>
      <w:r>
        <w:rPr>
          <w:rFonts w:cs="Times New Roman"/>
          <w:noProof/>
        </w:rPr>
      </w:r>
      <w:r>
        <w:rPr>
          <w:rFonts w:cs="Times New Roman"/>
          <w:noProof/>
        </w:rPr>
        <w:fldChar w:fldCharType="separate"/>
      </w:r>
      <w:r>
        <w:rPr>
          <w:rFonts w:cs="Times New Roman"/>
          <w:noProof/>
          <w:lang w:val="en-GB"/>
        </w:rPr>
        <w:t>Box 5</w:t>
      </w:r>
      <w:r>
        <w:rPr>
          <w:rFonts w:cs="Times New Roman"/>
          <w:noProof/>
        </w:rPr>
        <w:fldChar w:fldCharType="end"/>
      </w:r>
      <w:r>
        <w:rPr>
          <w:rFonts w:cs="Times New Roman"/>
          <w:noProof/>
          <w:lang w:val="en-GB"/>
        </w:rPr>
        <w:t xml:space="preserve"> shows the variety of ISA</w:t>
      </w:r>
      <w:r>
        <w:rPr>
          <w:rFonts w:cs="Times New Roman"/>
          <w:noProof/>
          <w:vertAlign w:val="superscript"/>
          <w:lang w:val="en-GB"/>
        </w:rPr>
        <w:t>2</w:t>
      </w:r>
      <w:r>
        <w:rPr>
          <w:rFonts w:cs="Times New Roman"/>
          <w:noProof/>
          <w:lang w:val="en-GB"/>
        </w:rPr>
        <w:t xml:space="preserve"> performance indicators). Consequently, computing an aggregate value that is representative of the programme or action packages is quite difficult. Second, such data are only partially available, as some ISA</w:t>
      </w:r>
      <w:r>
        <w:rPr>
          <w:rFonts w:cs="Times New Roman"/>
          <w:noProof/>
          <w:vertAlign w:val="superscript"/>
          <w:lang w:val="en-GB"/>
        </w:rPr>
        <w:t>2</w:t>
      </w:r>
      <w:r>
        <w:rPr>
          <w:rFonts w:cs="Times New Roman"/>
          <w:noProof/>
          <w:lang w:val="en-GB"/>
        </w:rPr>
        <w:t xml:space="preserve"> solutions are still under development. In addition, as concluded in section 5.2, it is expected that the values of the performance indicators will improve over time, as solutions tend to require longer periods to fully show their results. Third, data on effectiveness are not yet available for a limited number of solutions developed so far.</w:t>
      </w:r>
    </w:p>
    <w:p>
      <w:pPr>
        <w:jc w:val="both"/>
        <w:rPr>
          <w:rFonts w:cs="Times New Roman"/>
          <w:noProof/>
          <w:lang w:val="en-GB"/>
        </w:rPr>
      </w:pPr>
      <w:r>
        <w:rPr>
          <w:rFonts w:cs="Times New Roman"/>
          <w:noProof/>
          <w:lang w:val="en-GB"/>
        </w:rPr>
        <w:t>Against this background, the cost-effectiveness analysis can be exemplified by using some of the ISA</w:t>
      </w:r>
      <w:r>
        <w:rPr>
          <w:rFonts w:cs="Times New Roman"/>
          <w:noProof/>
          <w:vertAlign w:val="superscript"/>
          <w:lang w:val="en-GB"/>
        </w:rPr>
        <w:t>2</w:t>
      </w:r>
      <w:r>
        <w:rPr>
          <w:rFonts w:cs="Times New Roman"/>
          <w:noProof/>
          <w:lang w:val="en-GB"/>
        </w:rPr>
        <w:t xml:space="preserve"> packages that rely on similar performance indicators. Two packages fit this profile: ‘Key and generic interoperability enablers’ and ‘eProcurement / eInvoicing — supporting instruments’. The sampled actions included in both packages use the number of public administrations (at EU, national and regional levels) that use the solutions generated by the actions as a performance indicator. </w:t>
      </w:r>
      <w:r>
        <w:rPr>
          <w:rFonts w:cs="Times New Roman"/>
          <w:noProof/>
        </w:rPr>
        <w:fldChar w:fldCharType="begin"/>
      </w:r>
      <w:r>
        <w:rPr>
          <w:rFonts w:cs="Times New Roman"/>
          <w:noProof/>
          <w:lang w:val="en-GB"/>
        </w:rPr>
        <w:instrText xml:space="preserve"> REF _Ref9690327 \h  \* MERGEFORMAT </w:instrText>
      </w:r>
      <w:r>
        <w:rPr>
          <w:rFonts w:cs="Times New Roman"/>
          <w:noProof/>
        </w:rPr>
      </w:r>
      <w:r>
        <w:rPr>
          <w:rFonts w:cs="Times New Roman"/>
          <w:noProof/>
        </w:rPr>
        <w:fldChar w:fldCharType="separate"/>
      </w:r>
      <w:r>
        <w:rPr>
          <w:rFonts w:cs="Times New Roman"/>
          <w:noProof/>
          <w:lang w:val="en-GB"/>
        </w:rPr>
        <w:t>Table 4</w:t>
      </w:r>
      <w:r>
        <w:rPr>
          <w:rFonts w:cs="Times New Roman"/>
          <w:noProof/>
        </w:rPr>
        <w:fldChar w:fldCharType="end"/>
      </w:r>
      <w:r>
        <w:rPr>
          <w:rFonts w:cs="Times New Roman"/>
          <w:noProof/>
          <w:lang w:val="en-GB"/>
        </w:rPr>
        <w:t xml:space="preserve"> presents the estimated average cost per solution user based on the available data on the number of solution users (public administrations) and the actual costs of the action between 2016 and Q3 2018. For the ‘Key and generic interoperability enablers’ package, the average actual cost</w:t>
      </w:r>
      <w:r>
        <w:rPr>
          <w:rStyle w:val="FootnoteReference"/>
          <w:noProof/>
        </w:rPr>
        <w:footnoteReference w:id="53"/>
      </w:r>
      <w:r>
        <w:rPr>
          <w:rFonts w:cs="Times New Roman"/>
          <w:noProof/>
          <w:lang w:val="en-GB"/>
        </w:rPr>
        <w:t xml:space="preserve"> per public administration using the solutions that are part of this package amounts to €19 420. For the ‘eProcurement / eInvoicing — supporting instruments’ package, the average actual cost amounts to €25 870. Note that these average costs are calculated per public administration using the solution rather than per single end-user. Each administration serves millions of end-users (citizens/businesses); hence, </w:t>
      </w:r>
      <w:r>
        <w:rPr>
          <w:rFonts w:cs="Times New Roman"/>
          <w:b/>
          <w:bCs/>
          <w:noProof/>
          <w:lang w:val="en-GB"/>
        </w:rPr>
        <w:t>costs per end-user are estimated to be low</w:t>
      </w:r>
      <w:r>
        <w:rPr>
          <w:rFonts w:cs="Times New Roman"/>
          <w:noProof/>
          <w:lang w:val="en-GB"/>
        </w:rPr>
        <w:t>.</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4</w:t>
      </w:r>
      <w:r>
        <w:rPr>
          <w:rFonts w:cs="Times New Roman"/>
          <w:noProof/>
        </w:rPr>
        <w:fldChar w:fldCharType="end"/>
      </w:r>
      <w:r>
        <w:rPr>
          <w:rFonts w:cs="Times New Roman"/>
          <w:noProof/>
        </w:rPr>
        <w:t>: Costs per user of ISA</w:t>
      </w:r>
      <w:r>
        <w:rPr>
          <w:rFonts w:cs="Times New Roman"/>
          <w:noProof/>
          <w:vertAlign w:val="superscript"/>
        </w:rPr>
        <w:t>2</w:t>
      </w:r>
      <w:r>
        <w:rPr>
          <w:rFonts w:cs="Times New Roman"/>
          <w:noProof/>
        </w:rPr>
        <w:t xml:space="preserve"> solutions</w:t>
      </w:r>
    </w:p>
    <w:tbl>
      <w:tblPr>
        <w:tblStyle w:val="GridTable5Dark-Accent11"/>
        <w:tblW w:w="4715" w:type="pct"/>
        <w:tblLook w:val="04A0" w:firstRow="1" w:lastRow="0" w:firstColumn="1" w:lastColumn="0" w:noHBand="0" w:noVBand="1"/>
      </w:tblPr>
      <w:tblGrid>
        <w:gridCol w:w="1696"/>
        <w:gridCol w:w="2172"/>
        <w:gridCol w:w="2231"/>
        <w:gridCol w:w="2231"/>
      </w:tblGrid>
      <w:tr>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8" w:type="pct"/>
            <w:vAlign w:val="center"/>
          </w:tcPr>
          <w:p>
            <w:pPr>
              <w:spacing w:before="20" w:after="20"/>
              <w:jc w:val="center"/>
              <w:rPr>
                <w:rFonts w:eastAsiaTheme="minorHAnsi"/>
                <w:noProof/>
                <w:sz w:val="22"/>
              </w:rPr>
            </w:pPr>
            <w:r>
              <w:rPr>
                <w:rFonts w:eastAsiaTheme="minorHAnsi"/>
                <w:noProof/>
                <w:sz w:val="22"/>
              </w:rPr>
              <w:t>Package</w:t>
            </w:r>
          </w:p>
        </w:tc>
        <w:tc>
          <w:tcPr>
            <w:tcW w:w="1304" w:type="pct"/>
            <w:vAlign w:val="center"/>
          </w:tcPr>
          <w:p>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Actual costs of sampled actions in the package (€)</w:t>
            </w:r>
          </w:p>
        </w:tc>
        <w:tc>
          <w:tcPr>
            <w:tcW w:w="1339" w:type="pct"/>
            <w:vAlign w:val="center"/>
          </w:tcPr>
          <w:p>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Number of public administrations using the solutions of the package</w:t>
            </w:r>
          </w:p>
        </w:tc>
        <w:tc>
          <w:tcPr>
            <w:tcW w:w="1339" w:type="pct"/>
            <w:vAlign w:val="center"/>
          </w:tcPr>
          <w:p>
            <w:pPr>
              <w:spacing w:before="20" w:after="20"/>
              <w:jc w:val="center"/>
              <w:cnfStyle w:val="100000000000" w:firstRow="1" w:lastRow="0" w:firstColumn="0" w:lastColumn="0" w:oddVBand="0" w:evenVBand="0" w:oddHBand="0" w:evenHBand="0" w:firstRowFirstColumn="0" w:firstRowLastColumn="0" w:lastRowFirstColumn="0" w:lastRowLastColumn="0"/>
              <w:rPr>
                <w:noProof/>
                <w:sz w:val="22"/>
              </w:rPr>
            </w:pPr>
            <w:r>
              <w:rPr>
                <w:rFonts w:eastAsiaTheme="minorHAnsi"/>
                <w:noProof/>
                <w:sz w:val="22"/>
              </w:rPr>
              <w:t>Average actual cost (€)</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8" w:type="pct"/>
            <w:vAlign w:val="center"/>
          </w:tcPr>
          <w:p>
            <w:pPr>
              <w:spacing w:before="20" w:after="20"/>
              <w:rPr>
                <w:rFonts w:eastAsiaTheme="minorHAnsi"/>
                <w:noProof/>
                <w:sz w:val="22"/>
              </w:rPr>
            </w:pPr>
            <w:r>
              <w:rPr>
                <w:rFonts w:eastAsiaTheme="minorHAnsi"/>
                <w:noProof/>
                <w:sz w:val="22"/>
              </w:rPr>
              <w:t>Key and generic interoperability enablers</w:t>
            </w:r>
          </w:p>
        </w:tc>
        <w:tc>
          <w:tcPr>
            <w:tcW w:w="1304" w:type="pct"/>
            <w:vAlign w:val="center"/>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4 117,069.81</w:t>
            </w:r>
          </w:p>
        </w:tc>
        <w:tc>
          <w:tcPr>
            <w:tcW w:w="1339" w:type="pct"/>
            <w:vAlign w:val="center"/>
          </w:tcPr>
          <w:p>
            <w:pPr>
              <w:spacing w:before="20" w:after="20"/>
              <w:jc w:val="center"/>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212</w:t>
            </w:r>
          </w:p>
        </w:tc>
        <w:tc>
          <w:tcPr>
            <w:tcW w:w="1339" w:type="pct"/>
            <w:vAlign w:val="center"/>
          </w:tcPr>
          <w:p>
            <w:pPr>
              <w:spacing w:before="20" w:after="20"/>
              <w:jc w:val="center"/>
              <w:cnfStyle w:val="000000100000" w:firstRow="0" w:lastRow="0" w:firstColumn="0" w:lastColumn="0" w:oddVBand="0" w:evenVBand="0" w:oddHBand="1" w:evenHBand="0" w:firstRowFirstColumn="0" w:firstRowLastColumn="0" w:lastRowFirstColumn="0" w:lastRowLastColumn="0"/>
              <w:rPr>
                <w:noProof/>
                <w:sz w:val="22"/>
              </w:rPr>
            </w:pPr>
            <w:r>
              <w:rPr>
                <w:noProof/>
                <w:sz w:val="22"/>
              </w:rPr>
              <w:t>19 420</w:t>
            </w:r>
          </w:p>
        </w:tc>
      </w:tr>
      <w:tr>
        <w:trPr>
          <w:trHeight w:val="20"/>
        </w:trPr>
        <w:tc>
          <w:tcPr>
            <w:cnfStyle w:val="001000000000" w:firstRow="0" w:lastRow="0" w:firstColumn="1" w:lastColumn="0" w:oddVBand="0" w:evenVBand="0" w:oddHBand="0" w:evenHBand="0" w:firstRowFirstColumn="0" w:firstRowLastColumn="0" w:lastRowFirstColumn="0" w:lastRowLastColumn="0"/>
            <w:tcW w:w="1018" w:type="pct"/>
            <w:vAlign w:val="center"/>
          </w:tcPr>
          <w:p>
            <w:pPr>
              <w:spacing w:before="20" w:after="20"/>
              <w:rPr>
                <w:rFonts w:eastAsiaTheme="minorHAnsi"/>
                <w:noProof/>
                <w:sz w:val="22"/>
              </w:rPr>
            </w:pPr>
            <w:r>
              <w:rPr>
                <w:noProof/>
              </w:rPr>
              <w:t>eProcurement / eInvoicing — supporting instruments</w:t>
            </w:r>
          </w:p>
        </w:tc>
        <w:tc>
          <w:tcPr>
            <w:tcW w:w="1304" w:type="pct"/>
            <w:vAlign w:val="center"/>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3 544,135.98</w:t>
            </w:r>
          </w:p>
        </w:tc>
        <w:tc>
          <w:tcPr>
            <w:tcW w:w="1339" w:type="pct"/>
            <w:vAlign w:val="center"/>
          </w:tcPr>
          <w:p>
            <w:pPr>
              <w:spacing w:before="20" w:after="20"/>
              <w:jc w:val="center"/>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137</w:t>
            </w:r>
          </w:p>
        </w:tc>
        <w:tc>
          <w:tcPr>
            <w:tcW w:w="1339" w:type="pct"/>
            <w:vAlign w:val="center"/>
          </w:tcPr>
          <w:p>
            <w:pPr>
              <w:spacing w:before="20" w:after="20"/>
              <w:jc w:val="center"/>
              <w:cnfStyle w:val="000000000000" w:firstRow="0" w:lastRow="0" w:firstColumn="0" w:lastColumn="0" w:oddVBand="0" w:evenVBand="0" w:oddHBand="0" w:evenHBand="0" w:firstRowFirstColumn="0" w:firstRowLastColumn="0" w:lastRowFirstColumn="0" w:lastRowLastColumn="0"/>
              <w:rPr>
                <w:noProof/>
                <w:sz w:val="22"/>
              </w:rPr>
            </w:pPr>
            <w:r>
              <w:rPr>
                <w:noProof/>
                <w:sz w:val="22"/>
              </w:rPr>
              <w:t>25 870</w:t>
            </w:r>
          </w:p>
        </w:tc>
      </w:tr>
    </w:tbl>
    <w:p>
      <w:pPr>
        <w:pStyle w:val="Notes"/>
        <w:rPr>
          <w:rFonts w:cs="Times New Roman"/>
          <w:noProof/>
        </w:rPr>
      </w:pPr>
      <w:r>
        <w:rPr>
          <w:rFonts w:cs="Times New Roman"/>
          <w:noProof/>
        </w:rPr>
        <w:t>Note: The calculations are based on the sampled actions of the indicated ISA</w:t>
      </w:r>
      <w:r>
        <w:rPr>
          <w:rFonts w:cs="Times New Roman"/>
          <w:noProof/>
          <w:vertAlign w:val="superscript"/>
        </w:rPr>
        <w:t>2</w:t>
      </w:r>
      <w:r>
        <w:rPr>
          <w:rFonts w:cs="Times New Roman"/>
          <w:noProof/>
        </w:rPr>
        <w:t xml:space="preserve"> packages over the period 2016 and Q3 2018.</w:t>
      </w:r>
      <w:r>
        <w:rPr>
          <w:rFonts w:cs="Times New Roman"/>
          <w:noProof/>
          <w:sz w:val="16"/>
          <w:szCs w:val="16"/>
        </w:rPr>
        <w:t xml:space="preserve"> </w:t>
      </w:r>
      <w:r>
        <w:rPr>
          <w:rFonts w:cs="Times New Roman"/>
          <w:noProof/>
        </w:rPr>
        <w:t xml:space="preserve">A full overview of the number of users and other performance indicators is presented in </w:t>
      </w:r>
      <w:r>
        <w:rPr>
          <w:rFonts w:cs="Times New Roman"/>
          <w:noProof/>
        </w:rPr>
        <w:fldChar w:fldCharType="begin"/>
      </w:r>
      <w:r>
        <w:rPr>
          <w:rFonts w:cs="Times New Roman"/>
          <w:noProof/>
        </w:rPr>
        <w:instrText xml:space="preserve"> REF _Ref9581764 \h  \* MERGEFORMAT </w:instrText>
      </w:r>
      <w:r>
        <w:rPr>
          <w:rFonts w:cs="Times New Roman"/>
          <w:noProof/>
        </w:rPr>
      </w:r>
      <w:r>
        <w:rPr>
          <w:rFonts w:cs="Times New Roman"/>
          <w:noProof/>
        </w:rPr>
        <w:fldChar w:fldCharType="separate"/>
      </w:r>
      <w:r>
        <w:rPr>
          <w:rFonts w:cs="Times New Roman"/>
          <w:noProof/>
        </w:rPr>
        <w:t>Annex 6</w:t>
      </w:r>
      <w:r>
        <w:rPr>
          <w:rFonts w:cs="Times New Roman"/>
          <w:noProof/>
        </w:rPr>
        <w:fldChar w:fldCharType="end"/>
      </w:r>
      <w:r>
        <w:rPr>
          <w:rFonts w:cs="Times New Roman"/>
          <w:noProof/>
        </w:rPr>
        <w:t xml:space="preserve">: </w:t>
      </w:r>
      <w:r>
        <w:rPr>
          <w:rFonts w:cs="Times New Roman"/>
          <w:noProof/>
        </w:rPr>
        <w:fldChar w:fldCharType="begin"/>
      </w:r>
      <w:r>
        <w:rPr>
          <w:rFonts w:cs="Times New Roman"/>
          <w:noProof/>
        </w:rPr>
        <w:instrText xml:space="preserve"> REF _Ref9587649 \h  \* MERGEFORMAT </w:instrText>
      </w:r>
      <w:r>
        <w:rPr>
          <w:rFonts w:cs="Times New Roman"/>
          <w:noProof/>
        </w:rPr>
      </w:r>
      <w:r>
        <w:rPr>
          <w:rFonts w:cs="Times New Roman"/>
          <w:noProof/>
        </w:rPr>
        <w:fldChar w:fldCharType="separate"/>
      </w:r>
      <w:r>
        <w:rPr>
          <w:rFonts w:cs="Times New Roman"/>
          <w:noProof/>
        </w:rPr>
        <w:t>Table 12</w:t>
      </w:r>
      <w:r>
        <w:rPr>
          <w:rFonts w:cs="Times New Roman"/>
          <w:noProof/>
        </w:rPr>
        <w:fldChar w:fldCharType="end"/>
      </w:r>
      <w:r>
        <w:rPr>
          <w:rFonts w:cs="Times New Roman"/>
          <w:noProof/>
        </w:rPr>
        <w:t xml:space="preserve">. The overview of costs per package is shown in </w:t>
      </w:r>
      <w:r>
        <w:rPr>
          <w:rFonts w:cs="Times New Roman"/>
          <w:noProof/>
        </w:rPr>
        <w:fldChar w:fldCharType="begin"/>
      </w:r>
      <w:r>
        <w:rPr>
          <w:rFonts w:cs="Times New Roman"/>
          <w:noProof/>
        </w:rPr>
        <w:instrText xml:space="preserve"> REF _Ref9692490 \h  \* MERGEFORMAT </w:instrText>
      </w:r>
      <w:r>
        <w:rPr>
          <w:rFonts w:cs="Times New Roman"/>
          <w:noProof/>
        </w:rPr>
      </w:r>
      <w:r>
        <w:rPr>
          <w:rFonts w:cs="Times New Roman"/>
          <w:noProof/>
        </w:rPr>
        <w:fldChar w:fldCharType="separate"/>
      </w:r>
      <w:r>
        <w:rPr>
          <w:rFonts w:cs="Times New Roman"/>
          <w:noProof/>
        </w:rPr>
        <w:t>Figure 13</w:t>
      </w:r>
      <w:r>
        <w:rPr>
          <w:rFonts w:cs="Times New Roman"/>
          <w:noProof/>
        </w:rPr>
        <w:fldChar w:fldCharType="end"/>
      </w:r>
      <w:r>
        <w:rPr>
          <w:rFonts w:cs="Times New Roman"/>
          <w:noProof/>
        </w:rPr>
        <w:t>.</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85"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The appraisal of the programme’s cost-effectiveness could be made more consistent by ensuring that monitoring and evaluation reports quantify some performance indicators common to all actions. Examples of such indicators include the number of EU public administrations using a solution, the number of public administrations participating in pilot projects, a consistent approach to reporting the number of downloads from the ‘Joinup’ platform for solutions that can be downloaded, and/or the number of single users per solution.</w:t>
      </w: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5</w:t>
      </w:r>
      <w:r>
        <w:rPr>
          <w:rFonts w:cs="Times New Roman"/>
          <w:noProof/>
        </w:rPr>
        <w:fldChar w:fldCharType="end"/>
      </w:r>
      <w:r>
        <w:rPr>
          <w:rFonts w:cs="Times New Roman"/>
          <w:noProof/>
        </w:rPr>
        <w:t>: Summary of the main costs and benefits identified</w:t>
      </w:r>
    </w:p>
    <w:tbl>
      <w:tblPr>
        <w:tblW w:w="0" w:type="auto"/>
        <w:tblLook w:val="04A0" w:firstRow="1" w:lastRow="0" w:firstColumn="1" w:lastColumn="0" w:noHBand="0" w:noVBand="1"/>
      </w:tblPr>
      <w:tblGrid>
        <w:gridCol w:w="8834"/>
      </w:tblGrid>
      <w:tr>
        <w:tc>
          <w:tcPr>
            <w:tcW w:w="9016" w:type="dxa"/>
            <w:shd w:val="clear" w:color="auto" w:fill="C6D9F1" w:themeFill="text2" w:themeFillTint="33"/>
          </w:tcPr>
          <w:p>
            <w:pPr>
              <w:spacing w:after="120"/>
              <w:jc w:val="both"/>
              <w:rPr>
                <w:rFonts w:cs="Times New Roman"/>
                <w:b/>
                <w:noProof/>
                <w:sz w:val="22"/>
                <w:lang w:val="en-GB"/>
              </w:rPr>
            </w:pPr>
            <w:r>
              <w:rPr>
                <w:rFonts w:cs="Times New Roman"/>
                <w:b/>
                <w:noProof/>
                <w:sz w:val="22"/>
                <w:lang w:val="en-GB"/>
              </w:rPr>
              <w:t xml:space="preserve">Costs. </w:t>
            </w:r>
            <w:r>
              <w:rPr>
                <w:rFonts w:cs="Times New Roman"/>
                <w:noProof/>
                <w:sz w:val="22"/>
                <w:lang w:val="en-GB"/>
              </w:rPr>
              <w:t>The main costs associated with the intervention fall into two categories: regulatory costs of the selection process for ISA</w:t>
            </w:r>
            <w:r>
              <w:rPr>
                <w:rFonts w:cs="Times New Roman"/>
                <w:noProof/>
                <w:sz w:val="22"/>
                <w:vertAlign w:val="superscript"/>
                <w:lang w:val="en-GB"/>
              </w:rPr>
              <w:t>2</w:t>
            </w:r>
            <w:r>
              <w:rPr>
                <w:rFonts w:cs="Times New Roman"/>
                <w:noProof/>
                <w:sz w:val="22"/>
                <w:lang w:val="en-GB"/>
              </w:rPr>
              <w:t xml:space="preserve"> funded actions (see </w:t>
            </w:r>
            <w:r>
              <w:rPr>
                <w:rFonts w:cs="Times New Roman"/>
                <w:noProof/>
                <w:sz w:val="22"/>
              </w:rPr>
              <w:fldChar w:fldCharType="begin"/>
            </w:r>
            <w:r>
              <w:rPr>
                <w:rFonts w:cs="Times New Roman"/>
                <w:noProof/>
                <w:sz w:val="22"/>
                <w:lang w:val="en-GB"/>
              </w:rPr>
              <w:instrText xml:space="preserve"> REF _Ref9686590 \h  \* MERGEFORMAT </w:instrText>
            </w:r>
            <w:r>
              <w:rPr>
                <w:rFonts w:cs="Times New Roman"/>
                <w:noProof/>
                <w:sz w:val="22"/>
              </w:rPr>
            </w:r>
            <w:r>
              <w:rPr>
                <w:rFonts w:cs="Times New Roman"/>
                <w:noProof/>
                <w:sz w:val="22"/>
              </w:rPr>
              <w:fldChar w:fldCharType="separate"/>
            </w:r>
            <w:r>
              <w:rPr>
                <w:rFonts w:cs="Times New Roman"/>
                <w:noProof/>
                <w:sz w:val="22"/>
                <w:lang w:val="en-GB"/>
              </w:rPr>
              <w:t>Table 3</w:t>
            </w:r>
            <w:r>
              <w:rPr>
                <w:rFonts w:cs="Times New Roman"/>
                <w:noProof/>
                <w:sz w:val="22"/>
              </w:rPr>
              <w:fldChar w:fldCharType="end"/>
            </w:r>
            <w:r>
              <w:rPr>
                <w:rFonts w:cs="Times New Roman"/>
                <w:noProof/>
                <w:sz w:val="22"/>
                <w:lang w:val="en-GB"/>
              </w:rPr>
              <w:t>) and the costs per user of ISA</w:t>
            </w:r>
            <w:r>
              <w:rPr>
                <w:rFonts w:cs="Times New Roman"/>
                <w:noProof/>
                <w:sz w:val="22"/>
                <w:vertAlign w:val="superscript"/>
                <w:lang w:val="en-GB"/>
              </w:rPr>
              <w:t>2</w:t>
            </w:r>
            <w:r>
              <w:rPr>
                <w:rFonts w:cs="Times New Roman"/>
                <w:noProof/>
                <w:sz w:val="22"/>
                <w:lang w:val="en-GB"/>
              </w:rPr>
              <w:t xml:space="preserve"> solutions (see </w:t>
            </w:r>
            <w:r>
              <w:rPr>
                <w:rFonts w:cs="Times New Roman"/>
                <w:noProof/>
                <w:sz w:val="22"/>
              </w:rPr>
              <w:fldChar w:fldCharType="begin"/>
            </w:r>
            <w:r>
              <w:rPr>
                <w:rFonts w:cs="Times New Roman"/>
                <w:noProof/>
                <w:sz w:val="22"/>
                <w:lang w:val="en-GB"/>
              </w:rPr>
              <w:instrText xml:space="preserve"> REF _Ref9690327 \h  \* MERGEFORMAT </w:instrText>
            </w:r>
            <w:r>
              <w:rPr>
                <w:rFonts w:cs="Times New Roman"/>
                <w:noProof/>
                <w:sz w:val="22"/>
              </w:rPr>
            </w:r>
            <w:r>
              <w:rPr>
                <w:rFonts w:cs="Times New Roman"/>
                <w:noProof/>
                <w:sz w:val="22"/>
              </w:rPr>
              <w:fldChar w:fldCharType="separate"/>
            </w:r>
            <w:r>
              <w:rPr>
                <w:rFonts w:cs="Times New Roman"/>
                <w:noProof/>
                <w:sz w:val="22"/>
                <w:lang w:val="en-GB"/>
              </w:rPr>
              <w:t>Table 4</w:t>
            </w:r>
            <w:r>
              <w:rPr>
                <w:rFonts w:cs="Times New Roman"/>
                <w:noProof/>
                <w:sz w:val="22"/>
              </w:rPr>
              <w:fldChar w:fldCharType="end"/>
            </w:r>
            <w:r>
              <w:rPr>
                <w:rFonts w:cs="Times New Roman"/>
                <w:noProof/>
                <w:sz w:val="22"/>
                <w:lang w:val="en-GB"/>
              </w:rPr>
              <w:t>).</w:t>
            </w:r>
          </w:p>
          <w:p>
            <w:pPr>
              <w:spacing w:after="120"/>
              <w:jc w:val="both"/>
              <w:rPr>
                <w:rFonts w:cs="Times New Roman"/>
                <w:noProof/>
                <w:sz w:val="22"/>
                <w:lang w:val="en-GB"/>
              </w:rPr>
            </w:pPr>
            <w:r>
              <w:rPr>
                <w:rFonts w:cs="Times New Roman"/>
                <w:b/>
                <w:noProof/>
                <w:sz w:val="22"/>
                <w:lang w:val="en-GB"/>
              </w:rPr>
              <w:t>Benefits</w:t>
            </w:r>
            <w:r>
              <w:rPr>
                <w:rFonts w:cs="Times New Roman"/>
                <w:noProof/>
                <w:sz w:val="22"/>
                <w:lang w:val="en-GB"/>
              </w:rPr>
              <w:t xml:space="preserve">. In turn, the benefits generated are expressed in the form of </w:t>
            </w:r>
            <w:r>
              <w:rPr>
                <w:rFonts w:cs="Times New Roman"/>
                <w:b/>
                <w:noProof/>
                <w:sz w:val="22"/>
                <w:lang w:val="en-GB"/>
              </w:rPr>
              <w:t>performance indicators</w:t>
            </w:r>
            <w:r>
              <w:rPr>
                <w:rFonts w:cs="Times New Roman"/>
                <w:noProof/>
                <w:sz w:val="22"/>
                <w:lang w:val="en-GB"/>
              </w:rPr>
              <w:t xml:space="preserve"> attached to each solution developed as part of ISA</w:t>
            </w:r>
            <w:r>
              <w:rPr>
                <w:rFonts w:cs="Times New Roman"/>
                <w:noProof/>
                <w:sz w:val="22"/>
                <w:vertAlign w:val="superscript"/>
                <w:lang w:val="en-GB"/>
              </w:rPr>
              <w:t>2</w:t>
            </w:r>
            <w:r>
              <w:rPr>
                <w:rFonts w:cs="Times New Roman"/>
                <w:noProof/>
                <w:sz w:val="22"/>
                <w:lang w:val="en-GB"/>
              </w:rPr>
              <w:t xml:space="preserve"> actions, which can be measured using a variety</w:t>
            </w:r>
            <w:r>
              <w:rPr>
                <w:rFonts w:cs="Times New Roman"/>
                <w:b/>
                <w:bCs/>
                <w:noProof/>
                <w:sz w:val="22"/>
                <w:lang w:val="en-GB"/>
              </w:rPr>
              <w:t xml:space="preserve"> </w:t>
            </w:r>
            <w:r>
              <w:rPr>
                <w:rFonts w:cs="Times New Roman"/>
                <w:bCs/>
                <w:noProof/>
                <w:sz w:val="22"/>
                <w:lang w:val="en-GB"/>
              </w:rPr>
              <w:t>of metrics</w:t>
            </w:r>
            <w:r>
              <w:rPr>
                <w:rFonts w:cs="Times New Roman"/>
                <w:noProof/>
                <w:sz w:val="22"/>
                <w:lang w:val="en-GB"/>
              </w:rPr>
              <w:t>. The benefits generated by the programme can thus be summarised as follows (the list is not exhaustive):</w:t>
            </w:r>
          </w:p>
          <w:p>
            <w:pPr>
              <w:numPr>
                <w:ilvl w:val="0"/>
                <w:numId w:val="65"/>
              </w:numPr>
              <w:spacing w:after="120"/>
              <w:jc w:val="both"/>
              <w:rPr>
                <w:rFonts w:cs="Times New Roman"/>
                <w:noProof/>
                <w:sz w:val="22"/>
                <w:lang w:val="en-GB"/>
              </w:rPr>
            </w:pPr>
            <w:r>
              <w:rPr>
                <w:rFonts w:cs="Times New Roman"/>
                <w:noProof/>
                <w:sz w:val="22"/>
                <w:lang w:val="en-GB"/>
              </w:rPr>
              <w:t>280 Commission proposals have been screened for ICT impacts since 2015;</w:t>
            </w:r>
          </w:p>
          <w:p>
            <w:pPr>
              <w:numPr>
                <w:ilvl w:val="0"/>
                <w:numId w:val="65"/>
              </w:numPr>
              <w:spacing w:after="120"/>
              <w:jc w:val="both"/>
              <w:rPr>
                <w:rFonts w:cs="Times New Roman"/>
                <w:noProof/>
                <w:sz w:val="22"/>
                <w:lang w:val="en-GB"/>
              </w:rPr>
            </w:pPr>
            <w:r>
              <w:rPr>
                <w:rFonts w:cs="Times New Roman"/>
                <w:noProof/>
                <w:sz w:val="22"/>
                <w:lang w:val="en-GB"/>
              </w:rPr>
              <w:t>13 440 professionals working in the field of eGovernment are registered on ‘Joinup’ in order to access interoperability solutions and collaborate with one another;</w:t>
            </w:r>
          </w:p>
          <w:p>
            <w:pPr>
              <w:numPr>
                <w:ilvl w:val="0"/>
                <w:numId w:val="65"/>
              </w:numPr>
              <w:spacing w:after="120"/>
              <w:jc w:val="both"/>
              <w:rPr>
                <w:rFonts w:cs="Times New Roman"/>
                <w:noProof/>
                <w:sz w:val="22"/>
                <w:lang w:val="en-GB"/>
              </w:rPr>
            </w:pPr>
            <w:r>
              <w:rPr>
                <w:rFonts w:cs="Times New Roman"/>
                <w:noProof/>
                <w:sz w:val="22"/>
                <w:lang w:val="en-GB"/>
              </w:rPr>
              <w:t>over 8.8 million documents have been exchanged so far between the Commission, the Council, the Member States, and companies using the ‘e-TrustEx’ platform;</w:t>
            </w:r>
          </w:p>
          <w:p>
            <w:pPr>
              <w:numPr>
                <w:ilvl w:val="0"/>
                <w:numId w:val="65"/>
              </w:numPr>
              <w:spacing w:after="120"/>
              <w:jc w:val="both"/>
              <w:rPr>
                <w:rFonts w:cs="Times New Roman"/>
                <w:noProof/>
                <w:sz w:val="22"/>
                <w:lang w:val="en-GB"/>
              </w:rPr>
            </w:pPr>
            <w:r>
              <w:rPr>
                <w:rFonts w:cs="Times New Roman"/>
                <w:noProof/>
                <w:sz w:val="22"/>
                <w:lang w:val="en-GB"/>
              </w:rPr>
              <w:t>the ‘European Single Procurement Document’ (ESPD) service</w:t>
            </w:r>
            <w:r>
              <w:rPr>
                <w:rStyle w:val="FootnoteReference"/>
                <w:noProof/>
              </w:rPr>
              <w:footnoteReference w:id="54"/>
            </w:r>
            <w:r>
              <w:rPr>
                <w:rFonts w:cs="Times New Roman"/>
                <w:noProof/>
                <w:sz w:val="22"/>
                <w:lang w:val="en-GB"/>
              </w:rPr>
              <w:t xml:space="preserve"> has been visited around 4 million times (until April 2019); and</w:t>
            </w:r>
          </w:p>
          <w:p>
            <w:pPr>
              <w:numPr>
                <w:ilvl w:val="0"/>
                <w:numId w:val="65"/>
              </w:numPr>
              <w:spacing w:after="120"/>
              <w:jc w:val="both"/>
              <w:rPr>
                <w:rFonts w:cs="Times New Roman"/>
                <w:noProof/>
                <w:sz w:val="22"/>
                <w:lang w:val="en-GB"/>
              </w:rPr>
            </w:pPr>
            <w:r>
              <w:rPr>
                <w:rFonts w:cs="Times New Roman"/>
                <w:noProof/>
                <w:sz w:val="22"/>
                <w:lang w:val="en-GB"/>
              </w:rPr>
              <w:t>the ‘Core Public Service Vocabulary-Application Profile’ (CPSV-AP) solution has been downloaded from ‘Joinup’ over 2 500 times.</w:t>
            </w:r>
          </w:p>
          <w:p>
            <w:pPr>
              <w:spacing w:after="120"/>
              <w:jc w:val="both"/>
              <w:rPr>
                <w:rFonts w:cs="Times New Roman"/>
                <w:noProof/>
                <w:sz w:val="22"/>
                <w:lang w:val="en-GB"/>
              </w:rPr>
            </w:pPr>
            <w:r>
              <w:rPr>
                <w:rFonts w:cs="Times New Roman"/>
                <w:noProof/>
                <w:sz w:val="22"/>
                <w:lang w:val="en-GB"/>
              </w:rPr>
              <w:t xml:space="preserve">Additional performance indicators, collected as part of the desk review of secondary data, are included in </w:t>
            </w:r>
            <w:r>
              <w:rPr>
                <w:rFonts w:cs="Times New Roman"/>
                <w:noProof/>
                <w:sz w:val="22"/>
              </w:rPr>
              <w:fldChar w:fldCharType="begin"/>
            </w:r>
            <w:r>
              <w:rPr>
                <w:rFonts w:cs="Times New Roman"/>
                <w:noProof/>
                <w:sz w:val="22"/>
                <w:lang w:val="en-GB"/>
              </w:rPr>
              <w:instrText xml:space="preserve"> REF _Ref9581764 \h  \* MERGEFORMAT </w:instrText>
            </w:r>
            <w:r>
              <w:rPr>
                <w:rFonts w:cs="Times New Roman"/>
                <w:noProof/>
                <w:sz w:val="22"/>
              </w:rPr>
            </w:r>
            <w:r>
              <w:rPr>
                <w:rFonts w:cs="Times New Roman"/>
                <w:noProof/>
                <w:sz w:val="22"/>
              </w:rPr>
              <w:fldChar w:fldCharType="separate"/>
            </w:r>
            <w:r>
              <w:rPr>
                <w:rFonts w:cs="Times New Roman"/>
                <w:noProof/>
                <w:sz w:val="22"/>
                <w:lang w:val="en-GB"/>
              </w:rPr>
              <w:t>Annex 6</w:t>
            </w:r>
            <w:r>
              <w:rPr>
                <w:rFonts w:cs="Times New Roman"/>
                <w:noProof/>
                <w:sz w:val="22"/>
              </w:rPr>
              <w:fldChar w:fldCharType="end"/>
            </w:r>
            <w:r>
              <w:rPr>
                <w:rFonts w:cs="Times New Roman"/>
                <w:noProof/>
                <w:sz w:val="22"/>
                <w:lang w:val="en-GB"/>
              </w:rPr>
              <w:t xml:space="preserve">: </w:t>
            </w:r>
            <w:r>
              <w:rPr>
                <w:rFonts w:cs="Times New Roman"/>
                <w:noProof/>
                <w:sz w:val="22"/>
              </w:rPr>
              <w:fldChar w:fldCharType="begin"/>
            </w:r>
            <w:r>
              <w:rPr>
                <w:rFonts w:cs="Times New Roman"/>
                <w:noProof/>
                <w:sz w:val="22"/>
                <w:lang w:val="en-GB"/>
              </w:rPr>
              <w:instrText xml:space="preserve"> REF _Ref9587649 \h  \* MERGEFORMAT </w:instrText>
            </w:r>
            <w:r>
              <w:rPr>
                <w:rFonts w:cs="Times New Roman"/>
                <w:noProof/>
                <w:sz w:val="22"/>
              </w:rPr>
            </w:r>
            <w:r>
              <w:rPr>
                <w:rFonts w:cs="Times New Roman"/>
                <w:noProof/>
                <w:sz w:val="22"/>
              </w:rPr>
              <w:fldChar w:fldCharType="separate"/>
            </w:r>
            <w:r>
              <w:rPr>
                <w:rFonts w:cs="Times New Roman"/>
                <w:noProof/>
                <w:sz w:val="22"/>
                <w:lang w:val="en-GB"/>
              </w:rPr>
              <w:t>Table 12</w:t>
            </w:r>
            <w:r>
              <w:rPr>
                <w:rFonts w:cs="Times New Roman"/>
                <w:noProof/>
                <w:sz w:val="22"/>
              </w:rPr>
              <w:fldChar w:fldCharType="end"/>
            </w:r>
            <w:r>
              <w:rPr>
                <w:rFonts w:cs="Times New Roman"/>
                <w:noProof/>
                <w:sz w:val="22"/>
                <w:lang w:val="en-GB"/>
              </w:rPr>
              <w:t>.</w:t>
            </w:r>
          </w:p>
        </w:tc>
      </w:tr>
    </w:tbl>
    <w:p>
      <w:pPr>
        <w:jc w:val="both"/>
        <w:rPr>
          <w:rFonts w:cs="Times New Roman"/>
          <w:noProof/>
          <w:lang w:val="en-GB"/>
        </w:rPr>
      </w:pPr>
    </w:p>
    <w:p>
      <w:pPr>
        <w:jc w:val="both"/>
        <w:rPr>
          <w:rFonts w:cs="Times New Roman"/>
          <w:b/>
          <w:iCs/>
          <w:noProof/>
          <w:u w:val="single"/>
          <w:lang w:val="en-GB"/>
        </w:rPr>
      </w:pPr>
      <w:r>
        <w:rPr>
          <w:rFonts w:cs="Times New Roman"/>
          <w:b/>
          <w:iCs/>
          <w:noProof/>
          <w:u w:val="single"/>
          <w:lang w:val="en-GB"/>
        </w:rPr>
        <w:t>JC3: Earned value management (EVM) analysis</w:t>
      </w:r>
    </w:p>
    <w:p>
      <w:pPr>
        <w:jc w:val="both"/>
        <w:rPr>
          <w:rFonts w:cs="Times New Roman"/>
          <w:noProof/>
          <w:lang w:val="en-GB"/>
        </w:rPr>
      </w:pPr>
      <w:r>
        <w:rPr>
          <w:rFonts w:cs="Times New Roman"/>
          <w:noProof/>
          <w:lang w:val="en-GB"/>
        </w:rPr>
        <w:t xml:space="preserve">EQ5 and EQ5.1 focus on </w:t>
      </w:r>
      <w:r>
        <w:rPr>
          <w:rFonts w:cs="Times New Roman"/>
          <w:b/>
          <w:bCs/>
          <w:noProof/>
          <w:lang w:val="en-GB"/>
        </w:rPr>
        <w:t>progress made in implementing the programme</w:t>
      </w:r>
      <w:r>
        <w:rPr>
          <w:rFonts w:cs="Times New Roman"/>
          <w:noProof/>
          <w:lang w:val="en-GB"/>
        </w:rPr>
        <w:t xml:space="preserve"> </w:t>
      </w:r>
      <w:r>
        <w:rPr>
          <w:rFonts w:cs="Times New Roman"/>
          <w:b/>
          <w:noProof/>
          <w:lang w:val="en-GB"/>
        </w:rPr>
        <w:t>based on the EVM analysis</w:t>
      </w:r>
      <w:r>
        <w:rPr>
          <w:rFonts w:cs="Times New Roman"/>
          <w:noProof/>
          <w:lang w:val="en-GB"/>
        </w:rPr>
        <w:t>. This analysis helps determine progress of work against a given baseline, so that costs, time, and scope of a certain activity are constantly tracked. To support this, the ISA</w:t>
      </w:r>
      <w:r>
        <w:rPr>
          <w:rFonts w:cs="Times New Roman"/>
          <w:noProof/>
          <w:vertAlign w:val="superscript"/>
          <w:lang w:val="en-GB"/>
        </w:rPr>
        <w:t>2</w:t>
      </w:r>
      <w:r>
        <w:rPr>
          <w:rFonts w:cs="Times New Roman"/>
          <w:noProof/>
          <w:lang w:val="en-GB"/>
        </w:rPr>
        <w:t xml:space="preserve"> dashboard provides quarterly data on the earned value, planned value, and actual costs of each monitored action</w:t>
      </w:r>
      <w:r>
        <w:rPr>
          <w:rStyle w:val="FootnoteReference"/>
          <w:noProof/>
        </w:rPr>
        <w:footnoteReference w:id="55"/>
      </w:r>
      <w:r>
        <w:rPr>
          <w:rFonts w:cs="Times New Roman"/>
          <w:noProof/>
          <w:lang w:val="en-GB"/>
        </w:rPr>
        <w:t xml:space="preserve">. As regards the sample of 20 actions grouped in the respective packages, </w:t>
      </w:r>
      <w:r>
        <w:rPr>
          <w:rFonts w:cs="Times New Roman"/>
          <w:noProof/>
        </w:rPr>
        <w:fldChar w:fldCharType="begin"/>
      </w:r>
      <w:r>
        <w:rPr>
          <w:rFonts w:cs="Times New Roman"/>
          <w:noProof/>
          <w:lang w:val="en-GB"/>
        </w:rPr>
        <w:instrText xml:space="preserve"> REF _Ref9692490 \h  \* MERGEFORMAT </w:instrText>
      </w:r>
      <w:r>
        <w:rPr>
          <w:rFonts w:cs="Times New Roman"/>
          <w:noProof/>
        </w:rPr>
      </w:r>
      <w:r>
        <w:rPr>
          <w:rFonts w:cs="Times New Roman"/>
          <w:noProof/>
        </w:rPr>
        <w:fldChar w:fldCharType="separate"/>
      </w:r>
      <w:r>
        <w:rPr>
          <w:rFonts w:cs="Times New Roman"/>
          <w:noProof/>
          <w:lang w:val="en-GB"/>
        </w:rPr>
        <w:t>Figure 13</w:t>
      </w:r>
      <w:r>
        <w:rPr>
          <w:rFonts w:cs="Times New Roman"/>
          <w:noProof/>
        </w:rPr>
        <w:fldChar w:fldCharType="end"/>
      </w:r>
      <w:r>
        <w:rPr>
          <w:rFonts w:cs="Times New Roman"/>
          <w:noProof/>
          <w:lang w:val="en-GB"/>
        </w:rPr>
        <w:t xml:space="preserve"> presents the data at the end of Q3 2018 for the earned and planned value, as well as for the actual costs recorded. The earned value is close to equalling the planned value, which shows that the work is progressing as expected. Even where a bigger gap exists (e.g. in the ‘Key and generic interoperability enablers’ package), the indicators are expected to converge at the end of the year as the ISA</w:t>
      </w:r>
      <w:r>
        <w:rPr>
          <w:rFonts w:cs="Times New Roman"/>
          <w:noProof/>
          <w:vertAlign w:val="superscript"/>
          <w:lang w:val="en-GB"/>
        </w:rPr>
        <w:t>2</w:t>
      </w:r>
      <w:r>
        <w:rPr>
          <w:rFonts w:cs="Times New Roman"/>
          <w:noProof/>
          <w:lang w:val="en-GB"/>
        </w:rPr>
        <w:t xml:space="preserve"> budget year closes.</w:t>
      </w:r>
    </w:p>
    <w:p>
      <w:pPr>
        <w:pStyle w:val="caption2"/>
        <w:rPr>
          <w:rFonts w:cs="Times New Roman"/>
          <w:bCs/>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13</w:t>
      </w:r>
      <w:r>
        <w:rPr>
          <w:rFonts w:cs="Times New Roman"/>
          <w:noProof/>
        </w:rPr>
        <w:fldChar w:fldCharType="end"/>
      </w:r>
      <w:r>
        <w:rPr>
          <w:rFonts w:cs="Times New Roman"/>
          <w:noProof/>
        </w:rPr>
        <w:t>: Earned value, actual costs and planned value sampled actions, by package (Q3 2018)</w:t>
      </w:r>
      <w:r>
        <w:rPr>
          <w:rStyle w:val="FootnoteReference"/>
          <w:noProof/>
        </w:rPr>
        <w:footnoteReference w:id="56"/>
      </w:r>
    </w:p>
    <w:p>
      <w:pPr>
        <w:pStyle w:val="VISUAL"/>
        <w:rPr>
          <w:rFonts w:cs="Times New Roman"/>
          <w:noProof/>
        </w:rPr>
      </w:pPr>
      <w:r>
        <w:rPr>
          <w:rFonts w:cs="Times New Roman"/>
          <w:noProof/>
          <w:lang w:eastAsia="en-GB"/>
        </w:rPr>
        <w:drawing>
          <wp:inline distT="0" distB="0" distL="0" distR="0">
            <wp:extent cx="5731510" cy="3552825"/>
            <wp:effectExtent l="0" t="0" r="2540" b="0"/>
            <wp:docPr id="14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87"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The data available also make it possible to perform a historical analysis of work progress for each package of actions. Progress can also be shown in the form of a schedule performance index (SPI), which is the ratio of earned value to planned value (</w:t>
      </w:r>
      <w:r>
        <w:rPr>
          <w:rFonts w:cs="Times New Roman"/>
          <w:noProof/>
        </w:rPr>
        <w:fldChar w:fldCharType="begin"/>
      </w:r>
      <w:r>
        <w:rPr>
          <w:rFonts w:cs="Times New Roman"/>
          <w:noProof/>
          <w:lang w:val="en-GB"/>
        </w:rPr>
        <w:instrText xml:space="preserve"> REF _Ref9692983 \h  \* MERGEFORMAT </w:instrText>
      </w:r>
      <w:r>
        <w:rPr>
          <w:rFonts w:cs="Times New Roman"/>
          <w:noProof/>
        </w:rPr>
      </w:r>
      <w:r>
        <w:rPr>
          <w:rFonts w:cs="Times New Roman"/>
          <w:noProof/>
        </w:rPr>
        <w:fldChar w:fldCharType="separate"/>
      </w:r>
      <w:r>
        <w:rPr>
          <w:rFonts w:cs="Times New Roman"/>
          <w:noProof/>
          <w:lang w:val="en-GB"/>
        </w:rPr>
        <w:t>Figure 14</w:t>
      </w:r>
      <w:r>
        <w:rPr>
          <w:rFonts w:cs="Times New Roman"/>
          <w:noProof/>
        </w:rPr>
        <w:fldChar w:fldCharType="end"/>
      </w:r>
      <w:r>
        <w:rPr>
          <w:rFonts w:cs="Times New Roman"/>
          <w:noProof/>
          <w:lang w:val="en-GB"/>
        </w:rPr>
        <w:t>). An SPI value above one indicates that the item analysed is ahead of schedule, while an SPI value below one suggests that the item analysed is behind schedule. Since the beginning of the programme and up until Q3 of 2018, the SPIs of the sampled actions grouped by packages have shown fluctuations, but now tend to converge on one, although values below one are still reported for almost all packages. These data show that the ‘Semantic interoperability’ and ‘Supporting instruments for public administrations’ packages are on track, while the others are close to achieving the planned level of work. Given that some actions started later on in the programme, as is the case of the ‘Geospatial solutions’ package, data for the EVM analysis are not always available from Q2 of 2016, but only from a later point in time.</w:t>
      </w:r>
    </w:p>
    <w:p>
      <w:pPr>
        <w:jc w:val="both"/>
        <w:rPr>
          <w:rFonts w:cs="Times New Roman"/>
          <w:noProof/>
          <w:lang w:val="en-GB"/>
        </w:rPr>
      </w:pPr>
      <w:r>
        <w:rPr>
          <w:rFonts w:cs="Times New Roman"/>
          <w:noProof/>
          <w:lang w:val="en-GB"/>
        </w:rPr>
        <w:t>SPI values above two were reported for the ‘Key and generic interoperability enablers’ package in Q2 and Q3 of 2016. This indicates that the work on the package was ahead of schedule in that period. While this result might seem surprising at first, it can be explained by the fact that some of the actions involved started under ISA and continued under ISA</w:t>
      </w:r>
      <w:r>
        <w:rPr>
          <w:rFonts w:cs="Times New Roman"/>
          <w:noProof/>
          <w:vertAlign w:val="superscript"/>
          <w:lang w:val="en-GB"/>
        </w:rPr>
        <w:t>2</w:t>
      </w:r>
      <w:r>
        <w:rPr>
          <w:rFonts w:cs="Times New Roman"/>
          <w:noProof/>
          <w:lang w:val="en-GB"/>
        </w:rPr>
        <w:t>. For these actions, processes had already been established during the previous programme, so work under ISA</w:t>
      </w:r>
      <w:r>
        <w:rPr>
          <w:rFonts w:cs="Times New Roman"/>
          <w:noProof/>
          <w:vertAlign w:val="superscript"/>
          <w:lang w:val="en-GB"/>
        </w:rPr>
        <w:t>2</w:t>
      </w:r>
      <w:r>
        <w:rPr>
          <w:rFonts w:cs="Times New Roman"/>
          <w:noProof/>
          <w:lang w:val="en-GB"/>
        </w:rPr>
        <w:t xml:space="preserve"> could start much faster than planned, resulting in a higher SPI value at the beginning of the process. In fact, both of the actions sampled from the ‘Key and generic interoperability enablers’ package (‘Trusted Exchange Platform e-TrustEx’ and ‘Catalogue of Services’) had been launched under the ISA programme.</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14</w:t>
      </w:r>
      <w:r>
        <w:rPr>
          <w:rFonts w:cs="Times New Roman"/>
          <w:noProof/>
        </w:rPr>
        <w:fldChar w:fldCharType="end"/>
      </w:r>
      <w:r>
        <w:rPr>
          <w:rFonts w:cs="Times New Roman"/>
          <w:noProof/>
        </w:rPr>
        <w:t>: Schedule performance indices of the sampled actions grouped by packages</w:t>
      </w:r>
    </w:p>
    <w:p>
      <w:pPr>
        <w:pStyle w:val="VISUAL"/>
        <w:rPr>
          <w:rFonts w:cs="Times New Roman"/>
          <w:noProof/>
        </w:rPr>
      </w:pPr>
      <w:r>
        <w:rPr>
          <w:rFonts w:cs="Times New Roman"/>
          <w:noProof/>
          <w:lang w:eastAsia="en-GB"/>
        </w:rPr>
        <w:drawing>
          <wp:inline distT="0" distB="0" distL="0" distR="0">
            <wp:extent cx="5731510" cy="3097332"/>
            <wp:effectExtent l="0" t="0" r="2540" b="8255"/>
            <wp:docPr id="1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VISUAL"/>
        <w:rPr>
          <w:rFonts w:cs="Times New Roman"/>
          <w:noProof/>
        </w:rPr>
      </w:pPr>
      <w:r>
        <w:rPr>
          <w:rFonts w:cs="Times New Roman"/>
          <w:noProof/>
          <w:lang w:eastAsia="en-GB"/>
        </w:rPr>
        <w:drawing>
          <wp:inline distT="0" distB="0" distL="0" distR="0">
            <wp:extent cx="5731510" cy="3684028"/>
            <wp:effectExtent l="0" t="0" r="2540" b="0"/>
            <wp:docPr id="14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90" w:history="1">
        <w:r>
          <w:rPr>
            <w:rStyle w:val="Hyperlink"/>
            <w:rFonts w:cs="Times New Roman"/>
            <w:i/>
            <w:noProof/>
            <w:sz w:val="20"/>
            <w:szCs w:val="20"/>
            <w:lang w:val="en-GB"/>
          </w:rPr>
          <w:t>CEPS final study</w:t>
        </w:r>
      </w:hyperlink>
    </w:p>
    <w:p>
      <w:pPr>
        <w:pStyle w:val="Heading3"/>
        <w:rPr>
          <w:noProof/>
          <w:lang w:val="en-GB"/>
        </w:rPr>
      </w:pPr>
      <w:r>
        <w:rPr>
          <w:noProof/>
          <w:lang w:val="en-GB"/>
        </w:rPr>
        <w:t>Answer to the ‘efficiency’ EQs</w:t>
      </w:r>
    </w:p>
    <w:p>
      <w:pPr>
        <w:shd w:val="clear" w:color="auto" w:fill="C6D9F1" w:themeFill="text2" w:themeFillTint="33"/>
        <w:rPr>
          <w:rFonts w:cs="Times New Roman"/>
          <w:noProof/>
          <w:lang w:val="en-GB"/>
        </w:rPr>
      </w:pPr>
      <w:r>
        <w:rPr>
          <w:rFonts w:cs="Times New Roman"/>
          <w:noProof/>
          <w:lang w:val="en-GB"/>
        </w:rPr>
        <w:t>EQ.4: To what extent has the programme been cost-effective?</w:t>
      </w:r>
    </w:p>
    <w:p>
      <w:pPr>
        <w:jc w:val="both"/>
        <w:rPr>
          <w:rFonts w:cs="Times New Roman"/>
          <w:noProof/>
          <w:lang w:val="en-GB"/>
        </w:rPr>
      </w:pPr>
      <w:r>
        <w:rPr>
          <w:rFonts w:cs="Times New Roman"/>
          <w:noProof/>
          <w:lang w:val="en-GB"/>
        </w:rPr>
        <w:t xml:space="preserve">The heterogeneity of performance indicators makes it difficult to draw conclusions about the programme’s overall cost-effectiveness. For those packages where it was possible to apply cost-effectiveness techniques, </w:t>
      </w:r>
      <w:r>
        <w:rPr>
          <w:rFonts w:cs="Times New Roman"/>
          <w:b/>
          <w:noProof/>
          <w:lang w:val="en-GB"/>
        </w:rPr>
        <w:t>costs per end-user (e.g. business, citizens, etc.) have been estimated as low</w:t>
      </w:r>
      <w:r>
        <w:rPr>
          <w:rFonts w:cs="Times New Roman"/>
          <w:noProof/>
          <w:lang w:val="en-GB"/>
        </w:rPr>
        <w:t xml:space="preserve">. In this respect, </w:t>
      </w:r>
      <w:r>
        <w:rPr>
          <w:rFonts w:cs="Times New Roman"/>
          <w:b/>
          <w:noProof/>
          <w:lang w:val="en-GB"/>
        </w:rPr>
        <w:t>monitoring and evaluation reports could converge towards some common metrics</w:t>
      </w:r>
      <w:r>
        <w:rPr>
          <w:rFonts w:cs="Times New Roman"/>
          <w:noProof/>
          <w:lang w:val="en-GB"/>
        </w:rPr>
        <w:t xml:space="preserve"> allowing for a more consistent appraisal of cost-effectiveness. For example, the agreed performance indicators could comprise the number of EU public administrations using a given solution, the number of downloads from the ‘Joinup’ platform for downloadable solutions, and/or the number of single users per solution.</w:t>
      </w:r>
    </w:p>
    <w:p>
      <w:pPr>
        <w:shd w:val="clear" w:color="auto" w:fill="C6D9F1" w:themeFill="text2" w:themeFillTint="33"/>
        <w:rPr>
          <w:rFonts w:cs="Times New Roman"/>
          <w:noProof/>
          <w:lang w:val="en-GB"/>
        </w:rPr>
      </w:pPr>
      <w:r>
        <w:rPr>
          <w:rFonts w:cs="Times New Roman"/>
          <w:noProof/>
          <w:lang w:val="en-GB"/>
        </w:rPr>
        <w:t>EQ5: Which aspects of the programme are the most efficient or inefficient, especially in terms of resources mobilised?</w:t>
      </w:r>
      <w:r>
        <w:rPr>
          <w:rFonts w:cs="Times New Roman"/>
          <w:noProof/>
          <w:lang w:val="en-GB"/>
        </w:rPr>
        <w:br/>
      </w:r>
      <w:r>
        <w:rPr>
          <w:rFonts w:cs="Times New Roman"/>
          <w:noProof/>
          <w:lang w:val="en-GB"/>
        </w:rPr>
        <w:tab/>
        <w:t>EQ5.1: How is the programme performing relative to the planned work and budget?</w:t>
      </w:r>
    </w:p>
    <w:p>
      <w:pPr>
        <w:jc w:val="both"/>
        <w:rPr>
          <w:rFonts w:cs="Times New Roman"/>
          <w:noProof/>
          <w:lang w:val="en-GB"/>
        </w:rPr>
      </w:pPr>
      <w:r>
        <w:rPr>
          <w:rFonts w:cs="Times New Roman"/>
          <w:noProof/>
          <w:lang w:val="en-GB"/>
        </w:rPr>
        <w:t xml:space="preserve">The </w:t>
      </w:r>
      <w:r>
        <w:rPr>
          <w:rFonts w:cs="Times New Roman"/>
          <w:b/>
          <w:noProof/>
          <w:lang w:val="en-GB"/>
        </w:rPr>
        <w:t>process of selecting actions to be funded by ISA</w:t>
      </w:r>
      <w:r>
        <w:rPr>
          <w:rFonts w:cs="Times New Roman"/>
          <w:b/>
          <w:noProof/>
          <w:vertAlign w:val="superscript"/>
          <w:lang w:val="en-GB"/>
        </w:rPr>
        <w:t>2</w:t>
      </w:r>
      <w:r>
        <w:rPr>
          <w:rFonts w:cs="Times New Roman"/>
          <w:noProof/>
          <w:lang w:val="en-GB"/>
        </w:rPr>
        <w:t xml:space="preserve"> is considered relatively efficient and fit for purpose. On average, six person-days at most are required to prepare and submit a proposal for actions that had already been included in previous rolling work programmes. On the other hand, between 10 and 30 person-days are required to prepare a proposal for a new action. The </w:t>
      </w:r>
      <w:r>
        <w:rPr>
          <w:rFonts w:cs="Times New Roman"/>
          <w:b/>
          <w:noProof/>
          <w:lang w:val="en-GB"/>
        </w:rPr>
        <w:t>costs incurred in preparing a proposal are</w:t>
      </w:r>
      <w:r>
        <w:rPr>
          <w:rFonts w:cs="Times New Roman"/>
          <w:noProof/>
          <w:lang w:val="en-GB"/>
        </w:rPr>
        <w:t xml:space="preserve"> </w:t>
      </w:r>
      <w:r>
        <w:rPr>
          <w:rFonts w:cs="Times New Roman"/>
          <w:b/>
          <w:noProof/>
          <w:lang w:val="en-GB"/>
        </w:rPr>
        <w:t>relatively small</w:t>
      </w:r>
      <w:r>
        <w:rPr>
          <w:rFonts w:cs="Times New Roman"/>
          <w:noProof/>
          <w:lang w:val="en-GB"/>
        </w:rPr>
        <w:t xml:space="preserve">, ranging between 0.09 % and 0.5 % of the potential funds that could be allocated to the proposal once accepted. Nonetheless, this process could be further streamlined by </w:t>
      </w:r>
      <w:r>
        <w:rPr>
          <w:rFonts w:cs="Times New Roman"/>
          <w:b/>
          <w:noProof/>
          <w:lang w:val="en-GB"/>
        </w:rPr>
        <w:t>simplifying the rolling work programme</w:t>
      </w:r>
      <w:r>
        <w:rPr>
          <w:rFonts w:cs="Times New Roman"/>
          <w:noProof/>
          <w:lang w:val="en-GB"/>
        </w:rPr>
        <w:t xml:space="preserve"> and </w:t>
      </w:r>
      <w:r>
        <w:rPr>
          <w:rFonts w:cs="Times New Roman"/>
          <w:b/>
          <w:noProof/>
          <w:lang w:val="en-GB"/>
        </w:rPr>
        <w:t>launching thematic calls for actions</w:t>
      </w:r>
      <w:r>
        <w:rPr>
          <w:rFonts w:cs="Times New Roman"/>
          <w:noProof/>
          <w:lang w:val="en-GB"/>
        </w:rPr>
        <w:t>, thus ensuring that the selection process is driven by objectives.</w:t>
      </w:r>
    </w:p>
    <w:p>
      <w:pPr>
        <w:jc w:val="both"/>
        <w:rPr>
          <w:rFonts w:cs="Times New Roman"/>
          <w:noProof/>
          <w:lang w:val="en-GB"/>
        </w:rPr>
      </w:pPr>
      <w:r>
        <w:rPr>
          <w:rFonts w:cs="Times New Roman"/>
          <w:noProof/>
          <w:lang w:val="en-GB"/>
        </w:rPr>
        <w:t xml:space="preserve">When looking at progress made in the programme’s implementation, it is clear that </w:t>
      </w:r>
      <w:r>
        <w:rPr>
          <w:rFonts w:cs="Times New Roman"/>
          <w:b/>
          <w:noProof/>
          <w:lang w:val="en-GB"/>
        </w:rPr>
        <w:t>all packages are either on track or close to achieving the planned level of work</w:t>
      </w:r>
      <w:r>
        <w:rPr>
          <w:rFonts w:cs="Times New Roman"/>
          <w:noProof/>
          <w:lang w:val="en-GB"/>
        </w:rPr>
        <w:t>. As some actions started during ISA and continued under ISA</w:t>
      </w:r>
      <w:r>
        <w:rPr>
          <w:rFonts w:cs="Times New Roman"/>
          <w:noProof/>
          <w:vertAlign w:val="superscript"/>
          <w:lang w:val="en-GB"/>
        </w:rPr>
        <w:t>2</w:t>
      </w:r>
      <w:r>
        <w:rPr>
          <w:rFonts w:cs="Times New Roman"/>
          <w:noProof/>
          <w:lang w:val="en-GB"/>
        </w:rPr>
        <w:t>, some processes had already been established during the previous programme. Therefore, work on these actions under ISA</w:t>
      </w:r>
      <w:r>
        <w:rPr>
          <w:rFonts w:cs="Times New Roman"/>
          <w:noProof/>
          <w:vertAlign w:val="superscript"/>
          <w:lang w:val="en-GB"/>
        </w:rPr>
        <w:t>2</w:t>
      </w:r>
      <w:r>
        <w:rPr>
          <w:rFonts w:cs="Times New Roman"/>
          <w:noProof/>
          <w:lang w:val="en-GB"/>
        </w:rPr>
        <w:t xml:space="preserve"> could start faster than planned.</w:t>
      </w:r>
    </w:p>
    <w:p>
      <w:pPr>
        <w:pStyle w:val="Heading2"/>
        <w:rPr>
          <w:noProof/>
        </w:rPr>
      </w:pPr>
      <w:bookmarkStart w:id="17" w:name="_Toc14708140"/>
      <w:r>
        <w:rPr>
          <w:noProof/>
        </w:rPr>
        <w:t>Coherence</w:t>
      </w:r>
      <w:bookmarkEnd w:id="17"/>
    </w:p>
    <w:p>
      <w:pPr>
        <w:pStyle w:val="Heading3"/>
        <w:rPr>
          <w:noProof/>
          <w:lang w:val="en-GB"/>
        </w:rPr>
      </w:pPr>
      <w:r>
        <w:rPr>
          <w:noProof/>
          <w:lang w:val="en-GB"/>
        </w:rPr>
        <w:t>Evaluation framework for ‘coherence’</w:t>
      </w:r>
    </w:p>
    <w:p>
      <w:pPr>
        <w:jc w:val="both"/>
        <w:rPr>
          <w:rFonts w:cs="Times New Roman"/>
          <w:noProof/>
        </w:rPr>
      </w:pPr>
      <w:r>
        <w:rPr>
          <w:rFonts w:cs="Times New Roman"/>
          <w:noProof/>
          <w:lang w:val="en-GB"/>
        </w:rPr>
        <w:t>Article 13(4) of the ISA</w:t>
      </w:r>
      <w:r>
        <w:rPr>
          <w:rFonts w:cs="Times New Roman"/>
          <w:noProof/>
          <w:vertAlign w:val="superscript"/>
          <w:lang w:val="en-GB"/>
        </w:rPr>
        <w:t>2</w:t>
      </w:r>
      <w:r>
        <w:rPr>
          <w:rFonts w:cs="Times New Roman"/>
          <w:noProof/>
          <w:lang w:val="en-GB"/>
        </w:rPr>
        <w:t xml:space="preserve"> Decision requires that the coherence of ISA</w:t>
      </w:r>
      <w:r>
        <w:rPr>
          <w:rFonts w:cs="Times New Roman"/>
          <w:noProof/>
          <w:vertAlign w:val="superscript"/>
          <w:lang w:val="en-GB"/>
        </w:rPr>
        <w:t>2</w:t>
      </w:r>
      <w:r>
        <w:rPr>
          <w:rFonts w:cs="Times New Roman"/>
          <w:noProof/>
          <w:lang w:val="en-GB"/>
        </w:rPr>
        <w:t xml:space="preserve"> actions is assessed; this is referred to as the programme’s ‘</w:t>
      </w:r>
      <w:r>
        <w:rPr>
          <w:rFonts w:cs="Times New Roman"/>
          <w:b/>
          <w:noProof/>
          <w:lang w:val="en-GB"/>
        </w:rPr>
        <w:t>internal coherence</w:t>
      </w:r>
      <w:r>
        <w:rPr>
          <w:rFonts w:cs="Times New Roman"/>
          <w:noProof/>
          <w:lang w:val="en-GB"/>
        </w:rPr>
        <w:t>’. In addition, Article 13(6) pays specific attention to the programme’s ‘</w:t>
      </w:r>
      <w:r>
        <w:rPr>
          <w:rFonts w:cs="Times New Roman"/>
          <w:b/>
          <w:noProof/>
          <w:lang w:val="en-GB"/>
        </w:rPr>
        <w:t>external coherence</w:t>
      </w:r>
      <w:r>
        <w:rPr>
          <w:rFonts w:cs="Times New Roman"/>
          <w:noProof/>
          <w:lang w:val="en-GB"/>
        </w:rPr>
        <w:t xml:space="preserve">’ in order to ‘identify potential overlaps, examine coherence with areas for improvement, and verify synergies with other Union initiatives, in particular with the CEF’. </w:t>
      </w:r>
      <w:r>
        <w:rPr>
          <w:rFonts w:cs="Times New Roman"/>
          <w:noProof/>
        </w:rPr>
        <w:t xml:space="preserve">The </w:t>
      </w:r>
      <w:r>
        <w:rPr>
          <w:rFonts w:cs="Times New Roman"/>
          <w:noProof/>
          <w:lang w:val="en-GB"/>
        </w:rPr>
        <w:t>coherence criterion translates into two EQs</w:t>
      </w:r>
      <w:r>
        <w:rPr>
          <w:rFonts w:cs="Times New Roman"/>
          <w:noProof/>
          <w:lang w:val="en-GB" w:eastAsia="de-DE"/>
        </w:rPr>
        <w:t>:</w:t>
      </w:r>
    </w:p>
    <w:p>
      <w:pPr>
        <w:pStyle w:val="ListParagraph"/>
        <w:numPr>
          <w:ilvl w:val="0"/>
          <w:numId w:val="21"/>
        </w:numPr>
        <w:spacing w:after="120" w:line="276" w:lineRule="auto"/>
        <w:ind w:left="850"/>
        <w:contextualSpacing w:val="0"/>
        <w:rPr>
          <w:b/>
          <w:noProof/>
        </w:rPr>
      </w:pPr>
      <w:r>
        <w:rPr>
          <w:b/>
          <w:noProof/>
        </w:rPr>
        <w:t>To what extent do the ISA</w:t>
      </w:r>
      <w:r>
        <w:rPr>
          <w:b/>
          <w:noProof/>
          <w:vertAlign w:val="superscript"/>
        </w:rPr>
        <w:t>2</w:t>
      </w:r>
      <w:r>
        <w:rPr>
          <w:b/>
          <w:noProof/>
        </w:rPr>
        <w:t xml:space="preserve"> actions form part of a ‘holistic’ approach within the framework of the programme? (Internal coherence)</w:t>
      </w:r>
    </w:p>
    <w:p>
      <w:pPr>
        <w:pStyle w:val="ListParagraph"/>
        <w:numPr>
          <w:ilvl w:val="0"/>
          <w:numId w:val="21"/>
        </w:numPr>
        <w:spacing w:after="200" w:line="276" w:lineRule="auto"/>
        <w:ind w:left="850"/>
        <w:contextualSpacing w:val="0"/>
        <w:rPr>
          <w:b/>
          <w:noProof/>
        </w:rPr>
      </w:pPr>
      <w:r>
        <w:rPr>
          <w:b/>
          <w:noProof/>
        </w:rPr>
        <w:t>To what extent is the ISA</w:t>
      </w:r>
      <w:r>
        <w:rPr>
          <w:b/>
          <w:noProof/>
          <w:vertAlign w:val="superscript"/>
        </w:rPr>
        <w:t>2</w:t>
      </w:r>
      <w:r>
        <w:rPr>
          <w:b/>
          <w:noProof/>
        </w:rPr>
        <w:t xml:space="preserve"> programme coherent with other EU interventions, which have similar objectives and with global initiatives in the same field? (External coherence)</w:t>
      </w:r>
    </w:p>
    <w:p>
      <w:pPr>
        <w:jc w:val="both"/>
        <w:rPr>
          <w:rFonts w:cs="Times New Roman"/>
          <w:noProof/>
        </w:rPr>
      </w:pPr>
      <w:r>
        <w:rPr>
          <w:rFonts w:cs="Times New Roman"/>
          <w:noProof/>
          <w:lang w:val="en-GB"/>
        </w:rPr>
        <w:t>To assess both the internal and the external coherence of the programme, findings from desk research on links between ISA</w:t>
      </w:r>
      <w:r>
        <w:rPr>
          <w:rFonts w:cs="Times New Roman"/>
          <w:noProof/>
          <w:vertAlign w:val="superscript"/>
          <w:lang w:val="en-GB"/>
        </w:rPr>
        <w:t>2</w:t>
      </w:r>
      <w:r>
        <w:rPr>
          <w:rFonts w:cs="Times New Roman"/>
          <w:noProof/>
          <w:lang w:val="en-GB"/>
        </w:rPr>
        <w:t xml:space="preserve"> actions and the relationship between ISA</w:t>
      </w:r>
      <w:r>
        <w:rPr>
          <w:rFonts w:cs="Times New Roman"/>
          <w:noProof/>
          <w:vertAlign w:val="superscript"/>
          <w:lang w:val="en-GB"/>
        </w:rPr>
        <w:t>2</w:t>
      </w:r>
      <w:r>
        <w:rPr>
          <w:rFonts w:cs="Times New Roman"/>
          <w:noProof/>
          <w:lang w:val="en-GB"/>
        </w:rPr>
        <w:t xml:space="preserve"> and other relevant EU programmes/policies/initiatives were used in addition to the information provided by stakeholders. In this context, the following judgment criteria are considered:</w:t>
      </w:r>
    </w:p>
    <w:p>
      <w:pPr>
        <w:pStyle w:val="ListParagraph"/>
        <w:numPr>
          <w:ilvl w:val="0"/>
          <w:numId w:val="27"/>
        </w:numPr>
        <w:spacing w:after="120" w:line="276" w:lineRule="auto"/>
        <w:ind w:left="850" w:hanging="737"/>
        <w:contextualSpacing w:val="0"/>
        <w:rPr>
          <w:noProof/>
          <w:lang w:eastAsia="it-IT"/>
        </w:rPr>
      </w:pPr>
      <w:r>
        <w:rPr>
          <w:noProof/>
          <w:lang w:eastAsia="it-IT"/>
        </w:rPr>
        <w:t>Internal coherence:</w:t>
      </w:r>
    </w:p>
    <w:p>
      <w:pPr>
        <w:pStyle w:val="ListParagraph"/>
        <w:numPr>
          <w:ilvl w:val="0"/>
          <w:numId w:val="28"/>
        </w:numPr>
        <w:spacing w:after="60" w:line="276" w:lineRule="auto"/>
        <w:ind w:left="851" w:hanging="425"/>
        <w:contextualSpacing w:val="0"/>
        <w:rPr>
          <w:noProof/>
          <w:lang w:eastAsia="it-IT"/>
        </w:rPr>
      </w:pPr>
      <w:r>
        <w:rPr>
          <w:noProof/>
          <w:lang w:eastAsia="it-IT"/>
        </w:rPr>
        <w:t>Degree of coherence among actions funded by the ISA² programme;</w:t>
      </w:r>
    </w:p>
    <w:p>
      <w:pPr>
        <w:pStyle w:val="ListParagraph"/>
        <w:numPr>
          <w:ilvl w:val="0"/>
          <w:numId w:val="28"/>
        </w:numPr>
        <w:spacing w:after="60" w:line="276" w:lineRule="auto"/>
        <w:ind w:left="851" w:hanging="425"/>
        <w:contextualSpacing w:val="0"/>
        <w:rPr>
          <w:noProof/>
          <w:lang w:eastAsia="it-IT"/>
        </w:rPr>
      </w:pPr>
      <w:r>
        <w:rPr>
          <w:noProof/>
          <w:lang w:eastAsia="it-IT"/>
        </w:rPr>
        <w:t>Level of reuse of results of a funded action by another action within the ISA² programme;</w:t>
      </w:r>
    </w:p>
    <w:p>
      <w:pPr>
        <w:pStyle w:val="ListParagraph"/>
        <w:numPr>
          <w:ilvl w:val="0"/>
          <w:numId w:val="27"/>
        </w:numPr>
        <w:spacing w:after="120" w:line="276" w:lineRule="auto"/>
        <w:ind w:left="850" w:hanging="737"/>
        <w:contextualSpacing w:val="0"/>
        <w:rPr>
          <w:noProof/>
          <w:lang w:eastAsia="it-IT"/>
        </w:rPr>
      </w:pPr>
      <w:r>
        <w:rPr>
          <w:noProof/>
          <w:lang w:eastAsia="it-IT"/>
        </w:rPr>
        <w:t>External coherence:</w:t>
      </w:r>
    </w:p>
    <w:p>
      <w:pPr>
        <w:pStyle w:val="ListParagraph"/>
        <w:numPr>
          <w:ilvl w:val="0"/>
          <w:numId w:val="28"/>
        </w:numPr>
        <w:spacing w:after="60" w:line="276" w:lineRule="auto"/>
        <w:ind w:left="851" w:hanging="425"/>
        <w:contextualSpacing w:val="0"/>
        <w:rPr>
          <w:noProof/>
          <w:lang w:eastAsia="it-IT"/>
        </w:rPr>
      </w:pPr>
      <w:r>
        <w:rPr>
          <w:noProof/>
          <w:lang w:eastAsia="it-IT"/>
        </w:rPr>
        <w:t>Degree of coherence between the programme and other EU supported programmes;</w:t>
      </w:r>
    </w:p>
    <w:p>
      <w:pPr>
        <w:pStyle w:val="ListParagraph"/>
        <w:numPr>
          <w:ilvl w:val="0"/>
          <w:numId w:val="28"/>
        </w:numPr>
        <w:spacing w:after="60" w:line="276" w:lineRule="auto"/>
        <w:ind w:left="851" w:hanging="425"/>
        <w:contextualSpacing w:val="0"/>
        <w:rPr>
          <w:noProof/>
          <w:lang w:eastAsia="it-IT"/>
        </w:rPr>
      </w:pPr>
      <w:r>
        <w:rPr>
          <w:noProof/>
          <w:lang w:eastAsia="it-IT"/>
        </w:rPr>
        <w:t>Level of reuse of results delivered by ISA</w:t>
      </w:r>
      <w:r>
        <w:rPr>
          <w:noProof/>
          <w:vertAlign w:val="superscript"/>
          <w:lang w:eastAsia="it-IT"/>
        </w:rPr>
        <w:t>2</w:t>
      </w:r>
      <w:r>
        <w:rPr>
          <w:noProof/>
          <w:lang w:eastAsia="it-IT"/>
        </w:rPr>
        <w:t xml:space="preserve"> actions by other EU programmes;</w:t>
      </w:r>
    </w:p>
    <w:p>
      <w:pPr>
        <w:pStyle w:val="ListParagraph"/>
        <w:numPr>
          <w:ilvl w:val="0"/>
          <w:numId w:val="28"/>
        </w:numPr>
        <w:spacing w:after="60" w:line="276" w:lineRule="auto"/>
        <w:ind w:left="851" w:hanging="425"/>
        <w:contextualSpacing w:val="0"/>
        <w:rPr>
          <w:noProof/>
          <w:lang w:eastAsia="it-IT"/>
        </w:rPr>
      </w:pPr>
      <w:r>
        <w:rPr>
          <w:noProof/>
          <w:lang w:eastAsia="it-IT"/>
        </w:rPr>
        <w:t>Degree of coherence between the programme and other EU policies; and</w:t>
      </w:r>
    </w:p>
    <w:p>
      <w:pPr>
        <w:pStyle w:val="ListParagraph"/>
        <w:numPr>
          <w:ilvl w:val="0"/>
          <w:numId w:val="28"/>
        </w:numPr>
        <w:spacing w:after="200" w:line="276" w:lineRule="auto"/>
        <w:ind w:left="851" w:hanging="425"/>
        <w:contextualSpacing w:val="0"/>
        <w:rPr>
          <w:noProof/>
          <w:lang w:eastAsia="it-IT"/>
        </w:rPr>
      </w:pPr>
      <w:r>
        <w:rPr>
          <w:noProof/>
          <w:lang w:eastAsia="it-IT"/>
        </w:rPr>
        <w:t>Degree of coherence between the programme and global initiatives in the field.</w:t>
      </w:r>
    </w:p>
    <w:p>
      <w:pPr>
        <w:pStyle w:val="Heading3"/>
        <w:rPr>
          <w:noProof/>
          <w:lang w:val="en-GB"/>
        </w:rPr>
      </w:pPr>
      <w:r>
        <w:rPr>
          <w:noProof/>
          <w:lang w:val="en-GB"/>
        </w:rPr>
        <w:t>Analysis</w:t>
      </w:r>
    </w:p>
    <w:p>
      <w:pPr>
        <w:jc w:val="both"/>
        <w:rPr>
          <w:rFonts w:cs="Times New Roman"/>
          <w:b/>
          <w:iCs/>
          <w:noProof/>
          <w:u w:val="single"/>
          <w:lang w:val="en-GB"/>
        </w:rPr>
      </w:pPr>
      <w:r>
        <w:rPr>
          <w:rFonts w:cs="Times New Roman"/>
          <w:b/>
          <w:iCs/>
          <w:noProof/>
          <w:u w:val="single"/>
          <w:lang w:val="en-GB"/>
        </w:rPr>
        <w:t>JC1: Internal coherence</w:t>
      </w:r>
    </w:p>
    <w:p>
      <w:pPr>
        <w:jc w:val="both"/>
        <w:rPr>
          <w:rFonts w:cs="Times New Roman"/>
          <w:noProof/>
          <w:lang w:val="en-GB"/>
        </w:rPr>
      </w:pPr>
      <w:r>
        <w:rPr>
          <w:rFonts w:cs="Times New Roman"/>
          <w:noProof/>
          <w:lang w:val="en-GB"/>
        </w:rPr>
        <w:t>Given that the ISA</w:t>
      </w:r>
      <w:r>
        <w:rPr>
          <w:rFonts w:cs="Times New Roman"/>
          <w:noProof/>
          <w:vertAlign w:val="superscript"/>
          <w:lang w:val="en-GB"/>
        </w:rPr>
        <w:t>2</w:t>
      </w:r>
      <w:r>
        <w:rPr>
          <w:rFonts w:cs="Times New Roman"/>
          <w:noProof/>
          <w:lang w:val="en-GB"/>
        </w:rPr>
        <w:t xml:space="preserve"> programme currently manages 53 actions</w:t>
      </w:r>
      <w:r>
        <w:rPr>
          <w:rStyle w:val="FootnoteReference"/>
          <w:noProof/>
        </w:rPr>
        <w:footnoteReference w:id="57"/>
      </w:r>
      <w:r>
        <w:rPr>
          <w:rFonts w:cs="Times New Roman"/>
          <w:noProof/>
          <w:lang w:val="en-GB"/>
        </w:rPr>
        <w:t xml:space="preserve">, it is important to ensure that they work together to create benefits and that work is not duplicated. The stakeholder groups consulted on this matter (programme governance, action owners, solution users) tend to agree </w:t>
      </w:r>
      <w:r>
        <w:rPr>
          <w:rFonts w:cs="Times New Roman"/>
          <w:b/>
          <w:noProof/>
          <w:lang w:val="en-GB"/>
        </w:rPr>
        <w:t>that ISA</w:t>
      </w:r>
      <w:r>
        <w:rPr>
          <w:rFonts w:cs="Times New Roman"/>
          <w:b/>
          <w:noProof/>
          <w:vertAlign w:val="superscript"/>
          <w:lang w:val="en-GB"/>
        </w:rPr>
        <w:t>2</w:t>
      </w:r>
      <w:r>
        <w:rPr>
          <w:rFonts w:cs="Times New Roman"/>
          <w:b/>
          <w:noProof/>
          <w:lang w:val="en-GB"/>
        </w:rPr>
        <w:t xml:space="preserve"> actions generate synergies</w:t>
      </w:r>
      <w:r>
        <w:rPr>
          <w:rFonts w:cs="Times New Roman"/>
          <w:noProof/>
          <w:lang w:val="en-GB"/>
        </w:rPr>
        <w:t xml:space="preserve"> (</w:t>
      </w:r>
      <w:r>
        <w:rPr>
          <w:rFonts w:cs="Times New Roman"/>
          <w:noProof/>
        </w:rPr>
        <w:fldChar w:fldCharType="begin"/>
      </w:r>
      <w:r>
        <w:rPr>
          <w:rFonts w:cs="Times New Roman"/>
          <w:noProof/>
          <w:lang w:val="en-GB"/>
        </w:rPr>
        <w:instrText xml:space="preserve"> REF _Ref9701062 \h  \* MERGEFORMAT </w:instrText>
      </w:r>
      <w:r>
        <w:rPr>
          <w:rFonts w:cs="Times New Roman"/>
          <w:noProof/>
        </w:rPr>
      </w:r>
      <w:r>
        <w:rPr>
          <w:rFonts w:cs="Times New Roman"/>
          <w:noProof/>
        </w:rPr>
        <w:fldChar w:fldCharType="separate"/>
      </w:r>
      <w:r>
        <w:rPr>
          <w:rFonts w:cs="Times New Roman"/>
          <w:noProof/>
          <w:lang w:val="en-GB"/>
        </w:rPr>
        <w:t>Figure 15</w:t>
      </w:r>
      <w:r>
        <w:rPr>
          <w:rFonts w:cs="Times New Roman"/>
          <w:noProof/>
        </w:rPr>
        <w:fldChar w:fldCharType="end"/>
      </w:r>
      <w:r>
        <w:rPr>
          <w:rFonts w:cs="Times New Roman"/>
          <w:noProof/>
          <w:lang w:val="en-GB"/>
        </w:rPr>
        <w:t>). At the same time, most stakeholders indicate only limited overlaps between ISA</w:t>
      </w:r>
      <w:r>
        <w:rPr>
          <w:rFonts w:cs="Times New Roman"/>
          <w:noProof/>
          <w:vertAlign w:val="superscript"/>
          <w:lang w:val="en-GB"/>
        </w:rPr>
        <w:t>2</w:t>
      </w:r>
      <w:r>
        <w:rPr>
          <w:rFonts w:cs="Times New Roman"/>
          <w:noProof/>
          <w:lang w:val="en-GB"/>
        </w:rPr>
        <w:t xml:space="preserve"> actions. Stakeholder feedback on synergies and overlaps, as two sides of the same coin, paints a positive picture of the internal coherence of the ISA</w:t>
      </w:r>
      <w:r>
        <w:rPr>
          <w:rFonts w:cs="Times New Roman"/>
          <w:noProof/>
          <w:vertAlign w:val="superscript"/>
          <w:lang w:val="en-GB"/>
        </w:rPr>
        <w:t>2</w:t>
      </w:r>
      <w:r>
        <w:rPr>
          <w:rFonts w:cs="Times New Roman"/>
          <w:noProof/>
          <w:lang w:val="en-GB"/>
        </w:rPr>
        <w:t xml:space="preserve"> programme.</w:t>
      </w:r>
    </w:p>
    <w:p>
      <w:pPr>
        <w:jc w:val="both"/>
        <w:rPr>
          <w:rFonts w:cs="Times New Roman"/>
          <w:noProof/>
          <w:lang w:val="en-GB"/>
        </w:rPr>
      </w:pPr>
      <w:r>
        <w:rPr>
          <w:rFonts w:cs="Times New Roman"/>
          <w:noProof/>
          <w:lang w:val="en-GB"/>
        </w:rPr>
        <w:t>Only 4 % of respondents (2 out of 53) identify a high degree of overlaps between ISA</w:t>
      </w:r>
      <w:r>
        <w:rPr>
          <w:rFonts w:cs="Times New Roman"/>
          <w:noProof/>
          <w:vertAlign w:val="superscript"/>
          <w:lang w:val="en-GB"/>
        </w:rPr>
        <w:t>2</w:t>
      </w:r>
      <w:r>
        <w:rPr>
          <w:rFonts w:cs="Times New Roman"/>
          <w:noProof/>
          <w:lang w:val="en-GB"/>
        </w:rPr>
        <w:t xml:space="preserve"> actions, while the vast majority, 77 % (41 out of 53), consider overlaps as either not existing or being limited. In addition, respondents point to the existence of synergies: 41 % of respondents (27 out of 66) identify synergies as existing to a high extent or to the fullest extent and 17 % (11 out of 66) identify either no synergies or limited synergies. It is relevant to note that a significant number of solution users indicated that they were unaware of either synergies or overlaps between ISA</w:t>
      </w:r>
      <w:r>
        <w:rPr>
          <w:rFonts w:cs="Times New Roman"/>
          <w:noProof/>
          <w:vertAlign w:val="superscript"/>
          <w:lang w:val="en-GB"/>
        </w:rPr>
        <w:t>2</w:t>
      </w:r>
      <w:r>
        <w:rPr>
          <w:rFonts w:cs="Times New Roman"/>
          <w:noProof/>
          <w:lang w:val="en-GB"/>
        </w:rPr>
        <w:t xml:space="preserve"> actions. This feedback can be explained by stakeholders’ various levels of knowledge about ISA</w:t>
      </w:r>
      <w:r>
        <w:rPr>
          <w:rFonts w:cs="Times New Roman"/>
          <w:noProof/>
          <w:vertAlign w:val="superscript"/>
          <w:lang w:val="en-GB"/>
        </w:rPr>
        <w:t>2</w:t>
      </w:r>
      <w:r>
        <w:rPr>
          <w:rFonts w:cs="Times New Roman"/>
          <w:noProof/>
          <w:lang w:val="en-GB"/>
        </w:rPr>
        <w:t xml:space="preserve"> packages. As not all stakeholders are familiar with all ISA</w:t>
      </w:r>
      <w:r>
        <w:rPr>
          <w:rFonts w:cs="Times New Roman"/>
          <w:noProof/>
          <w:vertAlign w:val="superscript"/>
          <w:lang w:val="en-GB"/>
        </w:rPr>
        <w:t>2</w:t>
      </w:r>
      <w:r>
        <w:rPr>
          <w:rFonts w:cs="Times New Roman"/>
          <w:noProof/>
          <w:lang w:val="en-GB"/>
        </w:rPr>
        <w:t xml:space="preserve"> packages, they might not be in a suitable position to identify potential synergies or overlaps.</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15</w:t>
      </w:r>
      <w:r>
        <w:rPr>
          <w:rFonts w:cs="Times New Roman"/>
          <w:noProof/>
        </w:rPr>
        <w:fldChar w:fldCharType="end"/>
      </w:r>
      <w:r>
        <w:rPr>
          <w:rFonts w:cs="Times New Roman"/>
          <w:noProof/>
        </w:rPr>
        <w:t>: Extent to which there are synergies / overlaps between ISA</w:t>
      </w:r>
      <w:r>
        <w:rPr>
          <w:rFonts w:cs="Times New Roman"/>
          <w:noProof/>
          <w:vertAlign w:val="superscript"/>
        </w:rPr>
        <w:t>2</w:t>
      </w:r>
      <w:r>
        <w:rPr>
          <w:rFonts w:cs="Times New Roman"/>
          <w:noProof/>
        </w:rPr>
        <w:t xml:space="preserve"> actions (average score of answers, number of respondents)</w:t>
      </w:r>
    </w:p>
    <w:p>
      <w:pPr>
        <w:pStyle w:val="VISUAL"/>
        <w:rPr>
          <w:rFonts w:cs="Times New Roman"/>
          <w:noProof/>
        </w:rPr>
      </w:pPr>
      <w:r>
        <w:rPr>
          <w:rFonts w:cs="Times New Roman"/>
          <w:noProof/>
          <w:lang w:eastAsia="en-GB"/>
        </w:rPr>
        <w:drawing>
          <wp:inline distT="0" distB="0" distL="0" distR="0">
            <wp:extent cx="5201920" cy="2114550"/>
            <wp:effectExtent l="0" t="0" r="0" b="0"/>
            <wp:docPr id="145" name="Chart 14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52533BC-A9F6-4E49-8CCE-CA60D482B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92"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The </w:t>
      </w:r>
      <w:r>
        <w:rPr>
          <w:rFonts w:cs="Times New Roman"/>
          <w:b/>
          <w:noProof/>
          <w:lang w:val="en-GB"/>
        </w:rPr>
        <w:t>review of documentary evidence</w:t>
      </w:r>
      <w:r>
        <w:rPr>
          <w:rFonts w:cs="Times New Roman"/>
          <w:noProof/>
          <w:lang w:val="en-GB"/>
        </w:rPr>
        <w:t xml:space="preserve"> confirms the results of the consultation activities, particularly regarding the existence of synergies between ISA</w:t>
      </w:r>
      <w:r>
        <w:rPr>
          <w:rFonts w:cs="Times New Roman"/>
          <w:noProof/>
          <w:vertAlign w:val="superscript"/>
          <w:lang w:val="en-GB"/>
        </w:rPr>
        <w:t>2</w:t>
      </w:r>
      <w:r>
        <w:rPr>
          <w:rFonts w:cs="Times New Roman"/>
          <w:noProof/>
          <w:lang w:val="en-GB"/>
        </w:rPr>
        <w:t xml:space="preserve"> actions. The indicator of the ‘network’ of relationships between the programme’s actions</w:t>
      </w:r>
      <w:r>
        <w:rPr>
          <w:rStyle w:val="FootnoteReference"/>
          <w:noProof/>
        </w:rPr>
        <w:footnoteReference w:id="58"/>
      </w:r>
      <w:r>
        <w:rPr>
          <w:rFonts w:cs="Times New Roman"/>
          <w:noProof/>
          <w:lang w:val="en-GB"/>
        </w:rPr>
        <w:t>, as shown on the ISA</w:t>
      </w:r>
      <w:r>
        <w:rPr>
          <w:rFonts w:cs="Times New Roman"/>
          <w:noProof/>
          <w:vertAlign w:val="superscript"/>
          <w:lang w:val="en-GB"/>
        </w:rPr>
        <w:t>2</w:t>
      </w:r>
      <w:r>
        <w:rPr>
          <w:rFonts w:cs="Times New Roman"/>
          <w:noProof/>
          <w:lang w:val="en-GB"/>
        </w:rPr>
        <w:t xml:space="preserve"> dashboard, is particularly relevant here. The quantitative assessment of the data provided online for the sample of 20 actions under assessment shows (see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_Ref9701848 \h  \* MERGEFORMAT </w:instrText>
      </w:r>
      <w:r>
        <w:rPr>
          <w:rFonts w:cs="Times New Roman"/>
          <w:noProof/>
        </w:rPr>
      </w:r>
      <w:r>
        <w:rPr>
          <w:rFonts w:cs="Times New Roman"/>
          <w:noProof/>
        </w:rPr>
        <w:fldChar w:fldCharType="separate"/>
      </w:r>
      <w:r>
        <w:rPr>
          <w:rFonts w:cs="Times New Roman"/>
          <w:noProof/>
          <w:lang w:val="en-GB"/>
        </w:rPr>
        <w:t>Table 17</w:t>
      </w:r>
      <w:r>
        <w:rPr>
          <w:rFonts w:cs="Times New Roman"/>
          <w:noProof/>
        </w:rPr>
        <w:fldChar w:fldCharType="end"/>
      </w:r>
      <w:r>
        <w:rPr>
          <w:rFonts w:cs="Times New Roman"/>
          <w:noProof/>
          <w:lang w:val="en-GB"/>
        </w:rPr>
        <w:t xml:space="preserve">) that </w:t>
      </w:r>
      <w:r>
        <w:rPr>
          <w:rFonts w:cs="Times New Roman"/>
          <w:b/>
          <w:noProof/>
          <w:lang w:val="en-GB"/>
        </w:rPr>
        <w:t>there are multiple instances of internal reuse of ISA</w:t>
      </w:r>
      <w:r>
        <w:rPr>
          <w:rFonts w:cs="Times New Roman"/>
          <w:b/>
          <w:noProof/>
          <w:vertAlign w:val="superscript"/>
          <w:lang w:val="en-GB"/>
        </w:rPr>
        <w:t>2</w:t>
      </w:r>
      <w:r>
        <w:rPr>
          <w:rFonts w:cs="Times New Roman"/>
          <w:b/>
          <w:noProof/>
          <w:lang w:val="en-GB"/>
        </w:rPr>
        <w:t xml:space="preserve"> solutions</w:t>
      </w:r>
      <w:r>
        <w:rPr>
          <w:rFonts w:cs="Times New Roman"/>
          <w:noProof/>
          <w:lang w:val="en-GB"/>
        </w:rPr>
        <w:t>, with actions like ‘SEMIC’ and ‘Joinup’ playing a particularly important role in the system.</w:t>
      </w:r>
    </w:p>
    <w:p>
      <w:pPr>
        <w:jc w:val="both"/>
        <w:rPr>
          <w:rFonts w:cs="Times New Roman"/>
          <w:noProof/>
          <w:lang w:val="en-GB"/>
        </w:rPr>
      </w:pPr>
      <w:r>
        <w:rPr>
          <w:rFonts w:cs="Times New Roman"/>
          <w:b/>
          <w:noProof/>
          <w:lang w:val="en-GB"/>
        </w:rPr>
        <w:t>At the same time, some actions tend to be less central in the network</w:t>
      </w:r>
      <w:r>
        <w:rPr>
          <w:rFonts w:cs="Times New Roman"/>
          <w:noProof/>
          <w:lang w:val="en-GB"/>
        </w:rPr>
        <w:t>. This is the case particularly for the ‘EUSurvey’</w:t>
      </w:r>
      <w:r>
        <w:rPr>
          <w:rStyle w:val="FootnoteReference"/>
          <w:noProof/>
        </w:rPr>
        <w:footnoteReference w:id="59"/>
      </w:r>
      <w:r>
        <w:rPr>
          <w:rFonts w:cs="Times New Roman"/>
          <w:noProof/>
          <w:lang w:val="en-GB"/>
        </w:rPr>
        <w:t xml:space="preserve"> and ‘European Citizens’ Initiative and European Parliament Election’</w:t>
      </w:r>
      <w:r>
        <w:rPr>
          <w:rStyle w:val="FootnoteReference"/>
          <w:noProof/>
        </w:rPr>
        <w:footnoteReference w:id="60"/>
      </w:r>
      <w:r>
        <w:rPr>
          <w:rFonts w:cs="Times New Roman"/>
          <w:noProof/>
          <w:lang w:val="en-GB"/>
        </w:rPr>
        <w:t xml:space="preserve"> actions. The specificity of these actions makes it more likely that their solutions are reused by other programmes or initiatives, rather than by other ISA</w:t>
      </w:r>
      <w:r>
        <w:rPr>
          <w:rFonts w:cs="Times New Roman"/>
          <w:noProof/>
          <w:vertAlign w:val="superscript"/>
          <w:lang w:val="en-GB"/>
        </w:rPr>
        <w:t>2</w:t>
      </w:r>
      <w:r>
        <w:rPr>
          <w:rFonts w:cs="Times New Roman"/>
          <w:noProof/>
          <w:lang w:val="en-GB"/>
        </w:rPr>
        <w:t xml:space="preserve"> actions.</w:t>
      </w:r>
    </w:p>
    <w:p>
      <w:pPr>
        <w:jc w:val="both"/>
        <w:rPr>
          <w:rFonts w:cs="Times New Roman"/>
          <w:noProof/>
          <w:lang w:val="en-GB"/>
        </w:rPr>
      </w:pPr>
      <w:r>
        <w:rPr>
          <w:rFonts w:cs="Times New Roman"/>
          <w:noProof/>
          <w:lang w:val="en-GB"/>
        </w:rPr>
        <w:t>Throughout the consultation activities, additional inputs were collected from respondents concerning synergies between actions and examples of instances when results delivered by an ISA</w:t>
      </w:r>
      <w:r>
        <w:rPr>
          <w:rFonts w:cs="Times New Roman"/>
          <w:noProof/>
          <w:vertAlign w:val="superscript"/>
          <w:lang w:val="en-GB"/>
        </w:rPr>
        <w:t>2</w:t>
      </w:r>
      <w:r>
        <w:rPr>
          <w:rFonts w:cs="Times New Roman"/>
          <w:noProof/>
          <w:lang w:val="en-GB"/>
        </w:rPr>
        <w:t xml:space="preserve"> action were used by another action (see </w:t>
      </w:r>
      <w:r>
        <w:rPr>
          <w:rFonts w:cs="Times New Roman"/>
          <w:noProof/>
        </w:rPr>
        <w:fldChar w:fldCharType="begin"/>
      </w:r>
      <w:r>
        <w:rPr>
          <w:rFonts w:cs="Times New Roman"/>
          <w:noProof/>
          <w:lang w:val="en-GB"/>
        </w:rPr>
        <w:instrText xml:space="preserve"> REF _Ref9703039 \h  \* MERGEFORMAT </w:instrText>
      </w:r>
      <w:r>
        <w:rPr>
          <w:rFonts w:cs="Times New Roman"/>
          <w:noProof/>
        </w:rPr>
      </w:r>
      <w:r>
        <w:rPr>
          <w:rFonts w:cs="Times New Roman"/>
          <w:noProof/>
        </w:rPr>
        <w:fldChar w:fldCharType="separate"/>
      </w:r>
      <w:r>
        <w:rPr>
          <w:rFonts w:cs="Times New Roman"/>
          <w:noProof/>
          <w:lang w:val="en-GB"/>
        </w:rPr>
        <w:t>Box 6</w:t>
      </w:r>
      <w:r>
        <w:rPr>
          <w:rFonts w:cs="Times New Roman"/>
          <w:noProof/>
        </w:rPr>
        <w:fldChar w:fldCharType="end"/>
      </w:r>
      <w:r>
        <w:rPr>
          <w:rFonts w:cs="Times New Roman"/>
          <w:noProof/>
          <w:lang w:val="en-GB"/>
        </w:rPr>
        <w:t>).</w:t>
      </w:r>
    </w:p>
    <w:p>
      <w:pPr>
        <w:jc w:val="both"/>
        <w:rPr>
          <w:rFonts w:cs="Times New Roman"/>
          <w:noProof/>
          <w:lang w:val="en-GB"/>
        </w:rPr>
      </w:pPr>
    </w:p>
    <w:p>
      <w:pPr>
        <w:jc w:val="both"/>
        <w:rPr>
          <w:rFonts w:cs="Times New Roman"/>
          <w:noProof/>
          <w:lang w:val="en-GB"/>
        </w:rPr>
      </w:pP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6</w:t>
      </w:r>
      <w:r>
        <w:rPr>
          <w:rFonts w:cs="Times New Roman"/>
          <w:noProof/>
        </w:rPr>
        <w:fldChar w:fldCharType="end"/>
      </w:r>
      <w:r>
        <w:rPr>
          <w:rFonts w:cs="Times New Roman"/>
          <w:noProof/>
        </w:rPr>
        <w:t>: Examples of internal coherence between ISA</w:t>
      </w:r>
      <w:r>
        <w:rPr>
          <w:rFonts w:cs="Times New Roman"/>
          <w:noProof/>
          <w:vertAlign w:val="superscript"/>
        </w:rPr>
        <w:t>2</w:t>
      </w:r>
      <w:r>
        <w:rPr>
          <w:rFonts w:cs="Times New Roman"/>
          <w:noProof/>
        </w:rPr>
        <w:t xml:space="preserve"> actions</w:t>
      </w:r>
    </w:p>
    <w:tbl>
      <w:tblPr>
        <w:tblW w:w="0" w:type="auto"/>
        <w:tblLook w:val="04A0" w:firstRow="1" w:lastRow="0" w:firstColumn="1" w:lastColumn="0" w:noHBand="0" w:noVBand="1"/>
      </w:tblPr>
      <w:tblGrid>
        <w:gridCol w:w="8834"/>
      </w:tblGrid>
      <w:tr>
        <w:tc>
          <w:tcPr>
            <w:tcW w:w="9016" w:type="dxa"/>
            <w:shd w:val="clear" w:color="auto" w:fill="C6D9F1" w:themeFill="text2" w:themeFillTint="33"/>
          </w:tcPr>
          <w:p>
            <w:pPr>
              <w:numPr>
                <w:ilvl w:val="0"/>
                <w:numId w:val="65"/>
              </w:numPr>
              <w:spacing w:after="120"/>
              <w:ind w:left="470" w:hanging="357"/>
              <w:jc w:val="both"/>
              <w:rPr>
                <w:rFonts w:cs="Times New Roman"/>
                <w:noProof/>
                <w:sz w:val="22"/>
                <w:lang w:val="en-GB"/>
              </w:rPr>
            </w:pPr>
            <w:r>
              <w:rPr>
                <w:rFonts w:cs="Times New Roman"/>
                <w:noProof/>
                <w:sz w:val="22"/>
                <w:lang w:val="en-GB"/>
              </w:rPr>
              <w:t xml:space="preserve">The </w:t>
            </w:r>
            <w:r>
              <w:rPr>
                <w:rFonts w:cs="Times New Roman"/>
                <w:b/>
                <w:noProof/>
                <w:sz w:val="22"/>
                <w:lang w:val="en-GB"/>
              </w:rPr>
              <w:t>‘</w:t>
            </w:r>
            <w:r>
              <w:rPr>
                <w:rFonts w:cs="Times New Roman"/>
                <w:noProof/>
                <w:sz w:val="22"/>
                <w:lang w:val="en-GB"/>
              </w:rPr>
              <w:t>DCAT-AP’ specification, developed under the ‘SEMIC’ action, has been reused in the development of the ‘CPSV-AP’ under the ‘Catalogue of Services’ action. ‘Access to base registries’ reuses ‘Core Vocabularies’, ‘DCAT-AP’ (both part of the ‘SEMIC’ action) and ‘EIRA’ (part of the ‘European Interoperability Architecture’ action). In addition, ‘SEMIC’ solutions have also been used by the ‘ELISE’ action.</w:t>
            </w:r>
          </w:p>
          <w:p>
            <w:pPr>
              <w:numPr>
                <w:ilvl w:val="0"/>
                <w:numId w:val="65"/>
              </w:numPr>
              <w:spacing w:after="120"/>
              <w:ind w:left="470" w:hanging="357"/>
              <w:jc w:val="both"/>
              <w:rPr>
                <w:rFonts w:cs="Times New Roman"/>
                <w:noProof/>
                <w:sz w:val="22"/>
                <w:lang w:val="en-GB"/>
              </w:rPr>
            </w:pPr>
            <w:r>
              <w:rPr>
                <w:rFonts w:cs="Times New Roman"/>
                <w:noProof/>
                <w:sz w:val="22"/>
                <w:lang w:val="en-GB"/>
              </w:rPr>
              <w:t>The ‘Re3gistry’ solution, part of the ‘ELISE’ action, is used to share codes developed for ‘Core Vocabularies’ (part of the ‘SEMIC’ action).</w:t>
            </w:r>
          </w:p>
          <w:p>
            <w:pPr>
              <w:numPr>
                <w:ilvl w:val="0"/>
                <w:numId w:val="65"/>
              </w:numPr>
              <w:spacing w:after="120"/>
              <w:ind w:left="470" w:hanging="357"/>
              <w:jc w:val="both"/>
              <w:rPr>
                <w:rFonts w:cs="Times New Roman"/>
                <w:noProof/>
                <w:sz w:val="22"/>
                <w:lang w:val="en-GB"/>
              </w:rPr>
            </w:pPr>
            <w:r>
              <w:rPr>
                <w:rFonts w:cs="Times New Roman"/>
                <w:noProof/>
                <w:sz w:val="22"/>
                <w:lang w:val="en-GB"/>
              </w:rPr>
              <w:t>The platform for secure file exchange ‘e-TrustEx’ (part of the action with the same name) is used in the area of eProcurement by the ‘European Public Procurement Interoperability Initiative’ action, in particular by the ‘e-Prior’ solution developed as part of the action. ‘E-Prior’ is a module built based on ‘e-TrustEx’.</w:t>
            </w:r>
          </w:p>
          <w:p>
            <w:pPr>
              <w:numPr>
                <w:ilvl w:val="0"/>
                <w:numId w:val="65"/>
              </w:numPr>
              <w:spacing w:after="120"/>
              <w:ind w:left="470" w:hanging="357"/>
              <w:jc w:val="both"/>
              <w:rPr>
                <w:rFonts w:cs="Times New Roman"/>
                <w:noProof/>
                <w:sz w:val="22"/>
                <w:lang w:val="en-GB"/>
              </w:rPr>
            </w:pPr>
            <w:r>
              <w:rPr>
                <w:rFonts w:cs="Times New Roman"/>
                <w:noProof/>
                <w:sz w:val="22"/>
                <w:lang w:val="en-GB"/>
              </w:rPr>
              <w:t>As regards synergies with the ‘Joinup’ platform, there is a particularly strong relationship between the ‘Sharing and Reuse’ action and ‘Joinup’. The former aims to support public administrations in sharing collaborative development, reusing IT solutions and promoting best practices; the latter is a collaborative platform providing the means to achieve this.</w:t>
            </w:r>
          </w:p>
          <w:p>
            <w:pPr>
              <w:numPr>
                <w:ilvl w:val="0"/>
                <w:numId w:val="65"/>
              </w:numPr>
              <w:spacing w:after="120"/>
              <w:ind w:left="470" w:hanging="357"/>
              <w:jc w:val="both"/>
              <w:rPr>
                <w:rFonts w:cs="Times New Roman"/>
                <w:noProof/>
                <w:sz w:val="22"/>
                <w:lang w:val="en-GB"/>
              </w:rPr>
            </w:pPr>
            <w:r>
              <w:rPr>
                <w:rFonts w:cs="Times New Roman"/>
                <w:noProof/>
                <w:sz w:val="22"/>
                <w:lang w:val="en-GB"/>
              </w:rPr>
              <w:t>The ‘National Interoperability Framework Observatory’ (NIFO) action is reusing some of the information from the ‘Access to base registries’ action in order to compile the eGovernment factsheets.</w:t>
            </w:r>
          </w:p>
        </w:tc>
      </w:tr>
    </w:tbl>
    <w:p>
      <w:pPr>
        <w:jc w:val="both"/>
        <w:rPr>
          <w:rFonts w:cs="Times New Roman"/>
          <w:noProof/>
          <w:lang w:val="en-GB"/>
        </w:rPr>
      </w:pPr>
    </w:p>
    <w:p>
      <w:pPr>
        <w:jc w:val="both"/>
        <w:rPr>
          <w:rFonts w:cs="Times New Roman"/>
          <w:b/>
          <w:iCs/>
          <w:noProof/>
          <w:u w:val="single"/>
          <w:lang w:val="en-GB"/>
        </w:rPr>
      </w:pPr>
      <w:r>
        <w:rPr>
          <w:rFonts w:cs="Times New Roman"/>
          <w:b/>
          <w:iCs/>
          <w:noProof/>
          <w:u w:val="single"/>
          <w:lang w:val="en-GB"/>
        </w:rPr>
        <w:t>JC2: External coherence</w:t>
      </w:r>
    </w:p>
    <w:p>
      <w:pPr>
        <w:jc w:val="both"/>
        <w:rPr>
          <w:rFonts w:cs="Times New Roman"/>
          <w:noProof/>
          <w:lang w:val="en-GB"/>
        </w:rPr>
      </w:pPr>
      <w:r>
        <w:rPr>
          <w:rFonts w:cs="Times New Roman"/>
          <w:noProof/>
          <w:lang w:val="en-GB"/>
        </w:rPr>
        <w:t>In order to assess the external coherence of ISA</w:t>
      </w:r>
      <w:r>
        <w:rPr>
          <w:rFonts w:cs="Times New Roman"/>
          <w:noProof/>
          <w:vertAlign w:val="superscript"/>
          <w:lang w:val="en-GB"/>
        </w:rPr>
        <w:t>2</w:t>
      </w:r>
      <w:r>
        <w:rPr>
          <w:rFonts w:cs="Times New Roman"/>
          <w:noProof/>
          <w:lang w:val="en-GB"/>
        </w:rPr>
        <w:t>, stakeholders were asked to assess the level of synergies and overlaps existing between ISA</w:t>
      </w:r>
      <w:r>
        <w:rPr>
          <w:rFonts w:cs="Times New Roman"/>
          <w:noProof/>
          <w:vertAlign w:val="superscript"/>
          <w:lang w:val="en-GB"/>
        </w:rPr>
        <w:t>2</w:t>
      </w:r>
      <w:r>
        <w:rPr>
          <w:rFonts w:cs="Times New Roman"/>
          <w:noProof/>
          <w:lang w:val="en-GB"/>
        </w:rPr>
        <w:t xml:space="preserve"> and four EU programmes identified as relevant for the field of digitalisation of public administrations and interoperability: i) CEF</w:t>
      </w:r>
      <w:r>
        <w:rPr>
          <w:rStyle w:val="FootnoteReference"/>
          <w:noProof/>
        </w:rPr>
        <w:footnoteReference w:id="61"/>
      </w:r>
      <w:r>
        <w:rPr>
          <w:rFonts w:cs="Times New Roman"/>
          <w:noProof/>
          <w:lang w:val="en-GB"/>
        </w:rPr>
        <w:t>, ii) ESF</w:t>
      </w:r>
      <w:r>
        <w:rPr>
          <w:rStyle w:val="FootnoteReference"/>
          <w:noProof/>
        </w:rPr>
        <w:footnoteReference w:id="62"/>
      </w:r>
      <w:r>
        <w:rPr>
          <w:rFonts w:cs="Times New Roman"/>
          <w:noProof/>
          <w:lang w:val="en-GB"/>
        </w:rPr>
        <w:t>, iii) Horizon 2020</w:t>
      </w:r>
      <w:r>
        <w:rPr>
          <w:rStyle w:val="FootnoteReference"/>
          <w:noProof/>
        </w:rPr>
        <w:footnoteReference w:id="63"/>
      </w:r>
      <w:r>
        <w:rPr>
          <w:rFonts w:cs="Times New Roman"/>
          <w:noProof/>
          <w:lang w:val="en-GB"/>
        </w:rPr>
        <w:t xml:space="preserve"> and iv) SRSP</w:t>
      </w:r>
      <w:r>
        <w:rPr>
          <w:rStyle w:val="FootnoteReference"/>
          <w:noProof/>
        </w:rPr>
        <w:footnoteReference w:id="64"/>
      </w:r>
      <w:r>
        <w:rPr>
          <w:rFonts w:cs="Times New Roman"/>
          <w:noProof/>
          <w:lang w:val="en-GB"/>
        </w:rPr>
        <w:t xml:space="preserve">. The results are presented in </w:t>
      </w:r>
      <w:r>
        <w:rPr>
          <w:rFonts w:cs="Times New Roman"/>
          <w:noProof/>
        </w:rPr>
        <w:fldChar w:fldCharType="begin"/>
      </w:r>
      <w:r>
        <w:rPr>
          <w:rFonts w:cs="Times New Roman"/>
          <w:noProof/>
          <w:lang w:val="en-GB"/>
        </w:rPr>
        <w:instrText xml:space="preserve"> REF _Ref9703935 \h  \* MERGEFORMAT </w:instrText>
      </w:r>
      <w:r>
        <w:rPr>
          <w:rFonts w:cs="Times New Roman"/>
          <w:noProof/>
        </w:rPr>
      </w:r>
      <w:r>
        <w:rPr>
          <w:rFonts w:cs="Times New Roman"/>
          <w:noProof/>
        </w:rPr>
        <w:fldChar w:fldCharType="separate"/>
      </w:r>
      <w:r>
        <w:rPr>
          <w:rFonts w:cs="Times New Roman"/>
          <w:noProof/>
          <w:lang w:val="en-GB"/>
        </w:rPr>
        <w:t>Figure 16</w:t>
      </w:r>
      <w:r>
        <w:rPr>
          <w:rFonts w:cs="Times New Roman"/>
          <w:noProof/>
        </w:rPr>
        <w:fldChar w:fldCharType="end"/>
      </w:r>
      <w:r>
        <w:rPr>
          <w:rFonts w:cs="Times New Roman"/>
          <w:noProof/>
          <w:lang w:val="en-GB"/>
        </w:rPr>
        <w:t>.</w:t>
      </w:r>
    </w:p>
    <w:p>
      <w:pPr>
        <w:pStyle w:val="FirstlevellistLAST"/>
        <w:numPr>
          <w:ilvl w:val="0"/>
          <w:numId w:val="0"/>
        </w:numPr>
        <w:rPr>
          <w:noProof/>
        </w:rPr>
      </w:pPr>
    </w:p>
    <w:p>
      <w:pPr>
        <w:jc w:val="both"/>
        <w:rPr>
          <w:rFonts w:cs="Times New Roman"/>
          <w:noProof/>
          <w:lang w:val="en-GB"/>
        </w:rPr>
      </w:pP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16</w:t>
      </w:r>
      <w:r>
        <w:rPr>
          <w:rFonts w:cs="Times New Roman"/>
          <w:noProof/>
        </w:rPr>
        <w:fldChar w:fldCharType="end"/>
      </w:r>
      <w:r>
        <w:rPr>
          <w:rFonts w:cs="Times New Roman"/>
          <w:noProof/>
        </w:rPr>
        <w:t>: Extent to which there are synergies / overlaps between ISA</w:t>
      </w:r>
      <w:r>
        <w:rPr>
          <w:rFonts w:cs="Times New Roman"/>
          <w:noProof/>
          <w:vertAlign w:val="superscript"/>
        </w:rPr>
        <w:t>2</w:t>
      </w:r>
      <w:r>
        <w:rPr>
          <w:rFonts w:cs="Times New Roman"/>
          <w:noProof/>
        </w:rPr>
        <w:t xml:space="preserve"> and other relevant EU programmes (average score of answers, number of respondents)</w:t>
      </w:r>
    </w:p>
    <w:p>
      <w:pPr>
        <w:pStyle w:val="VISUAL"/>
        <w:rPr>
          <w:rFonts w:cs="Times New Roman"/>
          <w:noProof/>
        </w:rPr>
      </w:pPr>
      <w:r>
        <w:rPr>
          <w:rFonts w:cs="Times New Roman"/>
          <w:noProof/>
          <w:lang w:eastAsia="en-GB"/>
        </w:rPr>
        <w:drawing>
          <wp:inline distT="0" distB="0" distL="0" distR="0">
            <wp:extent cx="5731510" cy="7743329"/>
            <wp:effectExtent l="0" t="0" r="2540" b="0"/>
            <wp:docPr id="146" name="Chart 14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C4136EF-49BB-4FF6-8C01-94CAB6BFB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94"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Out of the four programmes, </w:t>
      </w:r>
      <w:r>
        <w:rPr>
          <w:rFonts w:cs="Times New Roman"/>
          <w:b/>
          <w:noProof/>
          <w:lang w:val="en-GB"/>
        </w:rPr>
        <w:t>respondents to the consultation activities identify the CEF as having the highest level of synergies with ISA</w:t>
      </w:r>
      <w:r>
        <w:rPr>
          <w:rFonts w:cs="Times New Roman"/>
          <w:b/>
          <w:noProof/>
          <w:vertAlign w:val="superscript"/>
          <w:lang w:val="en-GB"/>
        </w:rPr>
        <w:t>2</w:t>
      </w:r>
      <w:r>
        <w:rPr>
          <w:rFonts w:cs="Times New Roman"/>
          <w:noProof/>
          <w:lang w:val="en-GB"/>
        </w:rPr>
        <w:t>. According to 78 % of respondents (51 out of 65), ISA</w:t>
      </w:r>
      <w:r>
        <w:rPr>
          <w:rFonts w:cs="Times New Roman"/>
          <w:noProof/>
          <w:vertAlign w:val="superscript"/>
          <w:lang w:val="en-GB"/>
        </w:rPr>
        <w:t>2</w:t>
      </w:r>
      <w:r>
        <w:rPr>
          <w:rFonts w:cs="Times New Roman"/>
          <w:noProof/>
          <w:lang w:val="en-GB"/>
        </w:rPr>
        <w:t xml:space="preserve"> and CEF have a high level or a very high level of synergies. As an example, both programmes contribute to the Commission’s open data policy: the DCAT-AP solution of ISA</w:t>
      </w:r>
      <w:r>
        <w:rPr>
          <w:rFonts w:cs="Times New Roman"/>
          <w:noProof/>
          <w:vertAlign w:val="superscript"/>
          <w:lang w:val="en-GB"/>
        </w:rPr>
        <w:t>2</w:t>
      </w:r>
      <w:r>
        <w:rPr>
          <w:rFonts w:cs="Times New Roman"/>
          <w:noProof/>
          <w:lang w:val="en-GB"/>
        </w:rPr>
        <w:t xml:space="preserve"> provides a metadata specification used by open data portals across the EU and CEF ensures funding for the public open data infrastructure that aims to increase the reuse of open public data in the EU. However, 18 % of respondents (10 out of 57) also note the existence of overlaps to a high extent or to the fullest extent, which could be addressed by better delineating the scope of the concerned solutions.</w:t>
      </w:r>
    </w:p>
    <w:p>
      <w:pPr>
        <w:jc w:val="both"/>
        <w:rPr>
          <w:rFonts w:cs="Times New Roman"/>
          <w:noProof/>
          <w:lang w:val="en-GB"/>
        </w:rPr>
      </w:pPr>
      <w:r>
        <w:rPr>
          <w:rFonts w:cs="Times New Roman"/>
          <w:noProof/>
          <w:lang w:val="en-GB"/>
        </w:rPr>
        <w:t xml:space="preserve">When it comes to the relationship between </w:t>
      </w:r>
      <w:r>
        <w:rPr>
          <w:rFonts w:cs="Times New Roman"/>
          <w:b/>
          <w:noProof/>
          <w:lang w:val="en-GB"/>
        </w:rPr>
        <w:t xml:space="preserve">Horizon 2020 </w:t>
      </w:r>
      <w:r>
        <w:rPr>
          <w:rFonts w:cs="Times New Roman"/>
          <w:noProof/>
          <w:lang w:val="en-GB"/>
        </w:rPr>
        <w:t>and</w:t>
      </w:r>
      <w:r>
        <w:rPr>
          <w:rFonts w:cs="Times New Roman"/>
          <w:b/>
          <w:noProof/>
          <w:lang w:val="en-GB"/>
        </w:rPr>
        <w:t xml:space="preserve"> </w:t>
      </w:r>
      <w:r>
        <w:rPr>
          <w:rFonts w:cs="Times New Roman"/>
          <w:noProof/>
          <w:lang w:val="en-GB"/>
        </w:rPr>
        <w:t>ISA</w:t>
      </w:r>
      <w:r>
        <w:rPr>
          <w:rFonts w:cs="Times New Roman"/>
          <w:noProof/>
          <w:vertAlign w:val="superscript"/>
          <w:lang w:val="en-GB"/>
        </w:rPr>
        <w:t>2</w:t>
      </w:r>
      <w:r>
        <w:rPr>
          <w:rFonts w:cs="Times New Roman"/>
          <w:noProof/>
          <w:lang w:val="en-GB"/>
        </w:rPr>
        <w:t xml:space="preserve">, half of the respondents (31 out of 63) identify synergies to a high extent or to the fullest extent, while only 12 % (6 out of 51) indicate the existence of overlaps to a high extent or to the fullest extent. The situation is similar for </w:t>
      </w:r>
      <w:r>
        <w:rPr>
          <w:rFonts w:cs="Times New Roman"/>
          <w:b/>
          <w:noProof/>
          <w:lang w:val="en-GB"/>
        </w:rPr>
        <w:t>SRSP</w:t>
      </w:r>
      <w:r>
        <w:rPr>
          <w:rFonts w:cs="Times New Roman"/>
          <w:noProof/>
          <w:lang w:val="en-GB"/>
        </w:rPr>
        <w:t>, with 52 % of respondents (22 out of 42) pointing out that there are synergies between ISA</w:t>
      </w:r>
      <w:r>
        <w:rPr>
          <w:rFonts w:cs="Times New Roman"/>
          <w:noProof/>
          <w:vertAlign w:val="superscript"/>
          <w:lang w:val="en-GB"/>
        </w:rPr>
        <w:t>2</w:t>
      </w:r>
      <w:r>
        <w:rPr>
          <w:rFonts w:cs="Times New Roman"/>
          <w:noProof/>
          <w:lang w:val="en-GB"/>
        </w:rPr>
        <w:t xml:space="preserve"> and SRSP either to a high extent or the fullest extent, and only 6 % (2 out of 32) indicating a high or very high degree of overlaps.</w:t>
      </w:r>
    </w:p>
    <w:p>
      <w:pPr>
        <w:jc w:val="both"/>
        <w:rPr>
          <w:rFonts w:cs="Times New Roman"/>
          <w:noProof/>
          <w:lang w:val="en-GB"/>
        </w:rPr>
      </w:pPr>
      <w:r>
        <w:rPr>
          <w:rFonts w:cs="Times New Roman"/>
          <w:noProof/>
          <w:lang w:val="en-GB"/>
        </w:rPr>
        <w:t xml:space="preserve">At the opposite end of the spectrum, out of the four programmes listed above, the </w:t>
      </w:r>
      <w:r>
        <w:rPr>
          <w:rFonts w:cs="Times New Roman"/>
          <w:b/>
          <w:noProof/>
          <w:lang w:val="en-GB"/>
        </w:rPr>
        <w:t>ESF</w:t>
      </w:r>
      <w:r>
        <w:rPr>
          <w:rFonts w:cs="Times New Roman"/>
          <w:noProof/>
          <w:lang w:val="en-GB"/>
        </w:rPr>
        <w:t xml:space="preserve"> seems to be the programme with the lowest level of coherence with ISA</w:t>
      </w:r>
      <w:r>
        <w:rPr>
          <w:rFonts w:cs="Times New Roman"/>
          <w:noProof/>
          <w:vertAlign w:val="superscript"/>
          <w:lang w:val="en-GB"/>
        </w:rPr>
        <w:t>2</w:t>
      </w:r>
      <w:r>
        <w:rPr>
          <w:rFonts w:cs="Times New Roman"/>
          <w:noProof/>
          <w:lang w:val="en-GB"/>
        </w:rPr>
        <w:t>. Only 26 % of respondents (6 out of 23) indicate the existence of synergies between the ESF and ISA</w:t>
      </w:r>
      <w:r>
        <w:rPr>
          <w:rFonts w:cs="Times New Roman"/>
          <w:noProof/>
          <w:vertAlign w:val="superscript"/>
          <w:lang w:val="en-GB"/>
        </w:rPr>
        <w:t>2</w:t>
      </w:r>
      <w:r>
        <w:rPr>
          <w:rFonts w:cs="Times New Roman"/>
          <w:noProof/>
          <w:lang w:val="en-GB"/>
        </w:rPr>
        <w:t xml:space="preserve"> to a high extent or to the fullest extent. </w:t>
      </w:r>
    </w:p>
    <w:p>
      <w:pPr>
        <w:jc w:val="both"/>
        <w:rPr>
          <w:rFonts w:cs="Times New Roman"/>
          <w:noProof/>
        </w:rPr>
      </w:pPr>
      <w:r>
        <w:rPr>
          <w:rFonts w:cs="Times New Roman"/>
          <w:noProof/>
          <w:lang w:val="en-GB"/>
        </w:rPr>
        <w:t xml:space="preserve">Respondents also pointed to </w:t>
      </w:r>
      <w:r>
        <w:rPr>
          <w:rFonts w:cs="Times New Roman"/>
          <w:b/>
          <w:noProof/>
          <w:lang w:val="en-GB"/>
        </w:rPr>
        <w:t>synergies and overlaps with other EU initiatives</w:t>
      </w:r>
      <w:r>
        <w:rPr>
          <w:rFonts w:cs="Times New Roman"/>
          <w:noProof/>
          <w:lang w:val="en-GB"/>
        </w:rPr>
        <w:t>. More specifically, three additional EU programmes and initiatives were mentioned: the European Regional Development Fund (ERDF)</w:t>
      </w:r>
      <w:r>
        <w:rPr>
          <w:rStyle w:val="FootnoteReference"/>
          <w:noProof/>
        </w:rPr>
        <w:footnoteReference w:id="65"/>
      </w:r>
      <w:r>
        <w:rPr>
          <w:rFonts w:cs="Times New Roman"/>
          <w:noProof/>
          <w:lang w:val="en-GB"/>
        </w:rPr>
        <w:t>, corporate IT governance</w:t>
      </w:r>
      <w:r>
        <w:rPr>
          <w:rStyle w:val="FootnoteReference"/>
          <w:noProof/>
        </w:rPr>
        <w:footnoteReference w:id="66"/>
      </w:r>
      <w:r>
        <w:rPr>
          <w:rFonts w:cs="Times New Roman"/>
          <w:noProof/>
          <w:lang w:val="en-GB"/>
        </w:rPr>
        <w:t xml:space="preserve"> and the Single Digital Gateway</w:t>
      </w:r>
      <w:r>
        <w:rPr>
          <w:rStyle w:val="FootnoteReference"/>
          <w:noProof/>
        </w:rPr>
        <w:footnoteReference w:id="67"/>
      </w:r>
      <w:r>
        <w:rPr>
          <w:rFonts w:cs="Times New Roman"/>
          <w:noProof/>
          <w:lang w:val="en-GB"/>
        </w:rPr>
        <w:t>. This feedback is discussed in the points below</w:t>
      </w:r>
      <w:r>
        <w:rPr>
          <w:rFonts w:cs="Times New Roman"/>
          <w:noProof/>
        </w:rPr>
        <w:t>.</w:t>
      </w:r>
    </w:p>
    <w:p>
      <w:pPr>
        <w:pStyle w:val="Firstlevellist"/>
        <w:rPr>
          <w:noProof/>
        </w:rPr>
      </w:pPr>
      <w:r>
        <w:rPr>
          <w:noProof/>
        </w:rPr>
        <w:t>While the synergies between the ESF and ISA</w:t>
      </w:r>
      <w:r>
        <w:rPr>
          <w:noProof/>
          <w:vertAlign w:val="superscript"/>
        </w:rPr>
        <w:t>2</w:t>
      </w:r>
      <w:r>
        <w:rPr>
          <w:noProof/>
        </w:rPr>
        <w:t xml:space="preserve"> appear to be limited, two respondents pointed to the existence of a high synergy level between the </w:t>
      </w:r>
      <w:r>
        <w:rPr>
          <w:b/>
          <w:noProof/>
        </w:rPr>
        <w:t>ERDF</w:t>
      </w:r>
      <w:r>
        <w:rPr>
          <w:noProof/>
        </w:rPr>
        <w:t xml:space="preserve"> and ISA</w:t>
      </w:r>
      <w:r>
        <w:rPr>
          <w:noProof/>
          <w:vertAlign w:val="superscript"/>
        </w:rPr>
        <w:t>2</w:t>
      </w:r>
      <w:r>
        <w:rPr>
          <w:noProof/>
        </w:rPr>
        <w:t>. At the same time, one respondent indicated that there could be overlaps between ISA</w:t>
      </w:r>
      <w:r>
        <w:rPr>
          <w:noProof/>
          <w:vertAlign w:val="superscript"/>
        </w:rPr>
        <w:t>2</w:t>
      </w:r>
      <w:r>
        <w:rPr>
          <w:noProof/>
        </w:rPr>
        <w:t xml:space="preserve"> and ERDF, possibly due to a lack of coordination. More specifically, national IT systems developed using ERDF funds could be incompatible with ISA</w:t>
      </w:r>
      <w:r>
        <w:rPr>
          <w:noProof/>
          <w:vertAlign w:val="superscript"/>
        </w:rPr>
        <w:t>2</w:t>
      </w:r>
      <w:r>
        <w:rPr>
          <w:noProof/>
        </w:rPr>
        <w:t xml:space="preserve"> solutions, thus preventing the adoption of these solutions.</w:t>
      </w:r>
    </w:p>
    <w:p>
      <w:pPr>
        <w:pStyle w:val="Firstlevellist"/>
        <w:rPr>
          <w:noProof/>
        </w:rPr>
      </w:pPr>
      <w:r>
        <w:rPr>
          <w:noProof/>
        </w:rPr>
        <w:t xml:space="preserve">A high degree of complementarity was also identified between the Commission’s </w:t>
      </w:r>
      <w:r>
        <w:rPr>
          <w:b/>
          <w:noProof/>
        </w:rPr>
        <w:t>corporate IT governance</w:t>
      </w:r>
      <w:r>
        <w:rPr>
          <w:noProof/>
        </w:rPr>
        <w:t xml:space="preserve"> and ISA</w:t>
      </w:r>
      <w:r>
        <w:rPr>
          <w:noProof/>
          <w:vertAlign w:val="superscript"/>
        </w:rPr>
        <w:t>2</w:t>
      </w:r>
      <w:r>
        <w:rPr>
          <w:noProof/>
        </w:rPr>
        <w:t>, as explained by one respondent. The corporate IT governance team maintains that the Commission’s proposed IT investments take into consideration the reuse of IT solutions that have already been developed. In this sense, the work of this team supports synergies between ISA</w:t>
      </w:r>
      <w:r>
        <w:rPr>
          <w:noProof/>
          <w:vertAlign w:val="superscript"/>
        </w:rPr>
        <w:t>2</w:t>
      </w:r>
      <w:r>
        <w:rPr>
          <w:noProof/>
        </w:rPr>
        <w:t xml:space="preserve"> and other initiatives, ensuring that ISA</w:t>
      </w:r>
      <w:r>
        <w:rPr>
          <w:noProof/>
          <w:vertAlign w:val="superscript"/>
        </w:rPr>
        <w:t>2</w:t>
      </w:r>
      <w:r>
        <w:rPr>
          <w:noProof/>
        </w:rPr>
        <w:t xml:space="preserve"> solutions and any other IT solutions developed so far are reused in the future. In addition, the team helps mitigate the risk of developing very similar IT solutions under different spending programmes, which would create overlaps.</w:t>
      </w:r>
    </w:p>
    <w:p>
      <w:pPr>
        <w:pStyle w:val="FirstlevellistLAST"/>
        <w:rPr>
          <w:bCs/>
          <w:iCs/>
          <w:noProof/>
        </w:rPr>
      </w:pPr>
      <w:r>
        <w:rPr>
          <w:noProof/>
        </w:rPr>
        <w:t xml:space="preserve">One respondent also mentioned the existence of synergies with the </w:t>
      </w:r>
      <w:r>
        <w:rPr>
          <w:b/>
          <w:noProof/>
        </w:rPr>
        <w:t>Single Digital Gateway (SDG)</w:t>
      </w:r>
      <w:r>
        <w:rPr>
          <w:noProof/>
        </w:rPr>
        <w:t>. In fact, this is clear given that ISA</w:t>
      </w:r>
      <w:r>
        <w:rPr>
          <w:noProof/>
          <w:vertAlign w:val="superscript"/>
        </w:rPr>
        <w:t xml:space="preserve">2 </w:t>
      </w:r>
      <w:r>
        <w:rPr>
          <w:noProof/>
        </w:rPr>
        <w:t>implemented an action dedicated to the interoperability requirements of the SDG in 2018</w:t>
      </w:r>
      <w:r>
        <w:rPr>
          <w:rStyle w:val="FootnoteReference"/>
          <w:noProof/>
        </w:rPr>
        <w:footnoteReference w:id="68"/>
      </w:r>
      <w:r>
        <w:rPr>
          <w:noProof/>
        </w:rPr>
        <w:t>. ISA</w:t>
      </w:r>
      <w:r>
        <w:rPr>
          <w:noProof/>
          <w:vertAlign w:val="superscript"/>
        </w:rPr>
        <w:t>2</w:t>
      </w:r>
      <w:r>
        <w:rPr>
          <w:noProof/>
        </w:rPr>
        <w:t xml:space="preserve"> helped detail the IT architecture of the SDG and identify functional, technical and semantic interoperability challenges in its implementation. Further ISA</w:t>
      </w:r>
      <w:r>
        <w:rPr>
          <w:noProof/>
          <w:vertAlign w:val="superscript"/>
        </w:rPr>
        <w:t>2</w:t>
      </w:r>
      <w:r>
        <w:rPr>
          <w:noProof/>
        </w:rPr>
        <w:t xml:space="preserve"> solutions like ‘eForms’</w:t>
      </w:r>
      <w:r>
        <w:rPr>
          <w:rStyle w:val="FootnoteReference"/>
          <w:noProof/>
        </w:rPr>
        <w:footnoteReference w:id="69"/>
      </w:r>
      <w:r>
        <w:rPr>
          <w:noProof/>
        </w:rPr>
        <w:t xml:space="preserve"> and ‘e-Documents’</w:t>
      </w:r>
      <w:r>
        <w:rPr>
          <w:rStyle w:val="FootnoteReference"/>
          <w:noProof/>
        </w:rPr>
        <w:footnoteReference w:id="70"/>
      </w:r>
      <w:r>
        <w:rPr>
          <w:noProof/>
        </w:rPr>
        <w:t xml:space="preserve"> also support the SDG’s implementation.</w:t>
      </w:r>
    </w:p>
    <w:p>
      <w:pPr>
        <w:jc w:val="both"/>
        <w:rPr>
          <w:rFonts w:cs="Times New Roman"/>
          <w:bCs/>
          <w:iCs/>
          <w:noProof/>
          <w:lang w:val="en-GB"/>
        </w:rPr>
      </w:pPr>
      <w:r>
        <w:rPr>
          <w:rFonts w:cs="Times New Roman"/>
          <w:noProof/>
        </w:rPr>
        <w:fldChar w:fldCharType="begin"/>
      </w:r>
      <w:r>
        <w:rPr>
          <w:rFonts w:cs="Times New Roman"/>
          <w:noProof/>
          <w:lang w:val="en-GB"/>
        </w:rPr>
        <w:instrText xml:space="preserve"> REF _Ref9706698 \h  \* MERGEFORMAT </w:instrText>
      </w:r>
      <w:r>
        <w:rPr>
          <w:rFonts w:cs="Times New Roman"/>
          <w:noProof/>
        </w:rPr>
      </w:r>
      <w:r>
        <w:rPr>
          <w:rFonts w:cs="Times New Roman"/>
          <w:noProof/>
        </w:rPr>
        <w:fldChar w:fldCharType="separate"/>
      </w:r>
      <w:r>
        <w:rPr>
          <w:rFonts w:cs="Times New Roman"/>
          <w:noProof/>
          <w:lang w:val="en-GB"/>
        </w:rPr>
        <w:t>Table 18</w:t>
      </w:r>
      <w:r>
        <w:rPr>
          <w:rFonts w:cs="Times New Roman"/>
          <w:noProof/>
        </w:rPr>
        <w:fldChar w:fldCharType="end"/>
      </w:r>
      <w:r>
        <w:rPr>
          <w:rFonts w:cs="Times New Roman"/>
          <w:noProof/>
          <w:lang w:val="en-GB"/>
        </w:rPr>
        <w:t xml:space="preserve"> in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shows that </w:t>
      </w:r>
      <w:r>
        <w:rPr>
          <w:rFonts w:cs="Times New Roman"/>
          <w:b/>
          <w:noProof/>
          <w:lang w:val="en-GB"/>
        </w:rPr>
        <w:t>ISA</w:t>
      </w:r>
      <w:r>
        <w:rPr>
          <w:rFonts w:cs="Times New Roman"/>
          <w:b/>
          <w:noProof/>
          <w:vertAlign w:val="superscript"/>
          <w:lang w:val="en-GB"/>
        </w:rPr>
        <w:t>2</w:t>
      </w:r>
      <w:r>
        <w:rPr>
          <w:rFonts w:cs="Times New Roman"/>
          <w:b/>
          <w:noProof/>
          <w:lang w:val="en-GB"/>
        </w:rPr>
        <w:t xml:space="preserve"> actions have multiple links outside of the programme</w:t>
      </w:r>
      <w:r>
        <w:rPr>
          <w:rFonts w:cs="Times New Roman"/>
          <w:noProof/>
          <w:lang w:val="en-GB"/>
        </w:rPr>
        <w:t>, as they rely on other EU programmes / policies / initiatives to deliver their results and their solutions are used by other programmes / policies / initiatives.</w:t>
      </w:r>
    </w:p>
    <w:p>
      <w:pPr>
        <w:jc w:val="both"/>
        <w:rPr>
          <w:rFonts w:cs="Times New Roman"/>
          <w:noProof/>
          <w:lang w:val="en-GB"/>
        </w:rPr>
      </w:pPr>
      <w:r>
        <w:rPr>
          <w:rFonts w:cs="Times New Roman"/>
          <w:noProof/>
          <w:lang w:val="en-GB"/>
        </w:rPr>
        <w:t>Beyond examining alignment with the initiatives mentioned above, it is worth analysing the degree of alignment of ISA</w:t>
      </w:r>
      <w:r>
        <w:rPr>
          <w:rFonts w:cs="Times New Roman"/>
          <w:noProof/>
          <w:vertAlign w:val="superscript"/>
          <w:lang w:val="en-GB"/>
        </w:rPr>
        <w:t>2</w:t>
      </w:r>
      <w:r>
        <w:rPr>
          <w:rFonts w:cs="Times New Roman"/>
          <w:noProof/>
          <w:lang w:val="en-GB"/>
        </w:rPr>
        <w:t xml:space="preserve"> with other initiatives or broader policies, like the Digital Single Market Strategy, the eGovernment Action Plan, ICT standardisation or the Tallinn Declaration on eGovernment.</w:t>
      </w:r>
    </w:p>
    <w:p>
      <w:pPr>
        <w:jc w:val="both"/>
        <w:rPr>
          <w:rFonts w:cs="Times New Roman"/>
          <w:noProof/>
          <w:lang w:val="en-GB"/>
        </w:rPr>
      </w:pPr>
      <w:r>
        <w:rPr>
          <w:rFonts w:cs="Times New Roman"/>
          <w:noProof/>
          <w:lang w:val="en-GB"/>
        </w:rPr>
        <w:t xml:space="preserve">When it comes to the </w:t>
      </w:r>
      <w:r>
        <w:rPr>
          <w:rFonts w:cs="Times New Roman"/>
          <w:b/>
          <w:noProof/>
          <w:lang w:val="en-GB"/>
        </w:rPr>
        <w:t>Digital Single Market (DSM) Strategy</w:t>
      </w:r>
      <w:r>
        <w:rPr>
          <w:rStyle w:val="FootnoteReference"/>
          <w:noProof/>
        </w:rPr>
        <w:footnoteReference w:id="71"/>
      </w:r>
      <w:r>
        <w:rPr>
          <w:rFonts w:cs="Times New Roman"/>
          <w:noProof/>
          <w:lang w:val="en-GB"/>
        </w:rPr>
        <w:t>, the desk review of the rolling work plan reveals that ISA</w:t>
      </w:r>
      <w:r>
        <w:rPr>
          <w:rFonts w:cs="Times New Roman"/>
          <w:noProof/>
          <w:vertAlign w:val="superscript"/>
          <w:lang w:val="en-GB"/>
        </w:rPr>
        <w:t>2</w:t>
      </w:r>
      <w:r>
        <w:rPr>
          <w:rFonts w:cs="Times New Roman"/>
          <w:noProof/>
          <w:lang w:val="en-GB"/>
        </w:rPr>
        <w:t xml:space="preserve"> contributes to all three of the strategy’s pillars (see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_Ref9707503 \h  \* MERGEFORMAT </w:instrText>
      </w:r>
      <w:r>
        <w:rPr>
          <w:rFonts w:cs="Times New Roman"/>
          <w:noProof/>
        </w:rPr>
      </w:r>
      <w:r>
        <w:rPr>
          <w:rFonts w:cs="Times New Roman"/>
          <w:noProof/>
        </w:rPr>
        <w:fldChar w:fldCharType="separate"/>
      </w:r>
      <w:r>
        <w:rPr>
          <w:rFonts w:cs="Times New Roman"/>
          <w:noProof/>
          <w:lang w:val="en-GB"/>
        </w:rPr>
        <w:t>Table 19</w:t>
      </w:r>
      <w:r>
        <w:rPr>
          <w:rFonts w:cs="Times New Roman"/>
          <w:noProof/>
        </w:rPr>
        <w:fldChar w:fldCharType="end"/>
      </w:r>
      <w:r>
        <w:rPr>
          <w:rFonts w:cs="Times New Roman"/>
          <w:noProof/>
          <w:lang w:val="en-GB"/>
        </w:rPr>
        <w:t>): (i) better access for consumers and businesses to digital goods and services across Europe; (ii) creating the right conditions and a level playing field for digital networks and innovative services to flourish; and (iii) maximising the growth potential of the digital economy. Based on the 20 sampled actions, ISA</w:t>
      </w:r>
      <w:r>
        <w:rPr>
          <w:rFonts w:cs="Times New Roman"/>
          <w:noProof/>
          <w:vertAlign w:val="superscript"/>
          <w:lang w:val="en-GB"/>
        </w:rPr>
        <w:t>2</w:t>
      </w:r>
      <w:r>
        <w:rPr>
          <w:rFonts w:cs="Times New Roman"/>
          <w:noProof/>
          <w:lang w:val="en-GB"/>
        </w:rPr>
        <w:t xml:space="preserve"> in particular contributes to the strategy’s third pillar through:</w:t>
      </w:r>
    </w:p>
    <w:p>
      <w:pPr>
        <w:pStyle w:val="Firstlevellist"/>
        <w:rPr>
          <w:noProof/>
        </w:rPr>
      </w:pPr>
      <w:r>
        <w:rPr>
          <w:noProof/>
        </w:rPr>
        <w:t>the revision and implementation of the new European Interoperability Framework, which is explicitly mentioned in the DSM strategy;</w:t>
      </w:r>
    </w:p>
    <w:p>
      <w:pPr>
        <w:pStyle w:val="Firstlevellist"/>
        <w:rPr>
          <w:noProof/>
        </w:rPr>
      </w:pPr>
      <w:r>
        <w:rPr>
          <w:noProof/>
        </w:rPr>
        <w:t>work on supporting the implementation of the once-only principle, carried out as part of several actions such as ‘SEMIC’ and ‘European Interoperability Architecture’; and</w:t>
      </w:r>
    </w:p>
    <w:p>
      <w:pPr>
        <w:pStyle w:val="FirstlevellistLAST"/>
        <w:rPr>
          <w:noProof/>
        </w:rPr>
      </w:pPr>
      <w:r>
        <w:rPr>
          <w:noProof/>
        </w:rPr>
        <w:t>support for the implementation of the Single Digital Gateway.</w:t>
      </w:r>
    </w:p>
    <w:p>
      <w:pPr>
        <w:jc w:val="both"/>
        <w:rPr>
          <w:rFonts w:cs="Times New Roman"/>
          <w:noProof/>
          <w:lang w:val="en-GB"/>
        </w:rPr>
      </w:pPr>
      <w:r>
        <w:rPr>
          <w:rFonts w:cs="Times New Roman"/>
          <w:noProof/>
          <w:lang w:val="en-GB"/>
        </w:rPr>
        <w:t xml:space="preserve">Together with the launch of the DSM strategy for Europe, a new </w:t>
      </w:r>
      <w:r>
        <w:rPr>
          <w:rFonts w:cs="Times New Roman"/>
          <w:b/>
          <w:noProof/>
          <w:lang w:val="en-GB"/>
        </w:rPr>
        <w:t>eGovernment Action Plan</w:t>
      </w:r>
      <w:r>
        <w:rPr>
          <w:rFonts w:cs="Times New Roman"/>
          <w:noProof/>
          <w:lang w:val="en-GB"/>
        </w:rPr>
        <w:t xml:space="preserve"> was announced for 2016-2020, aiming to ‘remove existing digital barriers to the Digital Single Market and to prevent further fragmentation arising in the context of the modernisation of public administrations’</w:t>
      </w:r>
      <w:r>
        <w:rPr>
          <w:rStyle w:val="FootnoteReference"/>
          <w:noProof/>
        </w:rPr>
        <w:footnoteReference w:id="72"/>
      </w:r>
      <w:r>
        <w:rPr>
          <w:rFonts w:cs="Times New Roman"/>
          <w:noProof/>
          <w:lang w:val="en-GB"/>
        </w:rPr>
        <w:t>. The ways in which ISA</w:t>
      </w:r>
      <w:r>
        <w:rPr>
          <w:rFonts w:cs="Times New Roman"/>
          <w:noProof/>
          <w:vertAlign w:val="superscript"/>
          <w:lang w:val="en-GB"/>
        </w:rPr>
        <w:t>2</w:t>
      </w:r>
      <w:r>
        <w:rPr>
          <w:rFonts w:cs="Times New Roman"/>
          <w:noProof/>
          <w:lang w:val="en-GB"/>
        </w:rPr>
        <w:t xml:space="preserve"> contributed to implementing the DSM strategy also directly relate to the eGovernment Action Plan. In particular, the revised version of the EIF and the ISA</w:t>
      </w:r>
      <w:r>
        <w:rPr>
          <w:rFonts w:cs="Times New Roman"/>
          <w:noProof/>
          <w:vertAlign w:val="superscript"/>
          <w:lang w:val="en-GB"/>
        </w:rPr>
        <w:t>2</w:t>
      </w:r>
      <w:r>
        <w:rPr>
          <w:rFonts w:cs="Times New Roman"/>
          <w:noProof/>
          <w:lang w:val="en-GB"/>
        </w:rPr>
        <w:t xml:space="preserve"> actions monitoring its implementation in the Member States (‘EIF implementation and governance models’ and ‘NIFO’) address Action 4 of the eGovernment Action Plan. Furthermore, ISA</w:t>
      </w:r>
      <w:r>
        <w:rPr>
          <w:rFonts w:cs="Times New Roman"/>
          <w:noProof/>
          <w:vertAlign w:val="superscript"/>
          <w:lang w:val="en-GB"/>
        </w:rPr>
        <w:t>2</w:t>
      </w:r>
      <w:r>
        <w:rPr>
          <w:rFonts w:cs="Times New Roman"/>
          <w:noProof/>
          <w:lang w:val="en-GB"/>
        </w:rPr>
        <w:t xml:space="preserve"> is also contributing to Actions 1 and 6 through its work in the field of eProcurement. For instance, the ‘European public procurement interoperability initiative’ action facilitates the implementation of eProcurement in European public administrations and supports the EU’s TOOP</w:t>
      </w:r>
      <w:r>
        <w:rPr>
          <w:rStyle w:val="FootnoteReference"/>
          <w:noProof/>
        </w:rPr>
        <w:footnoteReference w:id="73"/>
      </w:r>
      <w:r>
        <w:rPr>
          <w:rFonts w:cs="Times New Roman"/>
          <w:noProof/>
          <w:lang w:val="en-GB"/>
        </w:rPr>
        <w:t xml:space="preserve"> project by adjusting the necessary tools for the once-only principle.</w:t>
      </w:r>
    </w:p>
    <w:p>
      <w:pPr>
        <w:jc w:val="both"/>
        <w:rPr>
          <w:rFonts w:cs="Times New Roman"/>
          <w:noProof/>
          <w:lang w:val="en-GB"/>
        </w:rPr>
      </w:pPr>
      <w:r>
        <w:rPr>
          <w:rFonts w:cs="Times New Roman"/>
          <w:noProof/>
          <w:lang w:val="en-GB"/>
        </w:rPr>
        <w:t xml:space="preserve">In the field of ICT standardisation, the </w:t>
      </w:r>
      <w:r>
        <w:rPr>
          <w:rFonts w:cs="Times New Roman"/>
          <w:b/>
          <w:noProof/>
          <w:lang w:val="en-GB"/>
        </w:rPr>
        <w:t>Rolling Plan for ICT Standardisation</w:t>
      </w:r>
      <w:r>
        <w:rPr>
          <w:rStyle w:val="FootnoteReference"/>
          <w:noProof/>
        </w:rPr>
        <w:footnoteReference w:id="74"/>
      </w:r>
      <w:r>
        <w:rPr>
          <w:rFonts w:cs="Times New Roman"/>
          <w:noProof/>
          <w:lang w:val="en-GB"/>
        </w:rPr>
        <w:t xml:space="preserve"> provides a good overview of the EU’s main initiatives and priorities in this area. The Commission drafts this plan in collaboration with the European Multi-Stakeholder Platform on ICT Standardisation, which includes representatives of the Member States, EFTA countries, European and international standardisation organisations, industry, SMEs and consumers. The 2018 Rolling Plan on ICT Standardisation points out two main areas with highly relevant synergies between ISA</w:t>
      </w:r>
      <w:r>
        <w:rPr>
          <w:rFonts w:cs="Times New Roman"/>
          <w:noProof/>
          <w:vertAlign w:val="superscript"/>
          <w:lang w:val="en-GB"/>
        </w:rPr>
        <w:t>2</w:t>
      </w:r>
      <w:r>
        <w:rPr>
          <w:rFonts w:cs="Times New Roman"/>
          <w:noProof/>
          <w:lang w:val="en-GB"/>
        </w:rPr>
        <w:t xml:space="preserve"> and ICT standardisation:</w:t>
      </w:r>
    </w:p>
    <w:p>
      <w:pPr>
        <w:numPr>
          <w:ilvl w:val="0"/>
          <w:numId w:val="67"/>
        </w:numPr>
        <w:spacing w:after="120"/>
        <w:ind w:left="714" w:hanging="357"/>
        <w:jc w:val="both"/>
        <w:rPr>
          <w:rFonts w:cs="Times New Roman"/>
          <w:noProof/>
          <w:lang w:val="en-GB"/>
        </w:rPr>
      </w:pPr>
      <w:r>
        <w:rPr>
          <w:rFonts w:cs="Times New Roman"/>
          <w:b/>
          <w:noProof/>
          <w:lang w:val="en-GB"/>
        </w:rPr>
        <w:t>eGovernment</w:t>
      </w:r>
      <w:r>
        <w:rPr>
          <w:rFonts w:cs="Times New Roman"/>
          <w:noProof/>
          <w:lang w:val="en-GB"/>
        </w:rPr>
        <w:t>. The Rolling Plan emphasises that in order to leverage the applicability of technical specifications developed under ISA</w:t>
      </w:r>
      <w:r>
        <w:rPr>
          <w:rFonts w:cs="Times New Roman"/>
          <w:noProof/>
          <w:vertAlign w:val="superscript"/>
          <w:lang w:val="en-GB"/>
        </w:rPr>
        <w:t>2</w:t>
      </w:r>
      <w:r>
        <w:rPr>
          <w:rFonts w:cs="Times New Roman"/>
          <w:noProof/>
          <w:lang w:val="en-GB"/>
        </w:rPr>
        <w:t>, one solution would be to suggest using them as standards by the relevant standardisation organisations for the specifications in question. In this respect, it is worth noting that W3C, an international standardisation forum, has discussed some ISA</w:t>
      </w:r>
      <w:r>
        <w:rPr>
          <w:rFonts w:cs="Times New Roman"/>
          <w:noProof/>
          <w:vertAlign w:val="superscript"/>
          <w:lang w:val="en-GB"/>
        </w:rPr>
        <w:t>2</w:t>
      </w:r>
      <w:r>
        <w:rPr>
          <w:rFonts w:cs="Times New Roman"/>
          <w:noProof/>
          <w:lang w:val="en-GB"/>
        </w:rPr>
        <w:t xml:space="preserve"> solutions (like the ‘ADMS’ specification</w:t>
      </w:r>
      <w:r>
        <w:rPr>
          <w:rStyle w:val="FootnoteReference"/>
          <w:noProof/>
        </w:rPr>
        <w:footnoteReference w:id="75"/>
      </w:r>
      <w:r>
        <w:rPr>
          <w:rFonts w:cs="Times New Roman"/>
          <w:noProof/>
          <w:lang w:val="en-GB"/>
        </w:rPr>
        <w:t>) and has published a W3C note</w:t>
      </w:r>
      <w:r>
        <w:rPr>
          <w:rStyle w:val="FootnoteReference"/>
          <w:noProof/>
        </w:rPr>
        <w:footnoteReference w:id="76"/>
      </w:r>
      <w:r>
        <w:rPr>
          <w:rFonts w:cs="Times New Roman"/>
          <w:noProof/>
          <w:lang w:val="en-GB"/>
        </w:rPr>
        <w:t>.</w:t>
      </w:r>
    </w:p>
    <w:p>
      <w:pPr>
        <w:numPr>
          <w:ilvl w:val="0"/>
          <w:numId w:val="67"/>
        </w:numPr>
        <w:tabs>
          <w:tab w:val="left" w:pos="7371"/>
        </w:tabs>
        <w:jc w:val="both"/>
        <w:rPr>
          <w:rFonts w:cs="Times New Roman"/>
          <w:noProof/>
          <w:lang w:val="en-GB"/>
        </w:rPr>
      </w:pPr>
      <w:r>
        <w:rPr>
          <w:rFonts w:cs="Times New Roman"/>
          <w:b/>
          <w:noProof/>
          <w:lang w:val="en-GB"/>
        </w:rPr>
        <w:t>Public Sector Information, Open Data and Big Data</w:t>
      </w:r>
      <w:r>
        <w:rPr>
          <w:rFonts w:cs="Times New Roman"/>
          <w:noProof/>
          <w:lang w:val="en-GB"/>
        </w:rPr>
        <w:t>. The Rolling Plan also mentions the usefulness of introducing a common standard for referencing open data in European open data portals. The ‘DCAT Application Profile’</w:t>
      </w:r>
      <w:r>
        <w:rPr>
          <w:rStyle w:val="FootnoteReference"/>
          <w:noProof/>
        </w:rPr>
        <w:footnoteReference w:id="77"/>
      </w:r>
      <w:r>
        <w:rPr>
          <w:rFonts w:cs="Times New Roman"/>
          <w:noProof/>
          <w:lang w:val="en-GB"/>
        </w:rPr>
        <w:t>, an ISA</w:t>
      </w:r>
      <w:r>
        <w:rPr>
          <w:rFonts w:cs="Times New Roman"/>
          <w:noProof/>
          <w:vertAlign w:val="superscript"/>
          <w:lang w:val="en-GB"/>
        </w:rPr>
        <w:t>2</w:t>
      </w:r>
      <w:r>
        <w:rPr>
          <w:rFonts w:cs="Times New Roman"/>
          <w:noProof/>
          <w:lang w:val="en-GB"/>
        </w:rPr>
        <w:t xml:space="preserve"> solution that is already used by several open data portals across the EU, stands out as a candidate for this purpose. The Rolling Plan invites the CEN ‘to support and assist the DCAT-AP standardisation process’. </w:t>
      </w:r>
      <w:r>
        <w:rPr>
          <w:rFonts w:cs="Times New Roman"/>
          <w:noProof/>
          <w:lang w:val="en-GB"/>
        </w:rPr>
        <w:br/>
        <w:t xml:space="preserve">There are several potential issues with standardisation though. More specifically, the evaluation found that the coherence between </w:t>
      </w:r>
      <w:r>
        <w:rPr>
          <w:rFonts w:cs="Times New Roman"/>
          <w:b/>
          <w:noProof/>
          <w:lang w:val="en-GB"/>
        </w:rPr>
        <w:t>intellectual property rights for ISA</w:t>
      </w:r>
      <w:r>
        <w:rPr>
          <w:rFonts w:cs="Times New Roman"/>
          <w:b/>
          <w:noProof/>
          <w:vertAlign w:val="superscript"/>
          <w:lang w:val="en-GB"/>
        </w:rPr>
        <w:t>2</w:t>
      </w:r>
      <w:r>
        <w:rPr>
          <w:rFonts w:cs="Times New Roman"/>
          <w:b/>
          <w:noProof/>
          <w:lang w:val="en-GB"/>
        </w:rPr>
        <w:t xml:space="preserve"> solutions </w:t>
      </w:r>
      <w:r>
        <w:rPr>
          <w:rFonts w:cs="Times New Roman"/>
          <w:noProof/>
          <w:lang w:val="en-GB"/>
        </w:rPr>
        <w:t xml:space="preserve">and </w:t>
      </w:r>
      <w:r>
        <w:rPr>
          <w:rFonts w:cs="Times New Roman"/>
          <w:b/>
          <w:noProof/>
          <w:lang w:val="en-GB"/>
        </w:rPr>
        <w:t xml:space="preserve">CEN/CENELEC standards </w:t>
      </w:r>
      <w:r>
        <w:rPr>
          <w:rFonts w:cs="Times New Roman"/>
          <w:noProof/>
          <w:lang w:val="en-GB"/>
        </w:rPr>
        <w:t>needs to be clarified and resolved before the standardisation system could be fully implemented</w:t>
      </w:r>
      <w:r>
        <w:rPr>
          <w:rStyle w:val="FootnoteReference"/>
          <w:noProof/>
        </w:rPr>
        <w:footnoteReference w:id="78"/>
      </w:r>
      <w:r>
        <w:rPr>
          <w:rFonts w:cs="Times New Roman"/>
          <w:noProof/>
          <w:lang w:val="en-GB"/>
        </w:rPr>
        <w:t>.</w:t>
      </w:r>
    </w:p>
    <w:p>
      <w:pPr>
        <w:jc w:val="both"/>
        <w:rPr>
          <w:rFonts w:cs="Times New Roman"/>
          <w:noProof/>
          <w:lang w:val="en-GB"/>
        </w:rPr>
      </w:pPr>
      <w:r>
        <w:rPr>
          <w:rFonts w:cs="Times New Roman"/>
          <w:noProof/>
          <w:lang w:val="en-GB"/>
        </w:rPr>
        <w:t>Finally, in order to gain a comprehensive understanding of EU-level coherence, it is also useful to analyse the alignment of ISA</w:t>
      </w:r>
      <w:r>
        <w:rPr>
          <w:rFonts w:cs="Times New Roman"/>
          <w:noProof/>
          <w:vertAlign w:val="superscript"/>
          <w:lang w:val="en-GB"/>
        </w:rPr>
        <w:t>2</w:t>
      </w:r>
      <w:r>
        <w:rPr>
          <w:rFonts w:cs="Times New Roman"/>
          <w:noProof/>
          <w:lang w:val="en-GB"/>
        </w:rPr>
        <w:t xml:space="preserve"> with the priorities set at the highest political level in the </w:t>
      </w:r>
      <w:r>
        <w:rPr>
          <w:rFonts w:cs="Times New Roman"/>
          <w:b/>
          <w:noProof/>
          <w:lang w:val="en-GB"/>
        </w:rPr>
        <w:t>Tallinn Declaration on eGovernment</w:t>
      </w:r>
      <w:r>
        <w:rPr>
          <w:rStyle w:val="FootnoteReference"/>
          <w:noProof/>
        </w:rPr>
        <w:footnoteReference w:id="79"/>
      </w:r>
      <w:r>
        <w:rPr>
          <w:rFonts w:cs="Times New Roman"/>
          <w:b/>
          <w:noProof/>
          <w:lang w:val="en-GB"/>
        </w:rPr>
        <w:t>.</w:t>
      </w:r>
      <w:r>
        <w:rPr>
          <w:rFonts w:cs="Times New Roman"/>
          <w:noProof/>
          <w:lang w:val="en-GB"/>
        </w:rPr>
        <w:t xml:space="preserve"> The assessment in </w:t>
      </w:r>
      <w:r>
        <w:rPr>
          <w:rFonts w:cs="Times New Roman"/>
          <w:noProof/>
        </w:rPr>
        <w:fldChar w:fldCharType="begin"/>
      </w:r>
      <w:r>
        <w:rPr>
          <w:rFonts w:cs="Times New Roman"/>
          <w:noProof/>
          <w:lang w:val="en-GB"/>
        </w:rPr>
        <w:instrText xml:space="preserve"> REF _Ref2603037 \h  \* MERGEFORMAT </w:instrText>
      </w:r>
      <w:r>
        <w:rPr>
          <w:rFonts w:cs="Times New Roman"/>
          <w:noProof/>
        </w:rPr>
      </w:r>
      <w:r>
        <w:rPr>
          <w:rFonts w:cs="Times New Roman"/>
          <w:noProof/>
        </w:rPr>
        <w:fldChar w:fldCharType="separate"/>
      </w:r>
      <w:r>
        <w:rPr>
          <w:rFonts w:cs="Times New Roman"/>
          <w:bCs/>
          <w:iCs/>
          <w:noProof/>
          <w:lang w:val="en-GB"/>
        </w:rPr>
        <w:t>Box 10</w:t>
      </w:r>
      <w:r>
        <w:rPr>
          <w:rFonts w:cs="Times New Roman"/>
          <w:noProof/>
        </w:rPr>
        <w:fldChar w:fldCharType="end"/>
      </w:r>
      <w:r>
        <w:rPr>
          <w:rFonts w:cs="Times New Roman"/>
          <w:noProof/>
          <w:lang w:val="en-GB"/>
        </w:rPr>
        <w:t xml:space="preserve"> under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concludes that there is </w:t>
      </w:r>
      <w:r>
        <w:rPr>
          <w:rFonts w:cs="Times New Roman"/>
          <w:b/>
          <w:noProof/>
          <w:lang w:val="en-GB"/>
        </w:rPr>
        <w:t>no contradiction between the Tallinn Declaration and the ISA</w:t>
      </w:r>
      <w:r>
        <w:rPr>
          <w:rFonts w:cs="Times New Roman"/>
          <w:b/>
          <w:noProof/>
          <w:vertAlign w:val="superscript"/>
          <w:lang w:val="en-GB"/>
        </w:rPr>
        <w:t>2</w:t>
      </w:r>
      <w:r>
        <w:rPr>
          <w:rFonts w:cs="Times New Roman"/>
          <w:b/>
          <w:noProof/>
          <w:lang w:val="en-GB"/>
        </w:rPr>
        <w:t xml:space="preserve"> programme</w:t>
      </w:r>
      <w:r>
        <w:rPr>
          <w:rFonts w:cs="Times New Roman"/>
          <w:noProof/>
          <w:lang w:val="en-GB"/>
        </w:rPr>
        <w:t>: even though they have different scope and aims</w:t>
      </w:r>
      <w:r>
        <w:rPr>
          <w:rFonts w:cs="Times New Roman"/>
          <w:b/>
          <w:noProof/>
          <w:lang w:val="en-GB"/>
        </w:rPr>
        <w:t>, they proceed in the same direction and share common goals</w:t>
      </w:r>
      <w:r>
        <w:rPr>
          <w:rFonts w:cs="Times New Roman"/>
          <w:noProof/>
          <w:lang w:val="en-GB"/>
        </w:rPr>
        <w:t>. However, strong coordination is required between them to build synergies and avoid overlaps and duplication.</w:t>
      </w:r>
    </w:p>
    <w:p>
      <w:pPr>
        <w:pStyle w:val="Heading3"/>
        <w:rPr>
          <w:noProof/>
          <w:lang w:val="en-GB"/>
        </w:rPr>
      </w:pPr>
      <w:r>
        <w:rPr>
          <w:noProof/>
          <w:lang w:val="en-GB"/>
        </w:rPr>
        <w:t>Answer to the ‘coherence’ EQs</w:t>
      </w:r>
    </w:p>
    <w:p>
      <w:pPr>
        <w:shd w:val="clear" w:color="auto" w:fill="C6D9F1" w:themeFill="text2" w:themeFillTint="33"/>
        <w:rPr>
          <w:rFonts w:cs="Times New Roman"/>
          <w:noProof/>
          <w:lang w:val="en-GB"/>
        </w:rPr>
      </w:pPr>
      <w:r>
        <w:rPr>
          <w:rFonts w:cs="Times New Roman"/>
          <w:noProof/>
          <w:lang w:val="en-GB"/>
        </w:rPr>
        <w:t>EQ6: To what extent do the ISA² actions form part of a ‘holistic’ approach within the framework of the programme? (Internal coherence)</w:t>
      </w:r>
    </w:p>
    <w:p>
      <w:pPr>
        <w:jc w:val="both"/>
        <w:rPr>
          <w:rFonts w:cs="Times New Roman"/>
          <w:noProof/>
          <w:lang w:val="en-GB"/>
        </w:rPr>
      </w:pPr>
      <w:r>
        <w:rPr>
          <w:rFonts w:cs="Times New Roman"/>
          <w:noProof/>
          <w:lang w:val="en-GB"/>
        </w:rPr>
        <w:t>ISA</w:t>
      </w:r>
      <w:r>
        <w:rPr>
          <w:rFonts w:cs="Times New Roman"/>
          <w:noProof/>
          <w:vertAlign w:val="superscript"/>
          <w:lang w:val="en-GB"/>
        </w:rPr>
        <w:t>2</w:t>
      </w:r>
      <w:r>
        <w:rPr>
          <w:rFonts w:cs="Times New Roman"/>
          <w:noProof/>
          <w:lang w:val="en-GB"/>
        </w:rPr>
        <w:t xml:space="preserve"> actions are characterised by </w:t>
      </w:r>
      <w:r>
        <w:rPr>
          <w:rFonts w:cs="Times New Roman"/>
          <w:b/>
          <w:noProof/>
          <w:lang w:val="en-GB"/>
        </w:rPr>
        <w:t>substantial synergies</w:t>
      </w:r>
      <w:r>
        <w:rPr>
          <w:rFonts w:cs="Times New Roman"/>
          <w:noProof/>
          <w:lang w:val="en-GB"/>
        </w:rPr>
        <w:t xml:space="preserve"> with each other and </w:t>
      </w:r>
      <w:r>
        <w:rPr>
          <w:rFonts w:cs="Times New Roman"/>
          <w:b/>
          <w:noProof/>
          <w:lang w:val="en-GB"/>
        </w:rPr>
        <w:t>limited overlaps</w:t>
      </w:r>
      <w:r>
        <w:rPr>
          <w:rFonts w:cs="Times New Roman"/>
          <w:noProof/>
          <w:lang w:val="en-GB"/>
        </w:rPr>
        <w:t>. Stakeholder feedback on synergies and overlaps shows a positive picture of the internal coherence of the ISA</w:t>
      </w:r>
      <w:r>
        <w:rPr>
          <w:rFonts w:cs="Times New Roman"/>
          <w:noProof/>
          <w:vertAlign w:val="superscript"/>
          <w:lang w:val="en-GB"/>
        </w:rPr>
        <w:t xml:space="preserve">2 </w:t>
      </w:r>
      <w:r>
        <w:rPr>
          <w:rFonts w:cs="Times New Roman"/>
          <w:noProof/>
          <w:lang w:val="en-GB"/>
        </w:rPr>
        <w:t xml:space="preserve">programme. There are </w:t>
      </w:r>
      <w:r>
        <w:rPr>
          <w:rFonts w:cs="Times New Roman"/>
          <w:b/>
          <w:noProof/>
          <w:lang w:val="en-GB"/>
        </w:rPr>
        <w:t>multiple instances of internal reuse</w:t>
      </w:r>
      <w:r>
        <w:rPr>
          <w:rFonts w:cs="Times New Roman"/>
          <w:noProof/>
          <w:lang w:val="en-GB"/>
        </w:rPr>
        <w:t xml:space="preserve"> of ISA</w:t>
      </w:r>
      <w:r>
        <w:rPr>
          <w:rFonts w:cs="Times New Roman"/>
          <w:noProof/>
          <w:vertAlign w:val="superscript"/>
          <w:lang w:val="en-GB"/>
        </w:rPr>
        <w:t>2</w:t>
      </w:r>
      <w:r>
        <w:rPr>
          <w:rFonts w:cs="Times New Roman"/>
          <w:noProof/>
          <w:lang w:val="en-GB"/>
        </w:rPr>
        <w:t xml:space="preserve"> solutions, with actions like ‘SEMIC’ and ‘Joinup’ playing a particularly important role in the system. At the same time, some actions tend to be less central within the network. This is for instance the case of the ‘EUSurvey’ and ‘European Citizens’ Initiative and European Parliament Election’ actions and can be explained by the particular nature of these actions.</w:t>
      </w:r>
    </w:p>
    <w:p>
      <w:pPr>
        <w:jc w:val="both"/>
        <w:rPr>
          <w:rFonts w:cs="Times New Roman"/>
          <w:b/>
          <w:noProof/>
          <w:lang w:val="en-GB"/>
        </w:rPr>
      </w:pPr>
      <w:r>
        <w:rPr>
          <w:rFonts w:cs="Times New Roman"/>
          <w:b/>
          <w:noProof/>
          <w:lang w:val="en-GB"/>
        </w:rPr>
        <w:t>This strong internal coherence is in line with the second recommendation of the final ISA evaluation, which called for taking a holistic approach on interoperability within ISA</w:t>
      </w:r>
      <w:r>
        <w:rPr>
          <w:rFonts w:cs="Times New Roman"/>
          <w:b/>
          <w:noProof/>
          <w:vertAlign w:val="superscript"/>
          <w:lang w:val="en-GB"/>
        </w:rPr>
        <w:t>2</w:t>
      </w:r>
      <w:r>
        <w:rPr>
          <w:rFonts w:cs="Times New Roman"/>
          <w:b/>
          <w:noProof/>
          <w:lang w:val="en-GB"/>
        </w:rPr>
        <w:t>.</w:t>
      </w:r>
    </w:p>
    <w:p>
      <w:pPr>
        <w:shd w:val="clear" w:color="auto" w:fill="C6D9F1" w:themeFill="text2" w:themeFillTint="33"/>
        <w:jc w:val="both"/>
        <w:rPr>
          <w:rFonts w:cs="Times New Roman"/>
          <w:noProof/>
          <w:lang w:val="en-GB"/>
        </w:rPr>
      </w:pPr>
      <w:r>
        <w:rPr>
          <w:rFonts w:cs="Times New Roman"/>
          <w:noProof/>
          <w:lang w:val="en-GB"/>
        </w:rPr>
        <w:t>EQ7: To what extent is the ISA² programme coherent with other EU interventions, which have similar objectives and with global initiatives in the same field? (External coherence)</w:t>
      </w:r>
    </w:p>
    <w:p>
      <w:pPr>
        <w:jc w:val="both"/>
        <w:rPr>
          <w:rFonts w:cs="Times New Roman"/>
          <w:noProof/>
          <w:lang w:val="en-GB"/>
        </w:rPr>
      </w:pPr>
      <w:r>
        <w:rPr>
          <w:rFonts w:cs="Times New Roman"/>
          <w:noProof/>
          <w:lang w:val="en-GB"/>
        </w:rPr>
        <w:t>When it comes to external coherence, ISA</w:t>
      </w:r>
      <w:r>
        <w:rPr>
          <w:rFonts w:cs="Times New Roman"/>
          <w:noProof/>
          <w:vertAlign w:val="superscript"/>
          <w:lang w:val="en-GB"/>
        </w:rPr>
        <w:t>2</w:t>
      </w:r>
      <w:r>
        <w:rPr>
          <w:rFonts w:cs="Times New Roman"/>
          <w:noProof/>
          <w:lang w:val="en-GB"/>
        </w:rPr>
        <w:t xml:space="preserve"> followed the third recommendation of the final ISA evaluation and developed close cooperation with other EU policies and initiatives. Respondents to the consultation activities identified the </w:t>
      </w:r>
      <w:r>
        <w:rPr>
          <w:rFonts w:cs="Times New Roman"/>
          <w:b/>
          <w:noProof/>
          <w:lang w:val="en-GB"/>
        </w:rPr>
        <w:t>highest level of synergies between ISA</w:t>
      </w:r>
      <w:r>
        <w:rPr>
          <w:rFonts w:cs="Times New Roman"/>
          <w:b/>
          <w:noProof/>
          <w:vertAlign w:val="superscript"/>
          <w:lang w:val="en-GB"/>
        </w:rPr>
        <w:t>2</w:t>
      </w:r>
      <w:r>
        <w:rPr>
          <w:rFonts w:cs="Times New Roman"/>
          <w:b/>
          <w:noProof/>
          <w:lang w:val="en-GB"/>
        </w:rPr>
        <w:t xml:space="preserve"> and CEF</w:t>
      </w:r>
      <w:r>
        <w:rPr>
          <w:rFonts w:cs="Times New Roman"/>
          <w:noProof/>
          <w:lang w:val="en-GB"/>
        </w:rPr>
        <w:t xml:space="preserve">. They also pointed out the synergies with ‘other’ EU initiatives such as the </w:t>
      </w:r>
      <w:r>
        <w:rPr>
          <w:rFonts w:cs="Times New Roman"/>
          <w:b/>
          <w:noProof/>
          <w:lang w:val="en-GB"/>
        </w:rPr>
        <w:t>ERDF, corporate IT governance and the Single Digital Gateway</w:t>
      </w:r>
      <w:r>
        <w:rPr>
          <w:rFonts w:cs="Times New Roman"/>
          <w:noProof/>
          <w:lang w:val="en-GB"/>
        </w:rPr>
        <w:t>. Synergies also exist between ISA</w:t>
      </w:r>
      <w:r>
        <w:rPr>
          <w:rFonts w:cs="Times New Roman"/>
          <w:noProof/>
          <w:vertAlign w:val="superscript"/>
          <w:lang w:val="en-GB"/>
        </w:rPr>
        <w:t>2</w:t>
      </w:r>
      <w:r>
        <w:rPr>
          <w:rFonts w:cs="Times New Roman"/>
          <w:noProof/>
          <w:lang w:val="en-GB"/>
        </w:rPr>
        <w:t xml:space="preserve"> and some broader EU initiatives and policies, such as the </w:t>
      </w:r>
      <w:r>
        <w:rPr>
          <w:rFonts w:cs="Times New Roman"/>
          <w:b/>
          <w:noProof/>
          <w:lang w:val="en-GB"/>
        </w:rPr>
        <w:t>Digital Single Market strategy</w:t>
      </w:r>
      <w:r>
        <w:rPr>
          <w:rFonts w:cs="Times New Roman"/>
          <w:noProof/>
          <w:lang w:val="en-GB"/>
        </w:rPr>
        <w:t xml:space="preserve">, the </w:t>
      </w:r>
      <w:r>
        <w:rPr>
          <w:rFonts w:cs="Times New Roman"/>
          <w:b/>
          <w:noProof/>
          <w:lang w:val="en-GB"/>
        </w:rPr>
        <w:t>eGovernment Action Plan</w:t>
      </w:r>
      <w:r>
        <w:rPr>
          <w:rFonts w:cs="Times New Roman"/>
          <w:noProof/>
          <w:lang w:val="en-GB"/>
        </w:rPr>
        <w:t xml:space="preserve">, the </w:t>
      </w:r>
      <w:r>
        <w:rPr>
          <w:rFonts w:cs="Times New Roman"/>
          <w:b/>
          <w:noProof/>
          <w:lang w:val="en-GB"/>
        </w:rPr>
        <w:t>Tallinn Declaration</w:t>
      </w:r>
      <w:r>
        <w:rPr>
          <w:rFonts w:cs="Times New Roman"/>
          <w:noProof/>
          <w:lang w:val="en-GB"/>
        </w:rPr>
        <w:t xml:space="preserve"> on eGovernment, and the </w:t>
      </w:r>
      <w:r>
        <w:rPr>
          <w:rFonts w:cs="Times New Roman"/>
          <w:b/>
          <w:noProof/>
          <w:lang w:val="en-GB"/>
        </w:rPr>
        <w:t>Rolling Plan for</w:t>
      </w:r>
      <w:r>
        <w:rPr>
          <w:rFonts w:cs="Times New Roman"/>
          <w:noProof/>
          <w:lang w:val="en-GB"/>
        </w:rPr>
        <w:t xml:space="preserve"> </w:t>
      </w:r>
      <w:r>
        <w:rPr>
          <w:rFonts w:cs="Times New Roman"/>
          <w:b/>
          <w:noProof/>
          <w:lang w:val="en-GB"/>
        </w:rPr>
        <w:t>ICT standardisation</w:t>
      </w:r>
      <w:r>
        <w:rPr>
          <w:rFonts w:cs="Times New Roman"/>
          <w:noProof/>
          <w:lang w:val="en-GB"/>
        </w:rPr>
        <w:t>.</w:t>
      </w:r>
    </w:p>
    <w:p>
      <w:pPr>
        <w:jc w:val="both"/>
        <w:rPr>
          <w:rFonts w:cs="Times New Roman"/>
          <w:noProof/>
          <w:lang w:val="en-GB"/>
        </w:rPr>
      </w:pPr>
      <w:r>
        <w:rPr>
          <w:rFonts w:cs="Times New Roman"/>
          <w:b/>
          <w:noProof/>
          <w:lang w:val="en-GB"/>
        </w:rPr>
        <w:t>In conclusion, ISA</w:t>
      </w:r>
      <w:r>
        <w:rPr>
          <w:rFonts w:cs="Times New Roman"/>
          <w:b/>
          <w:noProof/>
          <w:vertAlign w:val="superscript"/>
          <w:lang w:val="en-GB"/>
        </w:rPr>
        <w:t>2</w:t>
      </w:r>
      <w:r>
        <w:rPr>
          <w:rFonts w:cs="Times New Roman"/>
          <w:b/>
          <w:noProof/>
          <w:lang w:val="en-GB"/>
        </w:rPr>
        <w:t xml:space="preserve"> actions have multiple links outside of the programme</w:t>
      </w:r>
      <w:r>
        <w:rPr>
          <w:rFonts w:cs="Times New Roman"/>
          <w:noProof/>
          <w:lang w:val="en-GB"/>
        </w:rPr>
        <w:t>, as they rely on other EU programmes / policies / initiatives to deliver their results and their solutions are used by other programmes / policies / initiatives. This further corroborates the positive feedback on the programme’s external coherence.</w:t>
      </w:r>
    </w:p>
    <w:p>
      <w:pPr>
        <w:pStyle w:val="Heading2"/>
        <w:rPr>
          <w:noProof/>
        </w:rPr>
      </w:pPr>
      <w:bookmarkStart w:id="18" w:name="_Toc14708141"/>
      <w:r>
        <w:rPr>
          <w:noProof/>
        </w:rPr>
        <w:t>EU added value</w:t>
      </w:r>
      <w:bookmarkEnd w:id="18"/>
    </w:p>
    <w:p>
      <w:pPr>
        <w:pStyle w:val="Heading3"/>
        <w:rPr>
          <w:noProof/>
          <w:lang w:val="en-GB"/>
        </w:rPr>
      </w:pPr>
      <w:r>
        <w:rPr>
          <w:noProof/>
          <w:lang w:val="en-GB"/>
        </w:rPr>
        <w:t>Evaluation framework for EU added value</w:t>
      </w:r>
    </w:p>
    <w:p>
      <w:pPr>
        <w:jc w:val="both"/>
        <w:rPr>
          <w:rFonts w:cs="Times New Roman"/>
          <w:noProof/>
          <w:lang w:val="en-GB"/>
        </w:rPr>
      </w:pPr>
      <w:r>
        <w:rPr>
          <w:rFonts w:cs="Times New Roman"/>
          <w:noProof/>
          <w:lang w:val="en-GB"/>
        </w:rPr>
        <w:t>The EU added value captures the programme's impacts additional to those that would be achieved if the issues addressed by ISA</w:t>
      </w:r>
      <w:r>
        <w:rPr>
          <w:rFonts w:cs="Times New Roman"/>
          <w:noProof/>
          <w:vertAlign w:val="superscript"/>
          <w:lang w:val="en-GB"/>
        </w:rPr>
        <w:t>2</w:t>
      </w:r>
      <w:r>
        <w:rPr>
          <w:rFonts w:cs="Times New Roman"/>
          <w:noProof/>
          <w:lang w:val="en-GB"/>
        </w:rPr>
        <w:t xml:space="preserve"> were left solely in the hands of national and sub-national authorities. This evaluation criterion seeks to answer the following EQ:</w:t>
      </w:r>
    </w:p>
    <w:p>
      <w:pPr>
        <w:pStyle w:val="ListParagraph"/>
        <w:numPr>
          <w:ilvl w:val="0"/>
          <w:numId w:val="21"/>
        </w:numPr>
        <w:spacing w:after="200" w:line="276" w:lineRule="auto"/>
        <w:ind w:left="850"/>
        <w:contextualSpacing w:val="0"/>
        <w:rPr>
          <w:b/>
          <w:noProof/>
        </w:rPr>
      </w:pPr>
      <w:r>
        <w:rPr>
          <w:b/>
          <w:noProof/>
        </w:rPr>
        <w:t>What is the additional value resulting from the ISA² programme, compared to what could reasonably have been expected from Member States acting at national, regional and/or local levels?</w:t>
      </w:r>
    </w:p>
    <w:p>
      <w:pPr>
        <w:jc w:val="both"/>
        <w:rPr>
          <w:rFonts w:cs="Times New Roman"/>
          <w:noProof/>
          <w:lang w:val="en-GB"/>
        </w:rPr>
      </w:pPr>
      <w:r>
        <w:rPr>
          <w:rFonts w:cs="Times New Roman"/>
          <w:noProof/>
          <w:lang w:val="en-GB"/>
        </w:rPr>
        <w:t xml:space="preserve">To answer this question, the evaluation analysed </w:t>
      </w:r>
      <w:r>
        <w:rPr>
          <w:rFonts w:cs="Times New Roman"/>
          <w:bCs/>
          <w:noProof/>
          <w:lang w:val="en-GB"/>
        </w:rPr>
        <w:t>the following judgment criteria based on both primary and secondary data</w:t>
      </w:r>
      <w:r>
        <w:rPr>
          <w:rFonts w:cs="Times New Roman"/>
          <w:noProof/>
          <w:lang w:val="en-GB"/>
        </w:rPr>
        <w:t>:</w:t>
      </w:r>
    </w:p>
    <w:p>
      <w:pPr>
        <w:pStyle w:val="ListParagraph"/>
        <w:numPr>
          <w:ilvl w:val="0"/>
          <w:numId w:val="29"/>
        </w:numPr>
        <w:spacing w:after="120" w:line="276" w:lineRule="auto"/>
        <w:ind w:left="850" w:hanging="737"/>
        <w:contextualSpacing w:val="0"/>
        <w:rPr>
          <w:noProof/>
        </w:rPr>
      </w:pPr>
      <w:r>
        <w:rPr>
          <w:noProof/>
        </w:rPr>
        <w:t>Achievement of objectives that could not be otherwise attained with national or sub-national interventions;</w:t>
      </w:r>
    </w:p>
    <w:p>
      <w:pPr>
        <w:pStyle w:val="ListParagraph"/>
        <w:numPr>
          <w:ilvl w:val="0"/>
          <w:numId w:val="29"/>
        </w:numPr>
        <w:spacing w:after="120" w:line="276" w:lineRule="auto"/>
        <w:ind w:left="850" w:hanging="737"/>
        <w:contextualSpacing w:val="0"/>
        <w:rPr>
          <w:noProof/>
        </w:rPr>
      </w:pPr>
      <w:r>
        <w:rPr>
          <w:noProof/>
        </w:rPr>
        <w:t>Achievement of objectives at a cost lower than what could be attained via national or sub-national interventions;</w:t>
      </w:r>
    </w:p>
    <w:p>
      <w:pPr>
        <w:pStyle w:val="ListParagraph"/>
        <w:numPr>
          <w:ilvl w:val="0"/>
          <w:numId w:val="29"/>
        </w:numPr>
        <w:spacing w:after="120" w:line="276" w:lineRule="auto"/>
        <w:ind w:left="850" w:hanging="737"/>
        <w:contextualSpacing w:val="0"/>
        <w:rPr>
          <w:noProof/>
        </w:rPr>
      </w:pPr>
      <w:r>
        <w:rPr>
          <w:noProof/>
        </w:rPr>
        <w:t>Achievements in terms of cross-border interoperability; and</w:t>
      </w:r>
    </w:p>
    <w:p>
      <w:pPr>
        <w:pStyle w:val="ListParagraph"/>
        <w:numPr>
          <w:ilvl w:val="0"/>
          <w:numId w:val="29"/>
        </w:numPr>
        <w:spacing w:after="200" w:line="276" w:lineRule="auto"/>
        <w:ind w:left="850" w:hanging="737"/>
        <w:contextualSpacing w:val="0"/>
        <w:rPr>
          <w:noProof/>
          <w:lang w:eastAsia="it-IT"/>
        </w:rPr>
      </w:pPr>
      <w:r>
        <w:rPr>
          <w:noProof/>
        </w:rPr>
        <w:t>The contribution to the advancement of common EU policies.</w:t>
      </w:r>
    </w:p>
    <w:p>
      <w:pPr>
        <w:pStyle w:val="Heading3"/>
        <w:rPr>
          <w:noProof/>
          <w:lang w:val="en-GB"/>
        </w:rPr>
      </w:pPr>
      <w:r>
        <w:rPr>
          <w:noProof/>
          <w:lang w:val="en-GB"/>
        </w:rPr>
        <w:t>Analysis</w:t>
      </w:r>
    </w:p>
    <w:p>
      <w:pPr>
        <w:jc w:val="both"/>
        <w:rPr>
          <w:rFonts w:cs="Times New Roman"/>
          <w:b/>
          <w:iCs/>
          <w:noProof/>
          <w:u w:val="single"/>
          <w:lang w:val="en-GB"/>
        </w:rPr>
      </w:pPr>
      <w:r>
        <w:rPr>
          <w:rFonts w:cs="Times New Roman"/>
          <w:b/>
          <w:iCs/>
          <w:noProof/>
          <w:u w:val="single"/>
          <w:lang w:val="en-GB"/>
        </w:rPr>
        <w:t>JC1: Achievement of objectives that could not have been achieved without EU-level intervention</w:t>
      </w:r>
    </w:p>
    <w:p>
      <w:pPr>
        <w:jc w:val="both"/>
        <w:rPr>
          <w:rFonts w:cs="Times New Roman"/>
          <w:noProof/>
          <w:lang w:val="en-GB"/>
        </w:rPr>
      </w:pPr>
      <w:r>
        <w:rPr>
          <w:rFonts w:cs="Times New Roman"/>
          <w:noProof/>
          <w:lang w:val="en-GB"/>
        </w:rPr>
        <w:t xml:space="preserve">Most respondents believe that </w:t>
      </w:r>
      <w:r>
        <w:rPr>
          <w:rFonts w:cs="Times New Roman"/>
          <w:b/>
          <w:noProof/>
          <w:lang w:val="en-GB"/>
        </w:rPr>
        <w:t>national or sub-national interventions would not be able to achieve the general and specific objectives in the field of interoperability that ISA</w:t>
      </w:r>
      <w:r>
        <w:rPr>
          <w:rFonts w:cs="Times New Roman"/>
          <w:b/>
          <w:noProof/>
          <w:vertAlign w:val="superscript"/>
          <w:lang w:val="en-GB"/>
        </w:rPr>
        <w:t>2</w:t>
      </w:r>
      <w:r>
        <w:rPr>
          <w:rFonts w:cs="Times New Roman"/>
          <w:b/>
          <w:noProof/>
          <w:lang w:val="en-GB"/>
        </w:rPr>
        <w:t xml:space="preserve"> is pursuing, or that they would achieve only be able to achieve them to a limited extent</w:t>
      </w:r>
      <w:r>
        <w:rPr>
          <w:rFonts w:cs="Times New Roman"/>
          <w:noProof/>
          <w:lang w:val="en-GB"/>
        </w:rPr>
        <w:t xml:space="preserve"> (</w:t>
      </w:r>
      <w:r>
        <w:rPr>
          <w:rFonts w:cs="Times New Roman"/>
          <w:noProof/>
        </w:rPr>
        <w:fldChar w:fldCharType="begin"/>
      </w:r>
      <w:r>
        <w:rPr>
          <w:rFonts w:cs="Times New Roman"/>
          <w:noProof/>
          <w:lang w:val="en-GB"/>
        </w:rPr>
        <w:instrText xml:space="preserve"> REF _Ref9755929 \h  \* MERGEFORMAT </w:instrText>
      </w:r>
      <w:r>
        <w:rPr>
          <w:rFonts w:cs="Times New Roman"/>
          <w:noProof/>
        </w:rPr>
      </w:r>
      <w:r>
        <w:rPr>
          <w:rFonts w:cs="Times New Roman"/>
          <w:noProof/>
        </w:rPr>
        <w:fldChar w:fldCharType="separate"/>
      </w:r>
      <w:r>
        <w:rPr>
          <w:rFonts w:cs="Times New Roman"/>
          <w:noProof/>
          <w:lang w:val="en-GB"/>
        </w:rPr>
        <w:t>Figure 17</w:t>
      </w:r>
      <w:r>
        <w:rPr>
          <w:rFonts w:cs="Times New Roman"/>
          <w:noProof/>
        </w:rPr>
        <w:fldChar w:fldCharType="end"/>
      </w:r>
      <w:r>
        <w:rPr>
          <w:rFonts w:cs="Times New Roman"/>
          <w:noProof/>
          <w:lang w:val="en-GB"/>
        </w:rPr>
        <w:t xml:space="preserve">). This observation is particularly evident when it comes to </w:t>
      </w:r>
      <w:r>
        <w:rPr>
          <w:rFonts w:cs="Times New Roman"/>
          <w:i/>
          <w:noProof/>
          <w:lang w:val="en-GB"/>
        </w:rPr>
        <w:t>developing, maintaining and promoting a holistic approach to interoperability in the Union</w:t>
      </w:r>
      <w:r>
        <w:rPr>
          <w:rFonts w:cs="Times New Roman"/>
          <w:noProof/>
          <w:lang w:val="en-GB"/>
        </w:rPr>
        <w:t xml:space="preserve"> (specific objective 1), as 83 % of respondents (95 out of 115) believe that national or sub-national interventions would not be able to achieve this objective or would achieve it only to a limited extent. Additionally, 72 % of respondents (83 out of 116) point to limited achievements or no achievement from national or sub-national initiatives with regard to </w:t>
      </w:r>
      <w:r>
        <w:rPr>
          <w:rFonts w:cs="Times New Roman"/>
          <w:i/>
          <w:noProof/>
          <w:lang w:val="en-GB"/>
        </w:rPr>
        <w:t>facilitating the efficient and effective electronic cross-border or cross-sector interaction between European public administrations, and between European public administrations and businesses and citizens</w:t>
      </w:r>
      <w:r>
        <w:rPr>
          <w:rFonts w:cs="Times New Roman"/>
          <w:noProof/>
          <w:lang w:val="en-GB"/>
        </w:rPr>
        <w:t xml:space="preserve"> (specific objective 2). These examples show that the coordination provided by a unique EU-level programme plays an important role in improving overall interoperability among European public administrations. The technical experts supporting the evaluation have unanimously confirmed this conclusion.</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17</w:t>
      </w:r>
      <w:r>
        <w:rPr>
          <w:rFonts w:cs="Times New Roman"/>
          <w:noProof/>
        </w:rPr>
        <w:fldChar w:fldCharType="end"/>
      </w:r>
      <w:r>
        <w:rPr>
          <w:rFonts w:cs="Times New Roman"/>
          <w:noProof/>
        </w:rPr>
        <w:t>: Extent to which national or sub-national interventions would be able to achieve the ISA</w:t>
      </w:r>
      <w:r>
        <w:rPr>
          <w:rFonts w:cs="Times New Roman"/>
          <w:noProof/>
          <w:vertAlign w:val="superscript"/>
        </w:rPr>
        <w:t xml:space="preserve">2 </w:t>
      </w:r>
      <w:r>
        <w:rPr>
          <w:rFonts w:cs="Times New Roman"/>
          <w:noProof/>
        </w:rPr>
        <w:t>objectives without the programme (average score of answers, number of respondents)</w:t>
      </w:r>
    </w:p>
    <w:p>
      <w:pPr>
        <w:pStyle w:val="VISUAL"/>
        <w:rPr>
          <w:rFonts w:cs="Times New Roman"/>
          <w:noProof/>
        </w:rPr>
      </w:pPr>
      <w:r>
        <w:rPr>
          <w:rFonts w:cs="Times New Roman"/>
          <w:noProof/>
          <w:lang w:eastAsia="en-GB"/>
        </w:rPr>
        <w:drawing>
          <wp:inline distT="0" distB="0" distL="0" distR="0">
            <wp:extent cx="5731510" cy="6250940"/>
            <wp:effectExtent l="0" t="0" r="2540" b="0"/>
            <wp:docPr id="147" name="Diagramm 1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96"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There is, however, </w:t>
      </w:r>
      <w:r>
        <w:rPr>
          <w:rFonts w:cs="Times New Roman"/>
          <w:b/>
          <w:noProof/>
          <w:lang w:val="en-GB"/>
        </w:rPr>
        <w:t>one specific area in which national or sub-national interventions would be able to contribute in the absence of an EU-level programme</w:t>
      </w:r>
      <w:r>
        <w:rPr>
          <w:rFonts w:cs="Times New Roman"/>
          <w:noProof/>
          <w:lang w:val="en-GB"/>
        </w:rPr>
        <w:t xml:space="preserve">. A quarter of respondents (29 out of 115) believe that national or sub-national interventions would be able </w:t>
      </w:r>
      <w:r>
        <w:rPr>
          <w:rFonts w:cs="Times New Roman"/>
          <w:i/>
          <w:noProof/>
          <w:lang w:val="en-GB"/>
        </w:rPr>
        <w:t>to contribute to the development of a more effective, simplified and user-friendly e-administration at the national, regional and local levels</w:t>
      </w:r>
      <w:r>
        <w:rPr>
          <w:rFonts w:cs="Times New Roman"/>
          <w:noProof/>
          <w:lang w:val="en-GB"/>
        </w:rPr>
        <w:t xml:space="preserve"> (specific objective 3) to a high extent or to the fullest extent. This result shows how well EU and national initiatives complement each other, since specific objective 3 is the one where the ISA</w:t>
      </w:r>
      <w:r>
        <w:rPr>
          <w:rFonts w:cs="Times New Roman"/>
          <w:noProof/>
          <w:vertAlign w:val="superscript"/>
          <w:lang w:val="en-GB"/>
        </w:rPr>
        <w:t xml:space="preserve">2 </w:t>
      </w:r>
      <w:r>
        <w:rPr>
          <w:rFonts w:cs="Times New Roman"/>
          <w:noProof/>
          <w:lang w:val="en-GB"/>
        </w:rPr>
        <w:t xml:space="preserve">programme shows the worst performance in terms of effectiveness (see </w:t>
      </w:r>
      <w:r>
        <w:rPr>
          <w:rFonts w:cs="Times New Roman"/>
          <w:noProof/>
        </w:rPr>
        <w:fldChar w:fldCharType="begin"/>
      </w:r>
      <w:r>
        <w:rPr>
          <w:rFonts w:cs="Times New Roman"/>
          <w:noProof/>
          <w:lang w:val="en-GB"/>
        </w:rPr>
        <w:instrText xml:space="preserve"> REF _Ref9584015 \h  \* MERGEFORMAT </w:instrText>
      </w:r>
      <w:r>
        <w:rPr>
          <w:rFonts w:cs="Times New Roman"/>
          <w:noProof/>
        </w:rPr>
      </w:r>
      <w:r>
        <w:rPr>
          <w:rFonts w:cs="Times New Roman"/>
          <w:noProof/>
        </w:rPr>
        <w:fldChar w:fldCharType="separate"/>
      </w:r>
      <w:r>
        <w:rPr>
          <w:rFonts w:cs="Times New Roman"/>
          <w:noProof/>
          <w:lang w:val="en-GB"/>
        </w:rPr>
        <w:t>Figure 6</w:t>
      </w:r>
      <w:r>
        <w:rPr>
          <w:rFonts w:cs="Times New Roman"/>
          <w:noProof/>
        </w:rPr>
        <w:fldChar w:fldCharType="end"/>
      </w:r>
      <w:r>
        <w:rPr>
          <w:rFonts w:cs="Times New Roman"/>
          <w:noProof/>
          <w:lang w:val="en-GB"/>
        </w:rPr>
        <w:t xml:space="preserve"> in section 5.2).</w:t>
      </w:r>
    </w:p>
    <w:p>
      <w:pPr>
        <w:jc w:val="both"/>
        <w:rPr>
          <w:rFonts w:cs="Times New Roman"/>
          <w:noProof/>
          <w:lang w:val="en-GB"/>
        </w:rPr>
      </w:pPr>
      <w:r>
        <w:rPr>
          <w:rFonts w:cs="Times New Roman"/>
          <w:noProof/>
          <w:lang w:val="en-GB"/>
        </w:rPr>
        <w:t>It is worth emphasising that while national initiatives related to the ICT modernisation of the public sector cannot achieve the objectives pursued by ISA</w:t>
      </w:r>
      <w:r>
        <w:rPr>
          <w:rFonts w:cs="Times New Roman"/>
          <w:noProof/>
          <w:vertAlign w:val="superscript"/>
          <w:lang w:val="en-GB"/>
        </w:rPr>
        <w:t>2</w:t>
      </w:r>
      <w:r>
        <w:rPr>
          <w:rFonts w:cs="Times New Roman"/>
          <w:noProof/>
          <w:lang w:val="en-GB"/>
        </w:rPr>
        <w:t xml:space="preserve">, they are still very important to </w:t>
      </w:r>
      <w:r>
        <w:rPr>
          <w:rFonts w:cs="Times New Roman"/>
          <w:b/>
          <w:noProof/>
          <w:lang w:val="en-GB"/>
        </w:rPr>
        <w:t>improving the programme’s performance as they increase the capacity for the take-up of ISA</w:t>
      </w:r>
      <w:r>
        <w:rPr>
          <w:rFonts w:cs="Times New Roman"/>
          <w:b/>
          <w:noProof/>
          <w:vertAlign w:val="superscript"/>
          <w:lang w:val="en-GB"/>
        </w:rPr>
        <w:t xml:space="preserve">2 </w:t>
      </w:r>
      <w:r>
        <w:rPr>
          <w:rFonts w:cs="Times New Roman"/>
          <w:b/>
          <w:noProof/>
          <w:lang w:val="en-GB"/>
        </w:rPr>
        <w:t>solutions.</w:t>
      </w:r>
      <w:r>
        <w:rPr>
          <w:rFonts w:cs="Times New Roman"/>
          <w:noProof/>
          <w:lang w:val="en-GB"/>
        </w:rPr>
        <w:t xml:space="preserve"> Initiatives pursued by Member States in this field show that interoperability is a priority, which encourages working together with ISA</w:t>
      </w:r>
      <w:r>
        <w:rPr>
          <w:rFonts w:cs="Times New Roman"/>
          <w:noProof/>
          <w:vertAlign w:val="superscript"/>
          <w:lang w:val="en-GB"/>
        </w:rPr>
        <w:t>2</w:t>
      </w:r>
      <w:r>
        <w:rPr>
          <w:rFonts w:cs="Times New Roman"/>
          <w:noProof/>
          <w:lang w:val="en-GB"/>
        </w:rPr>
        <w:t>. In addition, from the point of view of ICT development, national initiatives put Member States in a better position to use the solutions provided by ISA</w:t>
      </w:r>
      <w:r>
        <w:rPr>
          <w:rFonts w:cs="Times New Roman"/>
          <w:noProof/>
          <w:vertAlign w:val="superscript"/>
          <w:lang w:val="en-GB"/>
        </w:rPr>
        <w:t>2</w:t>
      </w:r>
      <w:r>
        <w:rPr>
          <w:rFonts w:cs="Times New Roman"/>
          <w:noProof/>
          <w:lang w:val="en-GB"/>
        </w:rPr>
        <w:t>.</w:t>
      </w:r>
    </w:p>
    <w:p>
      <w:pPr>
        <w:jc w:val="both"/>
        <w:rPr>
          <w:rFonts w:cs="Times New Roman"/>
          <w:b/>
          <w:iCs/>
          <w:noProof/>
          <w:u w:val="single"/>
          <w:lang w:val="en-GB"/>
        </w:rPr>
      </w:pPr>
      <w:r>
        <w:rPr>
          <w:rFonts w:cs="Times New Roman"/>
          <w:b/>
          <w:iCs/>
          <w:noProof/>
          <w:u w:val="single"/>
          <w:lang w:val="en-GB"/>
        </w:rPr>
        <w:t>JC2: Achievement of objectives at a lower cost</w:t>
      </w:r>
    </w:p>
    <w:p>
      <w:pPr>
        <w:jc w:val="both"/>
        <w:rPr>
          <w:rFonts w:cs="Times New Roman"/>
          <w:noProof/>
          <w:lang w:val="en-GB"/>
        </w:rPr>
      </w:pPr>
      <w:r>
        <w:rPr>
          <w:rFonts w:cs="Times New Roman"/>
          <w:noProof/>
          <w:lang w:val="en-GB"/>
        </w:rPr>
        <w:t>In addition, 83 % of respondents (91 out of 109) emphasised that ISA</w:t>
      </w:r>
      <w:r>
        <w:rPr>
          <w:rFonts w:cs="Times New Roman"/>
          <w:noProof/>
          <w:vertAlign w:val="superscript"/>
          <w:lang w:val="en-GB"/>
        </w:rPr>
        <w:t>2</w:t>
      </w:r>
      <w:r>
        <w:rPr>
          <w:rFonts w:cs="Times New Roman"/>
          <w:noProof/>
          <w:lang w:val="en-GB"/>
        </w:rPr>
        <w:t xml:space="preserve"> is probably or definitely able to achieve its objectives at a </w:t>
      </w:r>
      <w:r>
        <w:rPr>
          <w:rFonts w:cs="Times New Roman"/>
          <w:b/>
          <w:noProof/>
          <w:lang w:val="en-GB"/>
        </w:rPr>
        <w:t>lower cost than comparable national or sub-national initiatives</w:t>
      </w:r>
      <w:r>
        <w:rPr>
          <w:rFonts w:cs="Times New Roman"/>
          <w:noProof/>
          <w:lang w:val="en-GB"/>
        </w:rPr>
        <w:t xml:space="preserve"> (</w:t>
      </w:r>
      <w:r>
        <w:rPr>
          <w:rFonts w:cs="Times New Roman"/>
          <w:noProof/>
        </w:rPr>
        <w:fldChar w:fldCharType="begin"/>
      </w:r>
      <w:r>
        <w:rPr>
          <w:rFonts w:cs="Times New Roman"/>
          <w:noProof/>
          <w:lang w:val="en-GB"/>
        </w:rPr>
        <w:instrText xml:space="preserve"> REF _Ref9756631 \h  \* MERGEFORMAT </w:instrText>
      </w:r>
      <w:r>
        <w:rPr>
          <w:rFonts w:cs="Times New Roman"/>
          <w:noProof/>
        </w:rPr>
      </w:r>
      <w:r>
        <w:rPr>
          <w:rFonts w:cs="Times New Roman"/>
          <w:noProof/>
        </w:rPr>
        <w:fldChar w:fldCharType="separate"/>
      </w:r>
      <w:r>
        <w:rPr>
          <w:rFonts w:cs="Times New Roman"/>
          <w:noProof/>
          <w:lang w:val="en-GB"/>
        </w:rPr>
        <w:t>Figure 18</w:t>
      </w:r>
      <w:r>
        <w:rPr>
          <w:rFonts w:cs="Times New Roman"/>
          <w:noProof/>
        </w:rPr>
        <w:fldChar w:fldCharType="end"/>
      </w:r>
      <w:r>
        <w:rPr>
          <w:rFonts w:cs="Times New Roman"/>
          <w:noProof/>
          <w:lang w:val="en-GB"/>
        </w:rPr>
        <w:t>). The main stakeholders of ISA</w:t>
      </w:r>
      <w:r>
        <w:rPr>
          <w:rFonts w:cs="Times New Roman"/>
          <w:noProof/>
          <w:vertAlign w:val="superscript"/>
          <w:lang w:val="en-GB"/>
        </w:rPr>
        <w:t xml:space="preserve">2 </w:t>
      </w:r>
      <w:r>
        <w:rPr>
          <w:rFonts w:cs="Times New Roman"/>
          <w:noProof/>
          <w:lang w:val="en-GB"/>
        </w:rPr>
        <w:t xml:space="preserve">appreciate the </w:t>
      </w:r>
      <w:r>
        <w:rPr>
          <w:rFonts w:cs="Times New Roman"/>
          <w:b/>
          <w:noProof/>
          <w:lang w:val="en-GB"/>
        </w:rPr>
        <w:t xml:space="preserve">economies of scale </w:t>
      </w:r>
      <w:r>
        <w:rPr>
          <w:rFonts w:cs="Times New Roman"/>
          <w:noProof/>
          <w:lang w:val="en-GB"/>
        </w:rPr>
        <w:t>that this EU-level programme generates.</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18</w:t>
      </w:r>
      <w:r>
        <w:rPr>
          <w:rFonts w:cs="Times New Roman"/>
          <w:noProof/>
        </w:rPr>
        <w:fldChar w:fldCharType="end"/>
      </w:r>
      <w:r>
        <w:rPr>
          <w:rFonts w:cs="Times New Roman"/>
          <w:noProof/>
        </w:rPr>
        <w:t>: Ability of ISA</w:t>
      </w:r>
      <w:r>
        <w:rPr>
          <w:rFonts w:cs="Times New Roman"/>
          <w:noProof/>
          <w:vertAlign w:val="superscript"/>
        </w:rPr>
        <w:t>2</w:t>
      </w:r>
      <w:r>
        <w:rPr>
          <w:rFonts w:cs="Times New Roman"/>
          <w:noProof/>
        </w:rPr>
        <w:t xml:space="preserve"> to achieve the relevant objectives at a lower cost than comparable national or sub-national interventions (average score of answers, number of respondents)</w:t>
      </w:r>
    </w:p>
    <w:p>
      <w:pPr>
        <w:jc w:val="both"/>
        <w:rPr>
          <w:rFonts w:cs="Times New Roman"/>
          <w:noProof/>
        </w:rPr>
      </w:pPr>
      <w:r>
        <w:rPr>
          <w:rFonts w:cs="Times New Roman"/>
          <w:noProof/>
          <w:lang w:val="en-GB" w:eastAsia="en-GB"/>
        </w:rPr>
        <w:drawing>
          <wp:inline distT="0" distB="0" distL="0" distR="0">
            <wp:extent cx="5731510" cy="1966224"/>
            <wp:effectExtent l="0" t="0" r="2540" b="0"/>
            <wp:docPr id="148" name="Diagramm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Notes"/>
        <w:rPr>
          <w:rFonts w:cs="Times New Roman"/>
          <w:noProof/>
        </w:rPr>
      </w:pPr>
      <w:r>
        <w:rPr>
          <w:rFonts w:cs="Times New Roman"/>
          <w:noProof/>
        </w:rPr>
        <w:t>Score: 1 — definitely would not; 2 — probably would not; 3 — probably would; 4 — definitely would.</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98" w:history="1">
        <w:r>
          <w:rPr>
            <w:rStyle w:val="Hyperlink"/>
            <w:rFonts w:cs="Times New Roman"/>
            <w:i/>
            <w:noProof/>
            <w:sz w:val="20"/>
            <w:szCs w:val="20"/>
            <w:lang w:val="en-GB"/>
          </w:rPr>
          <w:t>CEPS final study</w:t>
        </w:r>
      </w:hyperlink>
    </w:p>
    <w:p>
      <w:pPr>
        <w:jc w:val="both"/>
        <w:rPr>
          <w:rFonts w:cs="Times New Roman"/>
          <w:b/>
          <w:iCs/>
          <w:noProof/>
          <w:u w:val="single"/>
          <w:lang w:val="en-GB"/>
        </w:rPr>
      </w:pPr>
      <w:r>
        <w:rPr>
          <w:rFonts w:cs="Times New Roman"/>
          <w:b/>
          <w:iCs/>
          <w:noProof/>
          <w:u w:val="single"/>
          <w:lang w:val="en-GB"/>
        </w:rPr>
        <w:t>JC3: Achievements in terms of cross-border interoperability</w:t>
      </w:r>
    </w:p>
    <w:p>
      <w:pPr>
        <w:jc w:val="both"/>
        <w:rPr>
          <w:rFonts w:cs="Times New Roman"/>
          <w:noProof/>
          <w:lang w:val="en-GB"/>
        </w:rPr>
      </w:pPr>
      <w:r>
        <w:rPr>
          <w:rFonts w:cs="Times New Roman"/>
          <w:noProof/>
          <w:lang w:val="en-GB"/>
        </w:rPr>
        <w:t>ISA</w:t>
      </w:r>
      <w:r>
        <w:rPr>
          <w:rFonts w:cs="Times New Roman"/>
          <w:noProof/>
          <w:vertAlign w:val="superscript"/>
          <w:lang w:val="en-GB"/>
        </w:rPr>
        <w:t>2</w:t>
      </w:r>
      <w:r>
        <w:rPr>
          <w:rFonts w:cs="Times New Roman"/>
          <w:noProof/>
          <w:lang w:val="en-GB"/>
        </w:rPr>
        <w:t xml:space="preserve"> focuses on providing both cross-border and cross-sectoral interoperability solutions. From the point of view of EU added value, the contribution to cross-border interoperability is particularly relevant, as it shows the extent to which the programme works towards achieving a holistic approach to interoperability in the EU.</w:t>
      </w:r>
    </w:p>
    <w:p>
      <w:pPr>
        <w:jc w:val="both"/>
        <w:rPr>
          <w:rFonts w:cs="Times New Roman"/>
          <w:noProof/>
          <w:lang w:val="en-GB"/>
        </w:rPr>
      </w:pPr>
      <w:r>
        <w:rPr>
          <w:rFonts w:cs="Times New Roman"/>
          <w:noProof/>
          <w:lang w:val="en-GB"/>
        </w:rPr>
        <w:t xml:space="preserve">Over half of the respondents (50 out of 93) believe that </w:t>
      </w:r>
      <w:r>
        <w:rPr>
          <w:rFonts w:cs="Times New Roman"/>
          <w:b/>
          <w:noProof/>
          <w:lang w:val="en-GB"/>
        </w:rPr>
        <w:t>ISA</w:t>
      </w:r>
      <w:r>
        <w:rPr>
          <w:rFonts w:cs="Times New Roman"/>
          <w:b/>
          <w:noProof/>
          <w:vertAlign w:val="superscript"/>
          <w:lang w:val="en-GB"/>
        </w:rPr>
        <w:t>2</w:t>
      </w:r>
      <w:r>
        <w:rPr>
          <w:rFonts w:cs="Times New Roman"/>
          <w:b/>
          <w:noProof/>
          <w:lang w:val="en-GB"/>
        </w:rPr>
        <w:t xml:space="preserve"> has contributed to a high extent or to the fullest extent to improving cross-border interoperability in the EU</w:t>
      </w:r>
      <w:r>
        <w:rPr>
          <w:rFonts w:cs="Times New Roman"/>
          <w:noProof/>
          <w:lang w:val="en-GB"/>
        </w:rPr>
        <w:t>. This result holds true across the consulted stakeholder groups, in comparison to less than 6 % (6 out of 93) who only see a limited contribution in this area (</w:t>
      </w:r>
      <w:r>
        <w:rPr>
          <w:rFonts w:cs="Times New Roman"/>
          <w:noProof/>
        </w:rPr>
        <w:fldChar w:fldCharType="begin"/>
      </w:r>
      <w:r>
        <w:rPr>
          <w:rFonts w:cs="Times New Roman"/>
          <w:noProof/>
          <w:lang w:val="en-GB"/>
        </w:rPr>
        <w:instrText xml:space="preserve"> REF _Ref9780893 \h  \* MERGEFORMAT </w:instrText>
      </w:r>
      <w:r>
        <w:rPr>
          <w:rFonts w:cs="Times New Roman"/>
          <w:noProof/>
        </w:rPr>
      </w:r>
      <w:r>
        <w:rPr>
          <w:rFonts w:cs="Times New Roman"/>
          <w:noProof/>
        </w:rPr>
        <w:fldChar w:fldCharType="separate"/>
      </w:r>
      <w:r>
        <w:rPr>
          <w:rFonts w:cs="Times New Roman"/>
          <w:noProof/>
          <w:lang w:val="en-GB"/>
        </w:rPr>
        <w:t>Figure 19</w:t>
      </w:r>
      <w:r>
        <w:rPr>
          <w:rFonts w:cs="Times New Roman"/>
          <w:noProof/>
        </w:rPr>
        <w:fldChar w:fldCharType="end"/>
      </w:r>
      <w:r>
        <w:rPr>
          <w:rFonts w:cs="Times New Roman"/>
          <w:noProof/>
          <w:lang w:val="en-GB"/>
        </w:rPr>
        <w:t>).</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19</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contributed to improving cross-border interoperability in the EU (average score of answers, number of respondents)</w:t>
      </w:r>
    </w:p>
    <w:p>
      <w:pPr>
        <w:pStyle w:val="VISUAL"/>
        <w:rPr>
          <w:rFonts w:cs="Times New Roman"/>
          <w:noProof/>
        </w:rPr>
      </w:pPr>
      <w:r>
        <w:rPr>
          <w:rFonts w:cs="Times New Roman"/>
          <w:noProof/>
          <w:lang w:eastAsia="en-GB"/>
        </w:rPr>
        <w:drawing>
          <wp:inline distT="0" distB="0" distL="0" distR="0">
            <wp:extent cx="5664200" cy="2127250"/>
            <wp:effectExtent l="0" t="0" r="0" b="635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00"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Several respondents also emphasised the following aspects:</w:t>
      </w:r>
    </w:p>
    <w:p>
      <w:pPr>
        <w:pStyle w:val="Firstlevellist"/>
        <w:rPr>
          <w:noProof/>
        </w:rPr>
      </w:pPr>
      <w:r>
        <w:rPr>
          <w:b/>
          <w:noProof/>
        </w:rPr>
        <w:t>Awareness</w:t>
      </w:r>
      <w:r>
        <w:rPr>
          <w:noProof/>
        </w:rPr>
        <w:t>: ISA</w:t>
      </w:r>
      <w:r>
        <w:rPr>
          <w:noProof/>
          <w:vertAlign w:val="superscript"/>
        </w:rPr>
        <w:t>2</w:t>
      </w:r>
      <w:r>
        <w:rPr>
          <w:noProof/>
        </w:rPr>
        <w:t xml:space="preserve"> raises awareness of interoperability in the EU and helps put the topic on national agendas; without this, little progress would be made in the field.</w:t>
      </w:r>
    </w:p>
    <w:p>
      <w:pPr>
        <w:pStyle w:val="FirstlevellistLAST"/>
        <w:rPr>
          <w:noProof/>
        </w:rPr>
      </w:pPr>
      <w:r>
        <w:rPr>
          <w:b/>
          <w:noProof/>
        </w:rPr>
        <w:t>Organisational contribution</w:t>
      </w:r>
      <w:r>
        <w:rPr>
          <w:noProof/>
        </w:rPr>
        <w:t>: ISA</w:t>
      </w:r>
      <w:r>
        <w:rPr>
          <w:noProof/>
          <w:vertAlign w:val="superscript"/>
        </w:rPr>
        <w:t>2</w:t>
      </w:r>
      <w:r>
        <w:rPr>
          <w:noProof/>
        </w:rPr>
        <w:t xml:space="preserve"> brings people together, creating networks and helping national organisations meet their counterparts in different countries, thus facilitating exchanges between Member States.</w:t>
      </w:r>
    </w:p>
    <w:p>
      <w:pPr>
        <w:jc w:val="both"/>
        <w:rPr>
          <w:rFonts w:cs="Times New Roman"/>
          <w:noProof/>
          <w:lang w:val="en-GB"/>
        </w:rPr>
      </w:pPr>
      <w:r>
        <w:rPr>
          <w:rFonts w:cs="Times New Roman"/>
          <w:noProof/>
          <w:lang w:val="en-GB"/>
        </w:rPr>
        <w:t>Desk research also supports the two examples mentioned above. First, ISA</w:t>
      </w:r>
      <w:r>
        <w:rPr>
          <w:rFonts w:cs="Times New Roman"/>
          <w:noProof/>
          <w:vertAlign w:val="superscript"/>
          <w:lang w:val="en-GB"/>
        </w:rPr>
        <w:t>2</w:t>
      </w:r>
      <w:r>
        <w:rPr>
          <w:rFonts w:cs="Times New Roman"/>
          <w:noProof/>
          <w:lang w:val="en-GB"/>
        </w:rPr>
        <w:t xml:space="preserve"> is committed to raising awareness about interoperability through its communication activities presented in </w:t>
      </w:r>
      <w:r>
        <w:rPr>
          <w:rFonts w:cs="Times New Roman"/>
          <w:noProof/>
        </w:rPr>
        <w:fldChar w:fldCharType="begin"/>
      </w:r>
      <w:r>
        <w:rPr>
          <w:rFonts w:cs="Times New Roman"/>
          <w:noProof/>
          <w:lang w:val="en-GB"/>
        </w:rPr>
        <w:instrText xml:space="preserve"> REF _Ref9594886 \h  \* MERGEFORMAT </w:instrText>
      </w:r>
      <w:r>
        <w:rPr>
          <w:rFonts w:cs="Times New Roman"/>
          <w:noProof/>
        </w:rPr>
      </w:r>
      <w:r>
        <w:rPr>
          <w:rFonts w:cs="Times New Roman"/>
          <w:noProof/>
        </w:rPr>
        <w:fldChar w:fldCharType="separate"/>
      </w:r>
      <w:r>
        <w:rPr>
          <w:rFonts w:cs="Times New Roman"/>
          <w:noProof/>
          <w:lang w:val="en-GB"/>
        </w:rPr>
        <w:t>Box 3</w:t>
      </w:r>
      <w:r>
        <w:rPr>
          <w:rFonts w:cs="Times New Roman"/>
          <w:noProof/>
        </w:rPr>
        <w:fldChar w:fldCharType="end"/>
      </w:r>
      <w:r>
        <w:rPr>
          <w:rFonts w:cs="Times New Roman"/>
          <w:noProof/>
          <w:lang w:val="en-GB"/>
        </w:rPr>
        <w:t>. Second, it contributes to the creation of a network of officials working on interoperability by holding regular ISA</w:t>
      </w:r>
      <w:r>
        <w:rPr>
          <w:rFonts w:cs="Times New Roman"/>
          <w:noProof/>
          <w:vertAlign w:val="superscript"/>
          <w:lang w:val="en-GB"/>
        </w:rPr>
        <w:t>2</w:t>
      </w:r>
      <w:r>
        <w:rPr>
          <w:rFonts w:cs="Times New Roman"/>
          <w:noProof/>
          <w:lang w:val="en-GB"/>
        </w:rPr>
        <w:t xml:space="preserve"> Committee and ISA</w:t>
      </w:r>
      <w:r>
        <w:rPr>
          <w:rFonts w:cs="Times New Roman"/>
          <w:noProof/>
          <w:vertAlign w:val="superscript"/>
          <w:lang w:val="en-GB"/>
        </w:rPr>
        <w:t>2</w:t>
      </w:r>
      <w:r>
        <w:rPr>
          <w:rFonts w:cs="Times New Roman"/>
          <w:noProof/>
          <w:lang w:val="en-GB"/>
        </w:rPr>
        <w:t xml:space="preserve"> Coordination Group meetings, which bring together representatives of Member States responsible for this topic. There were five ISA</w:t>
      </w:r>
      <w:r>
        <w:rPr>
          <w:rFonts w:cs="Times New Roman"/>
          <w:noProof/>
          <w:vertAlign w:val="superscript"/>
          <w:lang w:val="en-GB"/>
        </w:rPr>
        <w:t>2</w:t>
      </w:r>
      <w:r>
        <w:rPr>
          <w:rFonts w:cs="Times New Roman"/>
          <w:noProof/>
          <w:lang w:val="en-GB"/>
        </w:rPr>
        <w:t xml:space="preserve"> Committee meetings and three Coordination Group meetings between 2016 and 2018. In most of them, all 28 Member States were represented by at least one participant (with a maximum of three participants per meeting per Member State). In addition, Norway was represented in all Coordination Group meetings and in four of the five Committee meetings, Iceland was represented in three Committee meetings and one Coordination Group meeting, and finally Montenegrin representatives were present in three Committee meetings and one Coordination Group meeting (see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_Ref9781618 \h  \* MERGEFORMAT </w:instrText>
      </w:r>
      <w:r>
        <w:rPr>
          <w:rFonts w:cs="Times New Roman"/>
          <w:noProof/>
        </w:rPr>
      </w:r>
      <w:r>
        <w:rPr>
          <w:rFonts w:cs="Times New Roman"/>
          <w:noProof/>
        </w:rPr>
        <w:fldChar w:fldCharType="separate"/>
      </w:r>
      <w:r>
        <w:rPr>
          <w:rFonts w:cs="Times New Roman"/>
          <w:noProof/>
          <w:lang w:val="en-GB"/>
        </w:rPr>
        <w:t>Table 20</w:t>
      </w:r>
      <w:r>
        <w:rPr>
          <w:rFonts w:cs="Times New Roman"/>
          <w:noProof/>
        </w:rPr>
        <w:fldChar w:fldCharType="end"/>
      </w:r>
      <w:r>
        <w:rPr>
          <w:rFonts w:cs="Times New Roman"/>
          <w:noProof/>
          <w:lang w:val="en-GB"/>
        </w:rPr>
        <w:t xml:space="preserve"> and </w:t>
      </w:r>
      <w:r>
        <w:rPr>
          <w:rFonts w:cs="Times New Roman"/>
          <w:noProof/>
        </w:rPr>
        <w:fldChar w:fldCharType="begin"/>
      </w:r>
      <w:r>
        <w:rPr>
          <w:rFonts w:cs="Times New Roman"/>
          <w:noProof/>
          <w:lang w:val="en-GB"/>
        </w:rPr>
        <w:instrText xml:space="preserve"> REF _Ref9781624 \h  \* MERGEFORMAT </w:instrText>
      </w:r>
      <w:r>
        <w:rPr>
          <w:rFonts w:cs="Times New Roman"/>
          <w:noProof/>
        </w:rPr>
      </w:r>
      <w:r>
        <w:rPr>
          <w:rFonts w:cs="Times New Roman"/>
          <w:noProof/>
        </w:rPr>
        <w:fldChar w:fldCharType="separate"/>
      </w:r>
      <w:r>
        <w:rPr>
          <w:rFonts w:cs="Times New Roman"/>
          <w:noProof/>
          <w:lang w:val="en-GB"/>
        </w:rPr>
        <w:t>Table 21</w:t>
      </w:r>
      <w:r>
        <w:rPr>
          <w:rFonts w:cs="Times New Roman"/>
          <w:noProof/>
        </w:rPr>
        <w:fldChar w:fldCharType="end"/>
      </w:r>
      <w:r>
        <w:rPr>
          <w:rFonts w:cs="Times New Roman"/>
          <w:noProof/>
          <w:lang w:val="en-GB"/>
        </w:rPr>
        <w:t>).</w:t>
      </w:r>
    </w:p>
    <w:p>
      <w:pPr>
        <w:jc w:val="both"/>
        <w:rPr>
          <w:rFonts w:cs="Times New Roman"/>
          <w:noProof/>
          <w:lang w:val="en-GB"/>
        </w:rPr>
      </w:pPr>
      <w:r>
        <w:rPr>
          <w:rFonts w:cs="Times New Roman"/>
          <w:noProof/>
          <w:lang w:val="en-GB"/>
        </w:rPr>
        <w:t>The fact that countries beyond the EU have either become members of ISA</w:t>
      </w:r>
      <w:r>
        <w:rPr>
          <w:rFonts w:cs="Times New Roman"/>
          <w:noProof/>
          <w:vertAlign w:val="superscript"/>
          <w:lang w:val="en-GB"/>
        </w:rPr>
        <w:t>2</w:t>
      </w:r>
      <w:r>
        <w:rPr>
          <w:rFonts w:cs="Times New Roman"/>
          <w:noProof/>
          <w:lang w:val="en-GB"/>
        </w:rPr>
        <w:t xml:space="preserve"> or cooperate with the programme shows that the programme’s </w:t>
      </w:r>
      <w:r>
        <w:rPr>
          <w:rFonts w:cs="Times New Roman"/>
          <w:b/>
          <w:noProof/>
          <w:lang w:val="en-GB"/>
        </w:rPr>
        <w:t>benefits do not stop at the EU borders</w:t>
      </w:r>
      <w:r>
        <w:rPr>
          <w:rFonts w:cs="Times New Roman"/>
          <w:noProof/>
          <w:lang w:val="en-GB"/>
        </w:rPr>
        <w:t>. An additional example is the administrative cooperation between DG DIGIT and the Agency for the Development of the Government of Electronic Management and the Information and Knowledge Society of Uruguay, officially started on 26 March 2018 and consisting of delegation visits, exchanges of experts, workshops, and sharing of best practices.</w:t>
      </w:r>
    </w:p>
    <w:p>
      <w:pPr>
        <w:jc w:val="both"/>
        <w:rPr>
          <w:rFonts w:cs="Times New Roman"/>
          <w:noProof/>
          <w:lang w:val="en-GB"/>
        </w:rPr>
      </w:pPr>
      <w:r>
        <w:rPr>
          <w:rFonts w:cs="Times New Roman"/>
          <w:noProof/>
          <w:lang w:val="en-GB"/>
        </w:rPr>
        <w:t>Further evidence comes from analysing the cross-border interoperability angle of the 20 sampled ISA</w:t>
      </w:r>
      <w:r>
        <w:rPr>
          <w:rFonts w:cs="Times New Roman"/>
          <w:noProof/>
          <w:vertAlign w:val="superscript"/>
          <w:lang w:val="en-GB"/>
        </w:rPr>
        <w:t>2</w:t>
      </w:r>
      <w:r>
        <w:rPr>
          <w:rFonts w:cs="Times New Roman"/>
          <w:noProof/>
          <w:lang w:val="en-GB"/>
        </w:rPr>
        <w:t xml:space="preserve"> actions: 29 out of the 35 operational solutions developed by these actions have a cross-border feature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_Ref11679432 \h  \* MERGEFORMAT </w:instrText>
      </w:r>
      <w:r>
        <w:rPr>
          <w:rFonts w:cs="Times New Roman"/>
          <w:noProof/>
        </w:rPr>
      </w:r>
      <w:r>
        <w:rPr>
          <w:rFonts w:cs="Times New Roman"/>
          <w:noProof/>
        </w:rPr>
        <w:fldChar w:fldCharType="separate"/>
      </w:r>
      <w:r>
        <w:rPr>
          <w:rFonts w:cs="Times New Roman"/>
          <w:noProof/>
          <w:lang w:val="en-GB"/>
        </w:rPr>
        <w:t>Table 11</w:t>
      </w:r>
      <w:r>
        <w:rPr>
          <w:rFonts w:cs="Times New Roman"/>
          <w:noProof/>
        </w:rPr>
        <w:fldChar w:fldCharType="end"/>
      </w:r>
      <w:r>
        <w:rPr>
          <w:rFonts w:cs="Times New Roman"/>
          <w:noProof/>
          <w:lang w:val="en-GB"/>
        </w:rPr>
        <w:t>). One example is the IMAPS solution</w:t>
      </w:r>
      <w:r>
        <w:rPr>
          <w:rStyle w:val="FootnoteReference"/>
          <w:noProof/>
        </w:rPr>
        <w:footnoteReference w:id="80"/>
      </w:r>
      <w:r>
        <w:rPr>
          <w:rFonts w:cs="Times New Roman"/>
          <w:noProof/>
          <w:lang w:val="en-GB"/>
        </w:rPr>
        <w:t xml:space="preserve">, which facilitates the assessment of public services at the local, national, and EU level from the point of view of their interoperability maturity. In practice, it consists of a compact and user-friendly self-assessment carried out through the IMAPS online survey. This 30-minute questionnaire looks at the context of the public service, how the service is delivered, how it consumes existing services and how it is managed. On completion of the IMAPS survey, the results give tailored recommendations and confidential guidance for improvement. 68 public administrations completed the assessment in 2017 and 51 in 2018 — at local, national and EU level. The solution has thus had a cross-border impact, since the assessments are directed at public administrations all across the EU as confirmed by the user testimonial in </w:t>
      </w:r>
      <w:r>
        <w:rPr>
          <w:rFonts w:cs="Times New Roman"/>
          <w:noProof/>
        </w:rPr>
        <w:fldChar w:fldCharType="begin"/>
      </w:r>
      <w:r>
        <w:rPr>
          <w:rFonts w:cs="Times New Roman"/>
          <w:noProof/>
          <w:lang w:val="en-GB"/>
        </w:rPr>
        <w:instrText xml:space="preserve"> REF _Ref11683292 \h  \* MERGEFORMAT </w:instrText>
      </w:r>
      <w:r>
        <w:rPr>
          <w:rFonts w:cs="Times New Roman"/>
          <w:noProof/>
        </w:rPr>
      </w:r>
      <w:r>
        <w:rPr>
          <w:rFonts w:cs="Times New Roman"/>
          <w:noProof/>
        </w:rPr>
        <w:fldChar w:fldCharType="separate"/>
      </w:r>
      <w:r>
        <w:rPr>
          <w:rFonts w:cs="Times New Roman"/>
          <w:noProof/>
          <w:lang w:val="en-GB"/>
        </w:rPr>
        <w:t>Box 7</w:t>
      </w:r>
      <w:r>
        <w:rPr>
          <w:rFonts w:cs="Times New Roman"/>
          <w:noProof/>
        </w:rPr>
        <w:fldChar w:fldCharType="end"/>
      </w:r>
      <w:r>
        <w:rPr>
          <w:rFonts w:cs="Times New Roman"/>
          <w:noProof/>
          <w:lang w:val="en-GB"/>
        </w:rPr>
        <w:t>.</w:t>
      </w: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7</w:t>
      </w:r>
      <w:r>
        <w:rPr>
          <w:rFonts w:cs="Times New Roman"/>
          <w:noProof/>
        </w:rPr>
        <w:fldChar w:fldCharType="end"/>
      </w:r>
      <w:r>
        <w:rPr>
          <w:rFonts w:cs="Times New Roman"/>
          <w:noProof/>
        </w:rPr>
        <w:t>: IMAPS user testimonial</w:t>
      </w:r>
    </w:p>
    <w:p>
      <w:pPr>
        <w:pStyle w:val="VISUAL"/>
        <w:rPr>
          <w:rFonts w:cs="Times New Roman"/>
          <w:noProof/>
        </w:rPr>
      </w:pPr>
      <w:r>
        <w:rPr>
          <w:rFonts w:cs="Times New Roman"/>
          <w:noProof/>
          <w:lang w:eastAsia="en-GB"/>
        </w:rPr>
        <w:drawing>
          <wp:inline distT="0" distB="0" distL="0" distR="0">
            <wp:extent cx="5472430" cy="3918493"/>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72430" cy="3918493"/>
                    </a:xfrm>
                    <a:prstGeom prst="rect">
                      <a:avLst/>
                    </a:prstGeom>
                  </pic:spPr>
                </pic:pic>
              </a:graphicData>
            </a:graphic>
          </wp:inline>
        </w:drawing>
      </w:r>
    </w:p>
    <w:p>
      <w:pPr>
        <w:pStyle w:val="Notes"/>
        <w:rPr>
          <w:rFonts w:cs="Times New Roman"/>
          <w:noProof/>
        </w:rPr>
      </w:pPr>
      <w:r>
        <w:rPr>
          <w:rFonts w:cs="Times New Roman"/>
          <w:noProof/>
        </w:rPr>
        <w:t>Source: ISA</w:t>
      </w:r>
      <w:r>
        <w:rPr>
          <w:rFonts w:cs="Times New Roman"/>
          <w:noProof/>
          <w:vertAlign w:val="superscript"/>
        </w:rPr>
        <w:t>2</w:t>
      </w:r>
      <w:r>
        <w:rPr>
          <w:rFonts w:cs="Times New Roman"/>
          <w:noProof/>
        </w:rPr>
        <w:t xml:space="preserve"> Communication Team</w:t>
      </w:r>
    </w:p>
    <w:p>
      <w:pPr>
        <w:jc w:val="both"/>
        <w:rPr>
          <w:rFonts w:cs="Times New Roman"/>
          <w:noProof/>
          <w:lang w:val="en-GB"/>
        </w:rPr>
      </w:pPr>
    </w:p>
    <w:p>
      <w:pPr>
        <w:keepNext/>
        <w:jc w:val="both"/>
        <w:rPr>
          <w:rFonts w:cs="Times New Roman"/>
          <w:noProof/>
          <w:lang w:val="en-GB"/>
        </w:rPr>
      </w:pPr>
      <w:r>
        <w:rPr>
          <w:rFonts w:cs="Times New Roman"/>
          <w:noProof/>
          <w:lang w:val="en-GB"/>
        </w:rPr>
        <w:t>Further key achievements include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_Ref9675970 \h  \* MERGEFORMAT </w:instrText>
      </w:r>
      <w:r>
        <w:rPr>
          <w:rFonts w:cs="Times New Roman"/>
          <w:noProof/>
        </w:rPr>
      </w:r>
      <w:r>
        <w:rPr>
          <w:rFonts w:cs="Times New Roman"/>
          <w:noProof/>
        </w:rPr>
        <w:fldChar w:fldCharType="separate"/>
      </w:r>
      <w:r>
        <w:rPr>
          <w:rFonts w:cs="Times New Roman"/>
          <w:noProof/>
          <w:lang w:val="en-GB"/>
        </w:rPr>
        <w:t>Table 22</w:t>
      </w:r>
      <w:r>
        <w:rPr>
          <w:rFonts w:cs="Times New Roman"/>
          <w:noProof/>
        </w:rPr>
        <w:fldChar w:fldCharType="end"/>
      </w:r>
      <w:r>
        <w:rPr>
          <w:rFonts w:cs="Times New Roman"/>
          <w:noProof/>
          <w:lang w:val="en-GB"/>
        </w:rPr>
        <w:t>):</w:t>
      </w:r>
    </w:p>
    <w:p>
      <w:pPr>
        <w:pStyle w:val="Firstlevellist"/>
        <w:keepNext/>
        <w:rPr>
          <w:noProof/>
        </w:rPr>
      </w:pPr>
      <w:r>
        <w:rPr>
          <w:noProof/>
        </w:rPr>
        <w:t>The ‘e-TrustEx’ platform is a key enabler of secure information exchange for seven pan-European projects in which over 200 public administrations from all Member States participate.</w:t>
      </w:r>
    </w:p>
    <w:p>
      <w:pPr>
        <w:pStyle w:val="Firstlevellist"/>
        <w:rPr>
          <w:noProof/>
        </w:rPr>
      </w:pPr>
      <w:r>
        <w:rPr>
          <w:noProof/>
        </w:rPr>
        <w:t>The ‘Big Data for Public Administrations’ action created a working group to assess the needs in the area of big data analytics for policy making with the participation of the Czech Republic, Estonia, Hungary, Malta, Norway, Slovenia, Spain, and Portugal.</w:t>
      </w:r>
    </w:p>
    <w:p>
      <w:pPr>
        <w:pStyle w:val="Firstlevellist"/>
        <w:rPr>
          <w:noProof/>
        </w:rPr>
      </w:pPr>
      <w:r>
        <w:rPr>
          <w:noProof/>
        </w:rPr>
        <w:t>Several actions foster multilingualism:</w:t>
      </w:r>
    </w:p>
    <w:p>
      <w:pPr>
        <w:pStyle w:val="Firstlevellist"/>
        <w:numPr>
          <w:ilvl w:val="1"/>
          <w:numId w:val="6"/>
        </w:numPr>
        <w:rPr>
          <w:noProof/>
        </w:rPr>
      </w:pPr>
      <w:r>
        <w:rPr>
          <w:noProof/>
        </w:rPr>
        <w:t>through their work on providing common frameworks, the actions on semantic interoperability contribute to addressing multilingual challenges to the cross-border interaction of European public administrations; one example is the translation of the six ‘Core Vocabularies’ into 23 official EU languages</w:t>
      </w:r>
      <w:r>
        <w:rPr>
          <w:rStyle w:val="FootnoteReference"/>
          <w:noProof/>
        </w:rPr>
        <w:footnoteReference w:id="81"/>
      </w:r>
      <w:r>
        <w:rPr>
          <w:noProof/>
        </w:rPr>
        <w:t>;</w:t>
      </w:r>
    </w:p>
    <w:p>
      <w:pPr>
        <w:pStyle w:val="Firstlevellist"/>
        <w:numPr>
          <w:ilvl w:val="1"/>
          <w:numId w:val="6"/>
        </w:numPr>
        <w:rPr>
          <w:noProof/>
        </w:rPr>
      </w:pPr>
      <w:r>
        <w:rPr>
          <w:noProof/>
        </w:rPr>
        <w:t>tools have been developed by ISA</w:t>
      </w:r>
      <w:r>
        <w:rPr>
          <w:noProof/>
          <w:vertAlign w:val="superscript"/>
        </w:rPr>
        <w:t>2</w:t>
      </w:r>
      <w:r>
        <w:rPr>
          <w:noProof/>
        </w:rPr>
        <w:t xml:space="preserve"> with the specific purpose of being ready for use in all official EU languages; one example is ‘EUSurvey’; and</w:t>
      </w:r>
    </w:p>
    <w:p>
      <w:pPr>
        <w:pStyle w:val="Firstlevellist"/>
        <w:numPr>
          <w:ilvl w:val="1"/>
          <w:numId w:val="6"/>
        </w:numPr>
        <w:rPr>
          <w:noProof/>
        </w:rPr>
      </w:pPr>
      <w:r>
        <w:rPr>
          <w:noProof/>
        </w:rPr>
        <w:t>CPSV-AP is used, for instance, in Finland and Estonia to create cross-border federated catalogues of public services.</w:t>
      </w:r>
    </w:p>
    <w:p>
      <w:pPr>
        <w:pStyle w:val="Firstlevellist"/>
        <w:numPr>
          <w:ilvl w:val="0"/>
          <w:numId w:val="0"/>
        </w:numPr>
        <w:ind w:left="720"/>
        <w:rPr>
          <w:noProof/>
        </w:rPr>
      </w:pPr>
      <w:r>
        <w:rPr>
          <w:noProof/>
        </w:rPr>
        <w:t>One potential improvement would be to further increase the programme’s focus on multilingualism by providing more information about ISA</w:t>
      </w:r>
      <w:r>
        <w:rPr>
          <w:noProof/>
          <w:vertAlign w:val="superscript"/>
        </w:rPr>
        <w:t>2</w:t>
      </w:r>
      <w:r>
        <w:rPr>
          <w:noProof/>
        </w:rPr>
        <w:t xml:space="preserve"> in different EU official languages, as the current website is only available in English.</w:t>
      </w:r>
    </w:p>
    <w:p>
      <w:pPr>
        <w:jc w:val="both"/>
        <w:rPr>
          <w:rFonts w:cs="Times New Roman"/>
          <w:b/>
          <w:iCs/>
          <w:noProof/>
          <w:u w:val="single"/>
          <w:lang w:val="en-GB"/>
        </w:rPr>
      </w:pPr>
      <w:r>
        <w:rPr>
          <w:rFonts w:cs="Times New Roman"/>
          <w:b/>
          <w:iCs/>
          <w:noProof/>
          <w:u w:val="single"/>
          <w:lang w:val="en-GB"/>
        </w:rPr>
        <w:t>JC4: Contribution to the advancement of common EU policies</w:t>
      </w:r>
    </w:p>
    <w:p>
      <w:pPr>
        <w:jc w:val="both"/>
        <w:rPr>
          <w:rFonts w:cs="Times New Roman"/>
          <w:noProof/>
          <w:lang w:val="en-GB"/>
        </w:rPr>
      </w:pPr>
      <w:r>
        <w:rPr>
          <w:rFonts w:cs="Times New Roman"/>
          <w:noProof/>
          <w:lang w:val="en-GB"/>
        </w:rPr>
        <w:t xml:space="preserve">Half of the respondents (44 out of 84) indicate that </w:t>
      </w:r>
      <w:r>
        <w:rPr>
          <w:rFonts w:cs="Times New Roman"/>
          <w:b/>
          <w:noProof/>
          <w:lang w:val="en-GB"/>
        </w:rPr>
        <w:t>ISA</w:t>
      </w:r>
      <w:r>
        <w:rPr>
          <w:rFonts w:cs="Times New Roman"/>
          <w:b/>
          <w:noProof/>
          <w:vertAlign w:val="superscript"/>
          <w:lang w:val="en-GB"/>
        </w:rPr>
        <w:t>2</w:t>
      </w:r>
      <w:r>
        <w:rPr>
          <w:rFonts w:cs="Times New Roman"/>
          <w:b/>
          <w:noProof/>
          <w:lang w:val="en-GB"/>
        </w:rPr>
        <w:t xml:space="preserve"> has contributed to a high extent or to the fullest extent to the advancement of common EU policies or initiatives </w:t>
      </w:r>
      <w:r>
        <w:rPr>
          <w:rFonts w:cs="Times New Roman"/>
          <w:noProof/>
          <w:lang w:val="en-GB"/>
        </w:rPr>
        <w:t>(</w:t>
      </w:r>
      <w:r>
        <w:rPr>
          <w:rFonts w:cs="Times New Roman"/>
          <w:noProof/>
        </w:rPr>
        <w:fldChar w:fldCharType="begin"/>
      </w:r>
      <w:r>
        <w:rPr>
          <w:rFonts w:cs="Times New Roman"/>
          <w:noProof/>
          <w:lang w:val="en-GB"/>
        </w:rPr>
        <w:instrText xml:space="preserve"> REF _Ref9784065 \h  \* MERGEFORMAT </w:instrText>
      </w:r>
      <w:r>
        <w:rPr>
          <w:rFonts w:cs="Times New Roman"/>
          <w:noProof/>
        </w:rPr>
      </w:r>
      <w:r>
        <w:rPr>
          <w:rFonts w:cs="Times New Roman"/>
          <w:noProof/>
        </w:rPr>
        <w:fldChar w:fldCharType="separate"/>
      </w:r>
      <w:r>
        <w:rPr>
          <w:rFonts w:cs="Times New Roman"/>
          <w:noProof/>
          <w:lang w:val="en-GB"/>
        </w:rPr>
        <w:t>Figure 20</w:t>
      </w:r>
      <w:r>
        <w:rPr>
          <w:rFonts w:cs="Times New Roman"/>
          <w:noProof/>
        </w:rPr>
        <w:fldChar w:fldCharType="end"/>
      </w:r>
      <w:r>
        <w:rPr>
          <w:rFonts w:cs="Times New Roman"/>
          <w:noProof/>
          <w:lang w:val="en-GB"/>
        </w:rPr>
        <w:t>). For instance, stakeholders noted that ISA</w:t>
      </w:r>
      <w:r>
        <w:rPr>
          <w:rFonts w:cs="Times New Roman"/>
          <w:noProof/>
          <w:vertAlign w:val="superscript"/>
          <w:lang w:val="en-GB"/>
        </w:rPr>
        <w:t>2</w:t>
      </w:r>
      <w:r>
        <w:rPr>
          <w:rFonts w:cs="Times New Roman"/>
          <w:noProof/>
          <w:lang w:val="en-GB"/>
        </w:rPr>
        <w:t xml:space="preserve"> plays </w:t>
      </w:r>
      <w:r>
        <w:rPr>
          <w:rFonts w:cs="Times New Roman"/>
          <w:b/>
          <w:noProof/>
          <w:lang w:val="en-GB"/>
        </w:rPr>
        <w:t>a central role in the implementation of the EIF</w:t>
      </w:r>
      <w:r>
        <w:rPr>
          <w:rFonts w:cs="Times New Roman"/>
          <w:noProof/>
          <w:lang w:val="en-GB"/>
        </w:rPr>
        <w:t xml:space="preserve"> by abiding by its principles and tracking its implementation. The review of secondary data provides additional evidence supporting this. The Communication on the revised EIF</w:t>
      </w:r>
      <w:r>
        <w:rPr>
          <w:rStyle w:val="FootnoteReference"/>
          <w:noProof/>
        </w:rPr>
        <w:footnoteReference w:id="82"/>
      </w:r>
      <w:r>
        <w:rPr>
          <w:rFonts w:cs="Times New Roman"/>
          <w:noProof/>
          <w:lang w:val="en-GB"/>
        </w:rPr>
        <w:t xml:space="preserve"> is accompanied by an ‘Interoperability Action Plan, which sets out five focus areas and 22 actions to be undertaken in order to tackle existing interoperability issues during the 2017-2020 period. The Communication is also accompanied by 47 specific recommendations for improving interoperability in the EU. ISA</w:t>
      </w:r>
      <w:r>
        <w:rPr>
          <w:rFonts w:cs="Times New Roman"/>
          <w:noProof/>
          <w:vertAlign w:val="superscript"/>
          <w:lang w:val="en-GB"/>
        </w:rPr>
        <w:t>2</w:t>
      </w:r>
      <w:r>
        <w:rPr>
          <w:rFonts w:cs="Times New Roman"/>
          <w:noProof/>
          <w:lang w:val="en-GB"/>
        </w:rPr>
        <w:t xml:space="preserve"> actions can be clearly linked to the focus areas, actions, and recommendations outlined in the revised EIF (see </w:t>
      </w:r>
      <w:r>
        <w:rPr>
          <w:rFonts w:cs="Times New Roman"/>
          <w:noProof/>
        </w:rPr>
        <w:fldChar w:fldCharType="begin"/>
      </w:r>
      <w:r>
        <w:rPr>
          <w:rFonts w:cs="Times New Roman"/>
          <w:noProof/>
          <w:lang w:val="en-GB"/>
        </w:rPr>
        <w:instrText xml:space="preserve"> REF _Ref9581764 \h  \* MERGEFORMAT </w:instrText>
      </w:r>
      <w:r>
        <w:rPr>
          <w:rFonts w:cs="Times New Roman"/>
          <w:noProof/>
        </w:rPr>
      </w:r>
      <w:r>
        <w:rPr>
          <w:rFonts w:cs="Times New Roman"/>
          <w:noProof/>
        </w:rPr>
        <w:fldChar w:fldCharType="separate"/>
      </w:r>
      <w:r>
        <w:rPr>
          <w:rFonts w:cs="Times New Roman"/>
          <w:noProof/>
          <w:lang w:val="en-GB"/>
        </w:rPr>
        <w:t>Annex 6</w:t>
      </w:r>
      <w:r>
        <w:rPr>
          <w:rFonts w:cs="Times New Roman"/>
          <w:noProof/>
        </w:rPr>
        <w:fldChar w:fldCharType="end"/>
      </w:r>
      <w:r>
        <w:rPr>
          <w:rFonts w:cs="Times New Roman"/>
          <w:noProof/>
          <w:lang w:val="en-GB"/>
        </w:rPr>
        <w:t xml:space="preserve">: </w:t>
      </w:r>
      <w:r>
        <w:rPr>
          <w:rFonts w:cs="Times New Roman"/>
          <w:noProof/>
        </w:rPr>
        <w:fldChar w:fldCharType="begin"/>
      </w:r>
      <w:r>
        <w:rPr>
          <w:rFonts w:cs="Times New Roman"/>
          <w:noProof/>
          <w:lang w:val="en-GB"/>
        </w:rPr>
        <w:instrText xml:space="preserve"> REF _Ref9597000 \h  \* MERGEFORMAT </w:instrText>
      </w:r>
      <w:r>
        <w:rPr>
          <w:rFonts w:cs="Times New Roman"/>
          <w:noProof/>
        </w:rPr>
      </w:r>
      <w:r>
        <w:rPr>
          <w:rFonts w:cs="Times New Roman"/>
          <w:noProof/>
        </w:rPr>
        <w:fldChar w:fldCharType="separate"/>
      </w:r>
      <w:r>
        <w:rPr>
          <w:rFonts w:cs="Times New Roman"/>
          <w:noProof/>
          <w:lang w:val="en-GB"/>
        </w:rPr>
        <w:t>Table 23</w:t>
      </w:r>
      <w:r>
        <w:rPr>
          <w:rFonts w:cs="Times New Roman"/>
          <w:noProof/>
        </w:rPr>
        <w:fldChar w:fldCharType="end"/>
      </w:r>
      <w:r>
        <w:rPr>
          <w:rFonts w:cs="Times New Roman"/>
          <w:noProof/>
          <w:lang w:val="en-GB"/>
        </w:rPr>
        <w:t>).</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20</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contributed to the advancement of common EU policies (average score of answers, number of respondents)</w:t>
      </w:r>
    </w:p>
    <w:p>
      <w:pPr>
        <w:pStyle w:val="VISUAL"/>
        <w:rPr>
          <w:rFonts w:cs="Times New Roman"/>
          <w:noProof/>
        </w:rPr>
      </w:pPr>
      <w:r>
        <w:rPr>
          <w:rFonts w:cs="Times New Roman"/>
          <w:noProof/>
          <w:lang w:eastAsia="en-GB"/>
        </w:rPr>
        <w:drawing>
          <wp:inline distT="0" distB="0" distL="0" distR="0">
            <wp:extent cx="5511800" cy="2070100"/>
            <wp:effectExtent l="0" t="0" r="0" b="635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03"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By contributing to the implementation of the revised EIF, ISA</w:t>
      </w:r>
      <w:r>
        <w:rPr>
          <w:rFonts w:cs="Times New Roman"/>
          <w:noProof/>
          <w:vertAlign w:val="superscript"/>
          <w:lang w:val="en-GB"/>
        </w:rPr>
        <w:t>2</w:t>
      </w:r>
      <w:r>
        <w:rPr>
          <w:rFonts w:cs="Times New Roman"/>
          <w:noProof/>
          <w:lang w:val="en-GB"/>
        </w:rPr>
        <w:t xml:space="preserve"> is also </w:t>
      </w:r>
      <w:r>
        <w:rPr>
          <w:rFonts w:cs="Times New Roman"/>
          <w:b/>
          <w:noProof/>
          <w:lang w:val="en-GB"/>
        </w:rPr>
        <w:t>contributing to the establishment of the Digital Single Market,</w:t>
      </w:r>
      <w:r>
        <w:rPr>
          <w:rFonts w:cs="Times New Roman"/>
          <w:noProof/>
          <w:lang w:val="en-GB"/>
        </w:rPr>
        <w:t xml:space="preserve"> as explained in section 5.4 on external coherence. The technical experts involved in the evaluation note that the programme has increased attention paid to the importance of interoperability and cross-border e-services for sustaining the Digital Single Market. In this way, the programme fully meets the aims of </w:t>
      </w:r>
      <w:r>
        <w:rPr>
          <w:rFonts w:cs="Times New Roman"/>
          <w:b/>
          <w:noProof/>
          <w:lang w:val="en-GB"/>
        </w:rPr>
        <w:t>advancing common shared policies within the EU, as stated in the Tallinn Declaration.</w:t>
      </w:r>
    </w:p>
    <w:p>
      <w:pPr>
        <w:pStyle w:val="Heading3"/>
        <w:rPr>
          <w:noProof/>
          <w:lang w:val="en-GB"/>
        </w:rPr>
      </w:pPr>
      <w:r>
        <w:rPr>
          <w:noProof/>
          <w:lang w:val="en-GB"/>
        </w:rPr>
        <w:t>Answer to the ‘EU added value’ EQ</w:t>
      </w:r>
    </w:p>
    <w:p>
      <w:pPr>
        <w:shd w:val="clear" w:color="auto" w:fill="C6D9F1" w:themeFill="text2" w:themeFillTint="33"/>
        <w:jc w:val="both"/>
        <w:rPr>
          <w:rFonts w:cs="Times New Roman"/>
          <w:noProof/>
          <w:lang w:val="en-GB"/>
        </w:rPr>
      </w:pPr>
      <w:r>
        <w:rPr>
          <w:rFonts w:cs="Times New Roman"/>
          <w:noProof/>
          <w:lang w:val="en-GB"/>
        </w:rPr>
        <w:t>EQ8: What is the additional value resulting from the ISA² programme, compared to what could reasonably have been expected from Member States acting at national, regional and/or local levels?</w:t>
      </w:r>
    </w:p>
    <w:p>
      <w:pPr>
        <w:jc w:val="both"/>
        <w:rPr>
          <w:rFonts w:cs="Times New Roman"/>
          <w:noProof/>
          <w:lang w:val="en-GB"/>
        </w:rPr>
      </w:pPr>
      <w:r>
        <w:rPr>
          <w:rFonts w:cs="Times New Roman"/>
          <w:b/>
          <w:noProof/>
          <w:lang w:val="en-GB"/>
        </w:rPr>
        <w:t>ISA</w:t>
      </w:r>
      <w:r>
        <w:rPr>
          <w:rFonts w:cs="Times New Roman"/>
          <w:b/>
          <w:noProof/>
          <w:vertAlign w:val="superscript"/>
          <w:lang w:val="en-GB"/>
        </w:rPr>
        <w:t>2</w:t>
      </w:r>
      <w:r>
        <w:rPr>
          <w:rFonts w:cs="Times New Roman"/>
          <w:b/>
          <w:noProof/>
          <w:lang w:val="en-GB"/>
        </w:rPr>
        <w:t xml:space="preserve"> ensures EU-level coordination, </w:t>
      </w:r>
      <w:r>
        <w:rPr>
          <w:rFonts w:cs="Times New Roman"/>
          <w:noProof/>
          <w:lang w:val="en-GB"/>
        </w:rPr>
        <w:t>which is necessary for improving overall interoperability among European public administrations. Without the programme, national and/or sub-national interventions would not be able to achieve the interoperability-specific objectives that ISA</w:t>
      </w:r>
      <w:r>
        <w:rPr>
          <w:rFonts w:cs="Times New Roman"/>
          <w:noProof/>
          <w:vertAlign w:val="superscript"/>
          <w:lang w:val="en-GB"/>
        </w:rPr>
        <w:t>2</w:t>
      </w:r>
      <w:r>
        <w:rPr>
          <w:rFonts w:cs="Times New Roman"/>
          <w:noProof/>
          <w:lang w:val="en-GB"/>
        </w:rPr>
        <w:t xml:space="preserve"> is aiming at. In addition, </w:t>
      </w:r>
      <w:r>
        <w:rPr>
          <w:rFonts w:cs="Times New Roman"/>
          <w:b/>
          <w:noProof/>
          <w:lang w:val="en-GB"/>
        </w:rPr>
        <w:t>ISA</w:t>
      </w:r>
      <w:r>
        <w:rPr>
          <w:rFonts w:cs="Times New Roman"/>
          <w:b/>
          <w:noProof/>
          <w:vertAlign w:val="superscript"/>
          <w:lang w:val="en-GB"/>
        </w:rPr>
        <w:t>2</w:t>
      </w:r>
      <w:r>
        <w:rPr>
          <w:rFonts w:cs="Times New Roman"/>
          <w:b/>
          <w:noProof/>
          <w:lang w:val="en-GB"/>
        </w:rPr>
        <w:t xml:space="preserve"> is able to achieve these objectives at a lower cost</w:t>
      </w:r>
      <w:r>
        <w:rPr>
          <w:rFonts w:cs="Times New Roman"/>
          <w:noProof/>
          <w:lang w:val="en-GB"/>
        </w:rPr>
        <w:t xml:space="preserve"> than comparable national or sub-national initiatives. These conclusions hold true across the different stakeholder groups and are further corroborated by expert assessment.</w:t>
      </w:r>
    </w:p>
    <w:p>
      <w:pPr>
        <w:jc w:val="both"/>
        <w:rPr>
          <w:rFonts w:cs="Times New Roman"/>
          <w:noProof/>
          <w:lang w:val="en-GB"/>
        </w:rPr>
      </w:pPr>
      <w:r>
        <w:rPr>
          <w:rFonts w:cs="Times New Roman"/>
          <w:noProof/>
          <w:lang w:val="en-GB"/>
        </w:rPr>
        <w:t>Nonetheless, national or sub-national interventions would be able to contribute to the development of a more effective, simplified and user-friendly e-administration at the national, regional and local levels even if there was no EU-level programme. This is the specific objective where the ISA</w:t>
      </w:r>
      <w:r>
        <w:rPr>
          <w:rFonts w:cs="Times New Roman"/>
          <w:noProof/>
          <w:vertAlign w:val="superscript"/>
          <w:lang w:val="en-GB"/>
        </w:rPr>
        <w:t>2</w:t>
      </w:r>
      <w:r>
        <w:rPr>
          <w:rFonts w:cs="Times New Roman"/>
          <w:noProof/>
          <w:lang w:val="en-GB"/>
        </w:rPr>
        <w:t xml:space="preserve"> programme appears to be less effective, thus showing </w:t>
      </w:r>
      <w:r>
        <w:rPr>
          <w:rFonts w:cs="Times New Roman"/>
          <w:b/>
          <w:noProof/>
          <w:lang w:val="en-GB"/>
        </w:rPr>
        <w:t>how well EU and national initiatives complement each other</w:t>
      </w:r>
      <w:r>
        <w:rPr>
          <w:rFonts w:cs="Times New Roman"/>
          <w:noProof/>
          <w:lang w:val="en-GB"/>
        </w:rPr>
        <w:t xml:space="preserve">. National initiatives on the ICT modernisation of the public sector can even </w:t>
      </w:r>
      <w:r>
        <w:rPr>
          <w:rFonts w:cs="Times New Roman"/>
          <w:b/>
          <w:noProof/>
          <w:lang w:val="en-GB"/>
        </w:rPr>
        <w:t xml:space="preserve">improve the performance of </w:t>
      </w:r>
      <w:r>
        <w:rPr>
          <w:rFonts w:cs="Times New Roman"/>
          <w:noProof/>
          <w:lang w:val="en-GB"/>
        </w:rPr>
        <w:t>ISA</w:t>
      </w:r>
      <w:r>
        <w:rPr>
          <w:rFonts w:cs="Times New Roman"/>
          <w:noProof/>
          <w:vertAlign w:val="superscript"/>
          <w:lang w:val="en-GB"/>
        </w:rPr>
        <w:t>2</w:t>
      </w:r>
      <w:r>
        <w:rPr>
          <w:rFonts w:cs="Times New Roman"/>
          <w:noProof/>
          <w:lang w:val="en-GB"/>
        </w:rPr>
        <w:t xml:space="preserve"> by increasing capacity for the take-up of ISA</w:t>
      </w:r>
      <w:r>
        <w:rPr>
          <w:rFonts w:cs="Times New Roman"/>
          <w:noProof/>
          <w:vertAlign w:val="superscript"/>
          <w:lang w:val="en-GB"/>
        </w:rPr>
        <w:t>2</w:t>
      </w:r>
      <w:r>
        <w:rPr>
          <w:rFonts w:cs="Times New Roman"/>
          <w:noProof/>
          <w:lang w:val="en-GB"/>
        </w:rPr>
        <w:t xml:space="preserve"> solutions.</w:t>
      </w:r>
    </w:p>
    <w:p>
      <w:pPr>
        <w:jc w:val="both"/>
        <w:rPr>
          <w:rFonts w:cs="Times New Roman"/>
          <w:noProof/>
          <w:lang w:val="en-GB"/>
        </w:rPr>
      </w:pPr>
      <w:r>
        <w:rPr>
          <w:rFonts w:cs="Times New Roman"/>
          <w:noProof/>
          <w:lang w:val="en-GB"/>
        </w:rPr>
        <w:t>ISA</w:t>
      </w:r>
      <w:r>
        <w:rPr>
          <w:rFonts w:cs="Times New Roman"/>
          <w:noProof/>
          <w:vertAlign w:val="superscript"/>
          <w:lang w:val="en-GB"/>
        </w:rPr>
        <w:t xml:space="preserve">2 </w:t>
      </w:r>
      <w:r>
        <w:rPr>
          <w:rFonts w:cs="Times New Roman"/>
          <w:noProof/>
          <w:lang w:val="en-GB"/>
        </w:rPr>
        <w:t xml:space="preserve">also creates additional value by </w:t>
      </w:r>
      <w:r>
        <w:rPr>
          <w:rFonts w:cs="Times New Roman"/>
          <w:b/>
          <w:noProof/>
          <w:lang w:val="en-GB"/>
        </w:rPr>
        <w:t>improving cross-border interoperability</w:t>
      </w:r>
      <w:r>
        <w:rPr>
          <w:rFonts w:cs="Times New Roman"/>
          <w:noProof/>
          <w:lang w:val="en-GB"/>
        </w:rPr>
        <w:t xml:space="preserve"> </w:t>
      </w:r>
      <w:r>
        <w:rPr>
          <w:rFonts w:cs="Times New Roman"/>
          <w:b/>
          <w:noProof/>
          <w:lang w:val="en-GB"/>
        </w:rPr>
        <w:t>in the EU</w:t>
      </w:r>
      <w:r>
        <w:rPr>
          <w:rFonts w:cs="Times New Roman"/>
          <w:noProof/>
          <w:lang w:val="en-GB"/>
        </w:rPr>
        <w:t xml:space="preserve">, as well as </w:t>
      </w:r>
      <w:r>
        <w:rPr>
          <w:rFonts w:cs="Times New Roman"/>
          <w:b/>
          <w:noProof/>
          <w:lang w:val="en-GB"/>
        </w:rPr>
        <w:t>advancing common EU policies.</w:t>
      </w:r>
      <w:r>
        <w:rPr>
          <w:rFonts w:cs="Times New Roman"/>
          <w:noProof/>
          <w:lang w:val="en-GB"/>
        </w:rPr>
        <w:t xml:space="preserve"> As regards the former, ISA</w:t>
      </w:r>
      <w:r>
        <w:rPr>
          <w:rFonts w:cs="Times New Roman"/>
          <w:noProof/>
          <w:vertAlign w:val="superscript"/>
          <w:lang w:val="en-GB"/>
        </w:rPr>
        <w:t xml:space="preserve">2 </w:t>
      </w:r>
      <w:r>
        <w:rPr>
          <w:rFonts w:cs="Times New Roman"/>
          <w:noProof/>
          <w:lang w:val="en-GB"/>
        </w:rPr>
        <w:t>raises awareness of interoperability across EU Member States and helps put the topic on national agendas. It also brings people together, thus creating networks, helping national organisations meet their counterparts in different countries and facilitating exchanges between Member States in the field of interoperability. As regards the latter, ISA</w:t>
      </w:r>
      <w:r>
        <w:rPr>
          <w:rFonts w:cs="Times New Roman"/>
          <w:noProof/>
          <w:vertAlign w:val="superscript"/>
          <w:lang w:val="en-GB"/>
        </w:rPr>
        <w:t>2</w:t>
      </w:r>
      <w:r>
        <w:rPr>
          <w:rFonts w:cs="Times New Roman"/>
          <w:noProof/>
          <w:lang w:val="en-GB"/>
        </w:rPr>
        <w:t xml:space="preserve"> plays a central role in implementing the EIF and supports the establishment of the Digital Single Market.</w:t>
      </w:r>
    </w:p>
    <w:p>
      <w:pPr>
        <w:pStyle w:val="Heading2"/>
        <w:rPr>
          <w:noProof/>
        </w:rPr>
      </w:pPr>
      <w:bookmarkStart w:id="19" w:name="_Toc14708142"/>
      <w:r>
        <w:rPr>
          <w:noProof/>
        </w:rPr>
        <w:t>Utility</w:t>
      </w:r>
      <w:bookmarkEnd w:id="19"/>
    </w:p>
    <w:p>
      <w:pPr>
        <w:pStyle w:val="Heading3"/>
        <w:rPr>
          <w:noProof/>
          <w:lang w:val="en-GB"/>
        </w:rPr>
      </w:pPr>
      <w:r>
        <w:rPr>
          <w:noProof/>
          <w:lang w:val="en-GB"/>
        </w:rPr>
        <w:t>Evaluation framework for ‘utility’</w:t>
      </w:r>
    </w:p>
    <w:p>
      <w:pPr>
        <w:jc w:val="both"/>
        <w:rPr>
          <w:rFonts w:cs="Times New Roman"/>
          <w:noProof/>
        </w:rPr>
      </w:pPr>
      <w:r>
        <w:rPr>
          <w:rFonts w:cs="Times New Roman"/>
          <w:noProof/>
          <w:lang w:val="en-GB"/>
        </w:rPr>
        <w:t>Article 13(4) of the ISA</w:t>
      </w:r>
      <w:r>
        <w:rPr>
          <w:rFonts w:cs="Times New Roman"/>
          <w:noProof/>
          <w:vertAlign w:val="superscript"/>
          <w:lang w:val="en-GB"/>
        </w:rPr>
        <w:t>2</w:t>
      </w:r>
      <w:r>
        <w:rPr>
          <w:rFonts w:cs="Times New Roman"/>
          <w:noProof/>
          <w:lang w:val="en-GB"/>
        </w:rPr>
        <w:t xml:space="preserve"> Decision requires an assessment of the programme’s </w:t>
      </w:r>
      <w:r>
        <w:rPr>
          <w:rFonts w:cs="Times New Roman"/>
          <w:b/>
          <w:noProof/>
          <w:lang w:val="en-GB"/>
        </w:rPr>
        <w:t>utility</w:t>
      </w:r>
      <w:r>
        <w:rPr>
          <w:rFonts w:cs="Times New Roman"/>
          <w:noProof/>
          <w:lang w:val="en-GB"/>
        </w:rPr>
        <w:t>. Utility refers to (i) the extent to which the results of ISA</w:t>
      </w:r>
      <w:r>
        <w:rPr>
          <w:rFonts w:cs="Times New Roman"/>
          <w:noProof/>
          <w:vertAlign w:val="superscript"/>
          <w:lang w:val="en-GB"/>
        </w:rPr>
        <w:t>2</w:t>
      </w:r>
      <w:r>
        <w:rPr>
          <w:rFonts w:cs="Times New Roman"/>
          <w:noProof/>
          <w:lang w:val="en-GB"/>
        </w:rPr>
        <w:t xml:space="preserve"> meet stakeholders’ needs; and (ii) the level of stakeholder satisfaction with ISA</w:t>
      </w:r>
      <w:r>
        <w:rPr>
          <w:rFonts w:cs="Times New Roman"/>
          <w:noProof/>
          <w:vertAlign w:val="superscript"/>
          <w:lang w:val="en-GB"/>
        </w:rPr>
        <w:t>2</w:t>
      </w:r>
      <w:r>
        <w:rPr>
          <w:rFonts w:cs="Times New Roman"/>
          <w:noProof/>
          <w:lang w:val="en-GB"/>
        </w:rPr>
        <w:t xml:space="preserve"> solutions. This criterion translates into the following EQ</w:t>
      </w:r>
      <w:r>
        <w:rPr>
          <w:rFonts w:cs="Times New Roman"/>
          <w:noProof/>
        </w:rPr>
        <w:t>:</w:t>
      </w:r>
    </w:p>
    <w:p>
      <w:pPr>
        <w:pStyle w:val="ListParagraph"/>
        <w:numPr>
          <w:ilvl w:val="0"/>
          <w:numId w:val="21"/>
        </w:numPr>
        <w:spacing w:after="200" w:line="276" w:lineRule="auto"/>
        <w:ind w:left="850"/>
        <w:contextualSpacing w:val="0"/>
        <w:rPr>
          <w:b/>
          <w:noProof/>
        </w:rPr>
      </w:pPr>
      <w:r>
        <w:rPr>
          <w:b/>
          <w:noProof/>
        </w:rPr>
        <w:t>How do the ISA</w:t>
      </w:r>
      <w:r>
        <w:rPr>
          <w:b/>
          <w:noProof/>
          <w:vertAlign w:val="superscript"/>
        </w:rPr>
        <w:t>2</w:t>
      </w:r>
      <w:r>
        <w:rPr>
          <w:b/>
          <w:noProof/>
        </w:rPr>
        <w:t xml:space="preserve"> programme’s actions and results, achieved and anticipated, compare with the needs they are supposed to address?</w:t>
      </w:r>
    </w:p>
    <w:p>
      <w:pPr>
        <w:jc w:val="both"/>
        <w:rPr>
          <w:rFonts w:cs="Times New Roman"/>
          <w:noProof/>
          <w:lang w:val="en-GB"/>
        </w:rPr>
      </w:pPr>
      <w:r>
        <w:rPr>
          <w:rFonts w:cs="Times New Roman"/>
          <w:noProof/>
          <w:lang w:val="en-GB"/>
        </w:rPr>
        <w:t>The assessment of this EQ is based on primary data collected via consultation activities as well as on evidence gathered via desk research, and relies on the following judgment criteria:</w:t>
      </w:r>
    </w:p>
    <w:p>
      <w:pPr>
        <w:pStyle w:val="ListParagraph"/>
        <w:numPr>
          <w:ilvl w:val="0"/>
          <w:numId w:val="30"/>
        </w:numPr>
        <w:spacing w:after="120" w:line="259" w:lineRule="auto"/>
        <w:ind w:left="850" w:hanging="737"/>
        <w:contextualSpacing w:val="0"/>
        <w:rPr>
          <w:noProof/>
        </w:rPr>
      </w:pPr>
      <w:r>
        <w:rPr>
          <w:noProof/>
        </w:rPr>
        <w:t>Alignment between stakeholders’ perception of needs and problems at EU, national and sub-national levels and the results of the programme; and</w:t>
      </w:r>
    </w:p>
    <w:p>
      <w:pPr>
        <w:pStyle w:val="ListParagraph"/>
        <w:numPr>
          <w:ilvl w:val="0"/>
          <w:numId w:val="30"/>
        </w:numPr>
        <w:spacing w:after="200" w:line="259" w:lineRule="auto"/>
        <w:ind w:left="850" w:hanging="737"/>
        <w:contextualSpacing w:val="0"/>
        <w:rPr>
          <w:noProof/>
          <w:lang w:eastAsia="it-IT"/>
        </w:rPr>
      </w:pPr>
      <w:r>
        <w:rPr>
          <w:noProof/>
        </w:rPr>
        <w:t>User satisfaction, with a breakdown by stakeholder group.</w:t>
      </w:r>
    </w:p>
    <w:p>
      <w:pPr>
        <w:pStyle w:val="Heading3"/>
        <w:rPr>
          <w:noProof/>
          <w:lang w:val="en-GB"/>
        </w:rPr>
      </w:pPr>
      <w:r>
        <w:rPr>
          <w:noProof/>
          <w:lang w:val="en-GB"/>
        </w:rPr>
        <w:t>Analysis</w:t>
      </w:r>
    </w:p>
    <w:p>
      <w:pPr>
        <w:jc w:val="both"/>
        <w:rPr>
          <w:rFonts w:cs="Times New Roman"/>
          <w:b/>
          <w:iCs/>
          <w:noProof/>
          <w:u w:val="single"/>
          <w:lang w:val="en-GB"/>
        </w:rPr>
      </w:pPr>
      <w:r>
        <w:rPr>
          <w:rFonts w:cs="Times New Roman"/>
          <w:b/>
          <w:iCs/>
          <w:noProof/>
          <w:u w:val="single"/>
          <w:lang w:val="en-GB"/>
        </w:rPr>
        <w:t xml:space="preserve">JC1: Alignment between EU- and Member State-level needs and problems and the programme’s results </w:t>
      </w:r>
    </w:p>
    <w:p>
      <w:pPr>
        <w:jc w:val="both"/>
        <w:rPr>
          <w:rFonts w:cs="Times New Roman"/>
          <w:noProof/>
          <w:lang w:val="en-GB"/>
        </w:rPr>
      </w:pPr>
      <w:r>
        <w:rPr>
          <w:rFonts w:cs="Times New Roman"/>
          <w:noProof/>
          <w:lang w:val="en-GB"/>
        </w:rPr>
        <w:t xml:space="preserve">Respondents from both EU and Member State public administrations confirm that </w:t>
      </w:r>
      <w:r>
        <w:rPr>
          <w:rFonts w:cs="Times New Roman"/>
          <w:b/>
          <w:noProof/>
          <w:lang w:val="en-GB"/>
        </w:rPr>
        <w:t>the solutions developed or maintained by ISA</w:t>
      </w:r>
      <w:r>
        <w:rPr>
          <w:rFonts w:cs="Times New Roman"/>
          <w:b/>
          <w:noProof/>
          <w:vertAlign w:val="superscript"/>
          <w:lang w:val="en-GB"/>
        </w:rPr>
        <w:t>2</w:t>
      </w:r>
      <w:r>
        <w:rPr>
          <w:rFonts w:cs="Times New Roman"/>
          <w:b/>
          <w:noProof/>
          <w:lang w:val="en-GB"/>
        </w:rPr>
        <w:t xml:space="preserve"> have contributed to addressing the original needs and problems identified in the field of interoperability </w:t>
      </w:r>
      <w:r>
        <w:rPr>
          <w:rFonts w:cs="Times New Roman"/>
          <w:noProof/>
          <w:lang w:val="en-GB"/>
        </w:rPr>
        <w:t>(</w:t>
      </w:r>
      <w:r>
        <w:rPr>
          <w:rFonts w:cs="Times New Roman"/>
          <w:noProof/>
        </w:rPr>
        <w:fldChar w:fldCharType="begin"/>
      </w:r>
      <w:r>
        <w:rPr>
          <w:rFonts w:cs="Times New Roman"/>
          <w:noProof/>
          <w:lang w:val="en-GB"/>
        </w:rPr>
        <w:instrText xml:space="preserve"> REF _Ref9793703 \h  \* MERGEFORMAT </w:instrText>
      </w:r>
      <w:r>
        <w:rPr>
          <w:rFonts w:cs="Times New Roman"/>
          <w:noProof/>
        </w:rPr>
      </w:r>
      <w:r>
        <w:rPr>
          <w:rFonts w:cs="Times New Roman"/>
          <w:noProof/>
        </w:rPr>
        <w:fldChar w:fldCharType="separate"/>
      </w:r>
      <w:r>
        <w:rPr>
          <w:rFonts w:cs="Times New Roman"/>
          <w:noProof/>
          <w:lang w:val="en-GB"/>
        </w:rPr>
        <w:t>Figure 21</w:t>
      </w:r>
      <w:r>
        <w:rPr>
          <w:rFonts w:cs="Times New Roman"/>
          <w:noProof/>
        </w:rPr>
        <w:fldChar w:fldCharType="end"/>
      </w:r>
      <w:r>
        <w:rPr>
          <w:rFonts w:cs="Times New Roman"/>
          <w:noProof/>
          <w:lang w:val="en-GB"/>
        </w:rPr>
        <w:t xml:space="preserve"> and </w:t>
      </w:r>
      <w:r>
        <w:rPr>
          <w:rFonts w:cs="Times New Roman"/>
          <w:noProof/>
        </w:rPr>
        <w:fldChar w:fldCharType="begin"/>
      </w:r>
      <w:r>
        <w:rPr>
          <w:rFonts w:cs="Times New Roman"/>
          <w:noProof/>
          <w:lang w:val="en-GB"/>
        </w:rPr>
        <w:instrText xml:space="preserve"> REF _Ref9793789 \h  \* MERGEFORMAT </w:instrText>
      </w:r>
      <w:r>
        <w:rPr>
          <w:rFonts w:cs="Times New Roman"/>
          <w:noProof/>
        </w:rPr>
      </w:r>
      <w:r>
        <w:rPr>
          <w:rFonts w:cs="Times New Roman"/>
          <w:noProof/>
        </w:rPr>
        <w:fldChar w:fldCharType="separate"/>
      </w:r>
      <w:r>
        <w:rPr>
          <w:rFonts w:cs="Times New Roman"/>
          <w:noProof/>
          <w:lang w:val="en-GB"/>
        </w:rPr>
        <w:t>Figure 22</w:t>
      </w:r>
      <w:r>
        <w:rPr>
          <w:rFonts w:cs="Times New Roman"/>
          <w:noProof/>
        </w:rPr>
        <w:fldChar w:fldCharType="end"/>
      </w:r>
      <w:r>
        <w:rPr>
          <w:rFonts w:cs="Times New Roman"/>
          <w:noProof/>
          <w:lang w:val="en-GB"/>
        </w:rPr>
        <w:t>)</w:t>
      </w:r>
      <w:r>
        <w:rPr>
          <w:rStyle w:val="FootnoteReference"/>
          <w:noProof/>
        </w:rPr>
        <w:footnoteReference w:id="83"/>
      </w:r>
      <w:r>
        <w:rPr>
          <w:rFonts w:cs="Times New Roman"/>
          <w:noProof/>
          <w:lang w:val="en-GB"/>
        </w:rPr>
        <w:t>. Overall, 42 % of respondents at the EU level (38 out of 91) and 46 % of respondents at the Member State level (13 out of 28) consider that the solutions have contributed to addressing the needs and problems originally covered by the programme to a high extent or to the fullest extent. In comparison, only 5 % of EU-level respondents (5 out of 91) and 11 % of Member State-level respondents (3 out of 28) see a limited or no contribution.</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21</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solutions contributed to addressing the needs and problems originally covered by the programme: EU-level respondents (average score of answers, number of respondents)</w:t>
      </w:r>
      <w:r>
        <w:rPr>
          <w:rFonts w:cs="Times New Roman"/>
          <w:noProof/>
          <w:lang w:eastAsia="en-GB"/>
        </w:rPr>
        <w:drawing>
          <wp:inline distT="0" distB="0" distL="0" distR="0">
            <wp:extent cx="5588000" cy="2247900"/>
            <wp:effectExtent l="0" t="0" r="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05" w:history="1">
        <w:r>
          <w:rPr>
            <w:rStyle w:val="Hyperlink"/>
            <w:rFonts w:cs="Times New Roman"/>
            <w:i/>
            <w:noProof/>
            <w:sz w:val="20"/>
            <w:szCs w:val="20"/>
            <w:lang w:val="en-GB"/>
          </w:rPr>
          <w:t>CEPS final study</w:t>
        </w:r>
      </w:hyperlink>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22</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solutions contributed to addressing the needs and problem originally covered by the programme: respondents from the Member States (average score of answers, number of respondents)</w:t>
      </w:r>
    </w:p>
    <w:p>
      <w:pPr>
        <w:pStyle w:val="VISUAL"/>
        <w:rPr>
          <w:rFonts w:cs="Times New Roman"/>
          <w:noProof/>
        </w:rPr>
      </w:pPr>
      <w:r>
        <w:rPr>
          <w:rFonts w:cs="Times New Roman"/>
          <w:noProof/>
          <w:lang w:eastAsia="en-GB"/>
        </w:rPr>
        <w:drawing>
          <wp:inline distT="0" distB="0" distL="0" distR="0">
            <wp:extent cx="5549900" cy="1752600"/>
            <wp:effectExtent l="0" t="0" r="0" b="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i/>
          <w:noProof/>
          <w:sz w:val="20"/>
          <w:szCs w:val="20"/>
          <w:lang w:val="en-GB"/>
        </w:rPr>
      </w:pPr>
      <w:r>
        <w:rPr>
          <w:rFonts w:cs="Times New Roman"/>
          <w:i/>
          <w:noProof/>
          <w:sz w:val="20"/>
          <w:szCs w:val="20"/>
          <w:lang w:val="en-GB"/>
        </w:rPr>
        <w:t xml:space="preserve">Source: </w:t>
      </w:r>
      <w:hyperlink r:id="rId107"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As the programme is still ongoing, the ways in which solutions meet user needs may still improve. It is expected that the take-up rate of solutions will increase over time, especially for the programme’s newer solutions, a conclusion that was explained in section 5.2 on effectiveness. </w:t>
      </w:r>
      <w:r>
        <w:rPr>
          <w:rFonts w:cs="Times New Roman"/>
          <w:b/>
          <w:noProof/>
          <w:lang w:val="en-GB"/>
        </w:rPr>
        <w:t>With a higher adoption rate of ISA</w:t>
      </w:r>
      <w:r>
        <w:rPr>
          <w:rFonts w:cs="Times New Roman"/>
          <w:b/>
          <w:noProof/>
          <w:vertAlign w:val="superscript"/>
          <w:lang w:val="en-GB"/>
        </w:rPr>
        <w:t xml:space="preserve">2 </w:t>
      </w:r>
      <w:r>
        <w:rPr>
          <w:rFonts w:cs="Times New Roman"/>
          <w:b/>
          <w:noProof/>
          <w:lang w:val="en-GB"/>
        </w:rPr>
        <w:t>solutions across European public administrations, the needs and problems would be increasingly better addressed, thus leading to higher user satisfaction</w:t>
      </w:r>
      <w:r>
        <w:rPr>
          <w:rFonts w:cs="Times New Roman"/>
          <w:noProof/>
          <w:lang w:val="en-GB"/>
        </w:rPr>
        <w:t>.</w:t>
      </w:r>
    </w:p>
    <w:p>
      <w:pPr>
        <w:jc w:val="both"/>
        <w:rPr>
          <w:rFonts w:cs="Times New Roman"/>
          <w:noProof/>
          <w:lang w:val="en-GB"/>
        </w:rPr>
      </w:pPr>
      <w:r>
        <w:rPr>
          <w:rFonts w:cs="Times New Roman"/>
          <w:b/>
          <w:noProof/>
          <w:lang w:val="en-GB"/>
        </w:rPr>
        <w:t>The feedback from consultation activities is further supported by secondary data</w:t>
      </w:r>
      <w:r>
        <w:rPr>
          <w:rFonts w:cs="Times New Roman"/>
          <w:noProof/>
          <w:lang w:val="en-GB"/>
        </w:rPr>
        <w:t xml:space="preserve">. When it comes to the </w:t>
      </w:r>
      <w:r>
        <w:rPr>
          <w:rFonts w:cs="Times New Roman"/>
          <w:i/>
          <w:noProof/>
          <w:lang w:val="en-GB"/>
        </w:rPr>
        <w:t>need for cooperation among public administrations with the aim to enable more efficient and secure public services</w:t>
      </w:r>
      <w:r>
        <w:rPr>
          <w:rFonts w:cs="Times New Roman"/>
          <w:noProof/>
          <w:lang w:val="en-GB"/>
        </w:rPr>
        <w:t>, one example of the contribution of ISA</w:t>
      </w:r>
      <w:r>
        <w:rPr>
          <w:rFonts w:cs="Times New Roman"/>
          <w:noProof/>
          <w:vertAlign w:val="superscript"/>
          <w:lang w:val="en-GB"/>
        </w:rPr>
        <w:t>2</w:t>
      </w:r>
      <w:r>
        <w:rPr>
          <w:rFonts w:cs="Times New Roman"/>
          <w:noProof/>
          <w:lang w:val="en-GB"/>
        </w:rPr>
        <w:t xml:space="preserve"> is the “Access to Base Registries” action. The action has developed and is constantly updating a “Catalogue of Solutions”</w:t>
      </w:r>
      <w:r>
        <w:rPr>
          <w:rFonts w:cs="Times New Roman"/>
          <w:noProof/>
          <w:vertAlign w:val="superscript"/>
        </w:rPr>
        <w:footnoteReference w:id="84"/>
      </w:r>
      <w:r>
        <w:rPr>
          <w:rFonts w:cs="Times New Roman"/>
          <w:noProof/>
          <w:lang w:val="en-GB"/>
        </w:rPr>
        <w:t xml:space="preserve"> for base registries, facilitating interconnection and cooperation between public administrations. In addition, a set of guidelines for addressing potential challenges has been created.</w:t>
      </w:r>
      <w:r>
        <w:rPr>
          <w:rFonts w:cs="Times New Roman"/>
          <w:noProof/>
          <w:vertAlign w:val="superscript"/>
        </w:rPr>
        <w:footnoteReference w:id="85"/>
      </w:r>
      <w:r>
        <w:rPr>
          <w:rFonts w:cs="Times New Roman"/>
          <w:noProof/>
          <w:lang w:val="en-GB"/>
        </w:rPr>
        <w:t xml:space="preserve"> Both outputs help implement the once-only principle thus increasing the efficiency and user-friendliness of public services. Another example of an ISA</w:t>
      </w:r>
      <w:r>
        <w:rPr>
          <w:rFonts w:cs="Times New Roman"/>
          <w:noProof/>
          <w:vertAlign w:val="superscript"/>
          <w:lang w:val="en-GB"/>
        </w:rPr>
        <w:t>2</w:t>
      </w:r>
      <w:r>
        <w:rPr>
          <w:rFonts w:cs="Times New Roman"/>
          <w:noProof/>
          <w:lang w:val="en-GB"/>
        </w:rPr>
        <w:t xml:space="preserve"> action fostering cooperation in order to enhance efficiency in the public sector is the “Communication and information resource centre for administrations, businesses and citizens (CIRCABC)” action and tool</w:t>
      </w:r>
      <w:r>
        <w:rPr>
          <w:rFonts w:cs="Times New Roman"/>
          <w:noProof/>
          <w:vertAlign w:val="superscript"/>
        </w:rPr>
        <w:footnoteReference w:id="86"/>
      </w:r>
      <w:r>
        <w:rPr>
          <w:rFonts w:cs="Times New Roman"/>
          <w:noProof/>
          <w:lang w:val="en-GB"/>
        </w:rPr>
        <w:t>. CIRCABC enables the efficient collaboration between EU institutions, European public administrations and other stakeholders, by offering a free-of-charge, trustworthy tool. Feedback is constantly collected from users in order to improve the way the tool meets their needs.</w:t>
      </w:r>
    </w:p>
    <w:p>
      <w:pPr>
        <w:jc w:val="both"/>
        <w:rPr>
          <w:rFonts w:cs="Times New Roman"/>
          <w:noProof/>
          <w:lang w:val="en-GB"/>
        </w:rPr>
      </w:pPr>
      <w:r>
        <w:rPr>
          <w:rFonts w:cs="Times New Roman"/>
          <w:noProof/>
          <w:lang w:val="en-GB"/>
        </w:rPr>
        <w:t>As regards the</w:t>
      </w:r>
      <w:r>
        <w:rPr>
          <w:rFonts w:cs="Times New Roman"/>
          <w:i/>
          <w:noProof/>
          <w:lang w:val="en-GB"/>
        </w:rPr>
        <w:t xml:space="preserve"> need for exchanging information among public administrations to fulfil legal requirements or political commitments</w:t>
      </w:r>
      <w:r>
        <w:rPr>
          <w:rFonts w:cs="Times New Roman"/>
          <w:noProof/>
          <w:lang w:val="en-GB"/>
        </w:rPr>
        <w:t>, the “Open e-TrustEx” solution, for instance, provides a platform for the secure exchange of information between public administrations in the EU and in the Member States. It is used in seven pan-European projects, including the e-Prior Open Source e-Procurement platform</w:t>
      </w:r>
      <w:r>
        <w:rPr>
          <w:rFonts w:cs="Times New Roman"/>
          <w:noProof/>
          <w:vertAlign w:val="superscript"/>
        </w:rPr>
        <w:footnoteReference w:id="87"/>
      </w:r>
      <w:r>
        <w:rPr>
          <w:rFonts w:cs="Times New Roman"/>
          <w:noProof/>
          <w:lang w:val="en-GB"/>
        </w:rPr>
        <w:t xml:space="preserve"> and the European eJustice Portal</w:t>
      </w:r>
      <w:r>
        <w:rPr>
          <w:rFonts w:cs="Times New Roman"/>
          <w:noProof/>
          <w:vertAlign w:val="superscript"/>
        </w:rPr>
        <w:footnoteReference w:id="88"/>
      </w:r>
      <w:r>
        <w:rPr>
          <w:rFonts w:cs="Times New Roman"/>
          <w:noProof/>
          <w:lang w:val="en-GB"/>
        </w:rPr>
        <w:t>, contributing to cross-border interoperability. Another example is the “Inter-institutional register of delegated acts (RegDel)”</w:t>
      </w:r>
      <w:r>
        <w:rPr>
          <w:rFonts w:cs="Times New Roman"/>
          <w:noProof/>
          <w:vertAlign w:val="superscript"/>
        </w:rPr>
        <w:footnoteReference w:id="89"/>
      </w:r>
      <w:r>
        <w:rPr>
          <w:rFonts w:cs="Times New Roman"/>
          <w:noProof/>
          <w:lang w:val="en-GB"/>
        </w:rPr>
        <w:t>, which directly responds to the commitment of the Commission, Council, and European Parliament to increase transparency and traceability of the delegated acts process.</w:t>
      </w:r>
      <w:r>
        <w:rPr>
          <w:rFonts w:cs="Times New Roman"/>
          <w:noProof/>
          <w:vertAlign w:val="superscript"/>
        </w:rPr>
        <w:footnoteReference w:id="90"/>
      </w:r>
      <w:r>
        <w:rPr>
          <w:rFonts w:cs="Times New Roman"/>
          <w:noProof/>
          <w:lang w:val="en-GB"/>
        </w:rPr>
        <w:t xml:space="preserve"> </w:t>
      </w:r>
    </w:p>
    <w:p>
      <w:pPr>
        <w:jc w:val="both"/>
        <w:rPr>
          <w:rFonts w:cs="Times New Roman"/>
          <w:noProof/>
          <w:lang w:val="en-GB"/>
        </w:rPr>
      </w:pPr>
      <w:r>
        <w:rPr>
          <w:rFonts w:cs="Times New Roman"/>
          <w:noProof/>
          <w:lang w:val="en-GB"/>
        </w:rPr>
        <w:t xml:space="preserve">Turning to the </w:t>
      </w:r>
      <w:r>
        <w:rPr>
          <w:rFonts w:cs="Times New Roman"/>
          <w:i/>
          <w:noProof/>
          <w:lang w:val="en-GB"/>
        </w:rPr>
        <w:t>need for sharing and reusing information among public administrations to increase administrative efficiency and cut red tape for citizens and businesses</w:t>
      </w:r>
      <w:r>
        <w:rPr>
          <w:rFonts w:cs="Times New Roman"/>
          <w:noProof/>
          <w:lang w:val="en-GB"/>
        </w:rPr>
        <w:t>, the “Joinup” platform can be mentioned. It provides a collaborative space where solutions can be shared between stakeholders. Additionally, the platform also hosts a number of national repositories where five Member States have made national solutions available to other interested parties. An additional example in this regard is the “Development of an Open Data Service, Support and Training Package in the Area of Linked Open Data, Data Visualisation and Persistent Identification” action, which contributes to the sharing of best practices, by providing a set of reusable tools for data visualisation and data manipulation, available on the EU Open Data Portal.</w:t>
      </w:r>
      <w:r>
        <w:rPr>
          <w:rFonts w:cs="Times New Roman"/>
          <w:noProof/>
          <w:vertAlign w:val="superscript"/>
        </w:rPr>
        <w:footnoteReference w:id="91"/>
      </w:r>
    </w:p>
    <w:p>
      <w:pPr>
        <w:jc w:val="both"/>
        <w:rPr>
          <w:rFonts w:cs="Times New Roman"/>
          <w:noProof/>
          <w:lang w:val="en-GB"/>
        </w:rPr>
      </w:pPr>
      <w:r>
        <w:rPr>
          <w:rFonts w:cs="Times New Roman"/>
          <w:noProof/>
          <w:lang w:val="en-GB"/>
        </w:rPr>
        <w:t>As noted in section 5.1 on relevance, several respondents identified additional needs and problems to those explicitly mentioned in the programme’s intervention logic. In this respect, 27 % of EU-level respondents (11 out of 41) and 50 % of Member State-level respondents (6 out of 12) indicated that solutions have contributed to addressing these additional needs and problems to a high extent or to the fullest extent. In comparison, 22 % of EU-level respondents (9 out of 41) and 25 % of Member State-level respondents (3 out of 12) believe that this contribution has been either limited or absent (</w:t>
      </w:r>
      <w:r>
        <w:rPr>
          <w:rFonts w:cs="Times New Roman"/>
          <w:noProof/>
        </w:rPr>
        <w:fldChar w:fldCharType="begin"/>
      </w:r>
      <w:r>
        <w:rPr>
          <w:rFonts w:cs="Times New Roman"/>
          <w:noProof/>
          <w:lang w:val="en-GB"/>
        </w:rPr>
        <w:instrText xml:space="preserve"> REF _Ref9795041 \h  \* MERGEFORMAT </w:instrText>
      </w:r>
      <w:r>
        <w:rPr>
          <w:rFonts w:cs="Times New Roman"/>
          <w:noProof/>
        </w:rPr>
      </w:r>
      <w:r>
        <w:rPr>
          <w:rFonts w:cs="Times New Roman"/>
          <w:noProof/>
        </w:rPr>
        <w:fldChar w:fldCharType="separate"/>
      </w:r>
      <w:r>
        <w:rPr>
          <w:rFonts w:cs="Times New Roman"/>
          <w:noProof/>
          <w:lang w:val="en-GB"/>
        </w:rPr>
        <w:t>Figure 23</w:t>
      </w:r>
      <w:r>
        <w:rPr>
          <w:rFonts w:cs="Times New Roman"/>
          <w:noProof/>
        </w:rPr>
        <w:fldChar w:fldCharType="end"/>
      </w:r>
      <w:r>
        <w:rPr>
          <w:rFonts w:cs="Times New Roman"/>
          <w:noProof/>
          <w:lang w:val="en-GB"/>
        </w:rPr>
        <w:t xml:space="preserve"> and </w:t>
      </w:r>
      <w:r>
        <w:rPr>
          <w:rFonts w:cs="Times New Roman"/>
          <w:noProof/>
        </w:rPr>
        <w:fldChar w:fldCharType="begin"/>
      </w:r>
      <w:r>
        <w:rPr>
          <w:rFonts w:cs="Times New Roman"/>
          <w:noProof/>
          <w:lang w:val="en-GB"/>
        </w:rPr>
        <w:instrText xml:space="preserve"> REF _Ref9795045 \h  \* MERGEFORMAT </w:instrText>
      </w:r>
      <w:r>
        <w:rPr>
          <w:rFonts w:cs="Times New Roman"/>
          <w:noProof/>
        </w:rPr>
      </w:r>
      <w:r>
        <w:rPr>
          <w:rFonts w:cs="Times New Roman"/>
          <w:noProof/>
        </w:rPr>
        <w:fldChar w:fldCharType="separate"/>
      </w:r>
      <w:r>
        <w:rPr>
          <w:rFonts w:cs="Times New Roman"/>
          <w:noProof/>
          <w:lang w:val="en-GB"/>
        </w:rPr>
        <w:t>Figure 24</w:t>
      </w:r>
      <w:r>
        <w:rPr>
          <w:rFonts w:cs="Times New Roman"/>
          <w:noProof/>
        </w:rPr>
        <w:fldChar w:fldCharType="end"/>
      </w:r>
      <w:r>
        <w:rPr>
          <w:rFonts w:cs="Times New Roman"/>
          <w:noProof/>
          <w:lang w:val="en-GB"/>
        </w:rPr>
        <w:t>).</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23</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solutions contributed to addressing additional needs and problems identified by consulted stakeholders: EU-level respondents (average score of answers, number of respondents)</w:t>
      </w:r>
    </w:p>
    <w:p>
      <w:pPr>
        <w:pStyle w:val="VISUAL"/>
        <w:rPr>
          <w:rFonts w:cs="Times New Roman"/>
          <w:noProof/>
        </w:rPr>
      </w:pPr>
      <w:r>
        <w:rPr>
          <w:rFonts w:cs="Times New Roman"/>
          <w:noProof/>
          <w:lang w:eastAsia="en-GB"/>
        </w:rPr>
        <w:drawing>
          <wp:inline distT="0" distB="0" distL="0" distR="0">
            <wp:extent cx="5530850" cy="1955800"/>
            <wp:effectExtent l="0" t="0" r="0" b="635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09" w:history="1">
        <w:r>
          <w:rPr>
            <w:rStyle w:val="Hyperlink"/>
            <w:rFonts w:cs="Times New Roman"/>
            <w:i/>
            <w:noProof/>
            <w:sz w:val="20"/>
            <w:szCs w:val="20"/>
            <w:lang w:val="en-GB"/>
          </w:rPr>
          <w:t>CEPS final study</w:t>
        </w:r>
      </w:hyperlink>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24</w:t>
      </w:r>
      <w:r>
        <w:rPr>
          <w:rFonts w:cs="Times New Roman"/>
          <w:noProof/>
        </w:rPr>
        <w:fldChar w:fldCharType="end"/>
      </w:r>
      <w:r>
        <w:rPr>
          <w:rFonts w:cs="Times New Roman"/>
          <w:noProof/>
        </w:rPr>
        <w:t>: Extent to which ISA</w:t>
      </w:r>
      <w:r>
        <w:rPr>
          <w:rFonts w:cs="Times New Roman"/>
          <w:noProof/>
          <w:vertAlign w:val="superscript"/>
        </w:rPr>
        <w:t>2</w:t>
      </w:r>
      <w:r>
        <w:rPr>
          <w:rFonts w:cs="Times New Roman"/>
          <w:noProof/>
        </w:rPr>
        <w:t xml:space="preserve"> solutions contributed to addressing additional needs and problems identified by consulted stakeholders: respondents from the Member States (average score of answers, number of respondents)</w:t>
      </w:r>
      <w:r>
        <w:rPr>
          <w:rFonts w:cs="Times New Roman"/>
          <w:noProof/>
          <w:lang w:eastAsia="en-GB"/>
        </w:rPr>
        <w:drawing>
          <wp:inline distT="0" distB="0" distL="0" distR="0">
            <wp:extent cx="5695950" cy="1917700"/>
            <wp:effectExtent l="0" t="0" r="0" b="635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11" w:history="1">
        <w:r>
          <w:rPr>
            <w:rStyle w:val="Hyperlink"/>
            <w:rFonts w:cs="Times New Roman"/>
            <w:i/>
            <w:noProof/>
            <w:sz w:val="20"/>
            <w:szCs w:val="20"/>
            <w:lang w:val="en-GB"/>
          </w:rPr>
          <w:t>CEPS final study</w:t>
        </w:r>
      </w:hyperlink>
    </w:p>
    <w:p>
      <w:pPr>
        <w:jc w:val="both"/>
        <w:rPr>
          <w:rFonts w:cs="Times New Roman"/>
          <w:b/>
          <w:iCs/>
          <w:noProof/>
          <w:u w:val="single"/>
          <w:lang w:val="en-GB"/>
        </w:rPr>
      </w:pPr>
      <w:r>
        <w:rPr>
          <w:rFonts w:cs="Times New Roman"/>
          <w:b/>
          <w:iCs/>
          <w:noProof/>
          <w:u w:val="single"/>
          <w:lang w:val="en-GB"/>
        </w:rPr>
        <w:t>JC2: Stakeholder satisfaction</w:t>
      </w:r>
    </w:p>
    <w:p>
      <w:pPr>
        <w:jc w:val="both"/>
        <w:rPr>
          <w:rFonts w:cs="Times New Roman"/>
          <w:noProof/>
          <w:lang w:val="en-GB"/>
        </w:rPr>
      </w:pPr>
      <w:r>
        <w:rPr>
          <w:rFonts w:cs="Times New Roman"/>
          <w:b/>
          <w:noProof/>
          <w:lang w:val="en-GB"/>
        </w:rPr>
        <w:t>The feedback received from respondents regarding user satisfaction tends to be positive</w:t>
      </w:r>
      <w:r>
        <w:rPr>
          <w:rFonts w:cs="Times New Roman"/>
          <w:noProof/>
          <w:lang w:val="en-GB"/>
        </w:rPr>
        <w:t xml:space="preserve"> (</w:t>
      </w:r>
      <w:r>
        <w:rPr>
          <w:rFonts w:cs="Times New Roman"/>
          <w:noProof/>
        </w:rPr>
        <w:fldChar w:fldCharType="begin"/>
      </w:r>
      <w:r>
        <w:rPr>
          <w:rFonts w:cs="Times New Roman"/>
          <w:noProof/>
          <w:lang w:val="en-GB"/>
        </w:rPr>
        <w:instrText xml:space="preserve"> REF _Ref9795454 \h  \* MERGEFORMAT </w:instrText>
      </w:r>
      <w:r>
        <w:rPr>
          <w:rFonts w:cs="Times New Roman"/>
          <w:noProof/>
        </w:rPr>
      </w:r>
      <w:r>
        <w:rPr>
          <w:rFonts w:cs="Times New Roman"/>
          <w:noProof/>
        </w:rPr>
        <w:fldChar w:fldCharType="separate"/>
      </w:r>
      <w:r>
        <w:rPr>
          <w:rFonts w:cs="Times New Roman"/>
          <w:noProof/>
          <w:lang w:val="en-GB"/>
        </w:rPr>
        <w:t>Figure 25</w:t>
      </w:r>
      <w:r>
        <w:rPr>
          <w:rFonts w:cs="Times New Roman"/>
          <w:noProof/>
        </w:rPr>
        <w:fldChar w:fldCharType="end"/>
      </w:r>
      <w:r>
        <w:rPr>
          <w:rFonts w:cs="Times New Roman"/>
          <w:noProof/>
          <w:lang w:val="en-GB"/>
        </w:rPr>
        <w:t>). More specifically, half of the respondents (57 out of 110) indicate that they are satisfied with the way solutions meet user needs to a high extent or to the fullest extent, while only 6 % (7 out of 110) indicate limited satisfaction.</w:t>
      </w:r>
    </w:p>
    <w:p>
      <w:pPr>
        <w:pStyle w:val="caption2"/>
        <w:rPr>
          <w:rFonts w:cs="Times New Roman"/>
          <w:bCs/>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25</w:t>
      </w:r>
      <w:r>
        <w:rPr>
          <w:rFonts w:cs="Times New Roman"/>
          <w:noProof/>
        </w:rPr>
        <w:fldChar w:fldCharType="end"/>
      </w:r>
      <w:r>
        <w:rPr>
          <w:rFonts w:cs="Times New Roman"/>
          <w:noProof/>
        </w:rPr>
        <w:t xml:space="preserve">: </w:t>
      </w:r>
      <w:r>
        <w:rPr>
          <w:rFonts w:cs="Times New Roman"/>
          <w:bCs/>
          <w:noProof/>
        </w:rPr>
        <w:t>Extent to which ISA</w:t>
      </w:r>
      <w:r>
        <w:rPr>
          <w:rFonts w:cs="Times New Roman"/>
          <w:bCs/>
          <w:noProof/>
          <w:vertAlign w:val="superscript"/>
        </w:rPr>
        <w:t>2</w:t>
      </w:r>
      <w:r>
        <w:rPr>
          <w:rFonts w:cs="Times New Roman"/>
          <w:bCs/>
          <w:noProof/>
        </w:rPr>
        <w:t xml:space="preserve"> solutions are meeting user needs in the fields of cross-border and cross-sectoral interoperability of digital public services (average score of answers, number of respondents)</w:t>
      </w:r>
    </w:p>
    <w:p>
      <w:pPr>
        <w:pStyle w:val="VISUAL"/>
        <w:rPr>
          <w:rFonts w:cs="Times New Roman"/>
          <w:noProof/>
        </w:rPr>
      </w:pPr>
      <w:r>
        <w:rPr>
          <w:rFonts w:cs="Times New Roman"/>
          <w:noProof/>
          <w:lang w:eastAsia="en-GB"/>
        </w:rPr>
        <w:drawing>
          <wp:inline distT="0" distB="0" distL="0" distR="0">
            <wp:extent cx="5731510" cy="1600200"/>
            <wp:effectExtent l="0" t="0" r="2540" b="0"/>
            <wp:docPr id="156" name="Chart 15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13"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Respondents also provided feedback on </w:t>
      </w:r>
      <w:r>
        <w:rPr>
          <w:rFonts w:cs="Times New Roman"/>
          <w:b/>
          <w:noProof/>
          <w:lang w:val="en-GB"/>
        </w:rPr>
        <w:t>measures that could be taken to improve the programme’s utility</w:t>
      </w:r>
      <w:r>
        <w:rPr>
          <w:rFonts w:cs="Times New Roman"/>
          <w:noProof/>
          <w:lang w:val="en-GB"/>
        </w:rPr>
        <w:t>. This feedback centres on the following aspects and shows significant complementarities with the measures proposed to improve the relevance of ISA</w:t>
      </w:r>
      <w:r>
        <w:rPr>
          <w:rFonts w:cs="Times New Roman"/>
          <w:noProof/>
          <w:vertAlign w:val="superscript"/>
          <w:lang w:val="en-GB"/>
        </w:rPr>
        <w:t>2</w:t>
      </w:r>
      <w:r>
        <w:rPr>
          <w:rFonts w:cs="Times New Roman"/>
          <w:noProof/>
          <w:lang w:val="en-GB"/>
        </w:rPr>
        <w:t xml:space="preserve"> (see section 5.1):</w:t>
      </w:r>
    </w:p>
    <w:p>
      <w:pPr>
        <w:pStyle w:val="Firstlevellist"/>
        <w:rPr>
          <w:noProof/>
        </w:rPr>
      </w:pPr>
      <w:r>
        <w:rPr>
          <w:b/>
          <w:noProof/>
        </w:rPr>
        <w:t>Best practices and user support</w:t>
      </w:r>
      <w:r>
        <w:rPr>
          <w:noProof/>
        </w:rPr>
        <w:t>. An increased focus on sharing best practices and providing support to users would have a beneficial effect on user satisfaction.</w:t>
      </w:r>
    </w:p>
    <w:p>
      <w:pPr>
        <w:pStyle w:val="Firstlevellist"/>
        <w:rPr>
          <w:noProof/>
          <w:u w:val="single"/>
        </w:rPr>
      </w:pPr>
      <w:r>
        <w:rPr>
          <w:b/>
          <w:noProof/>
        </w:rPr>
        <w:t>More focus on already existing solutions</w:t>
      </w:r>
      <w:r>
        <w:rPr>
          <w:noProof/>
        </w:rPr>
        <w:t>. According to the feedback from the consultation activities, another way to better address user needs would be to focus more on the already existing solutions and on improving their quality. This would improve the way in which user needs are considered in the further development of a smaller group of actions.</w:t>
      </w:r>
    </w:p>
    <w:p>
      <w:pPr>
        <w:pStyle w:val="Firstlevellist"/>
        <w:rPr>
          <w:noProof/>
          <w:u w:val="single"/>
        </w:rPr>
      </w:pPr>
      <w:r>
        <w:rPr>
          <w:b/>
          <w:noProof/>
        </w:rPr>
        <w:t>Promotion</w:t>
      </w:r>
      <w:r>
        <w:rPr>
          <w:noProof/>
        </w:rPr>
        <w:t>. Respondents indicated that they would like to see more activities promoting ISA</w:t>
      </w:r>
      <w:r>
        <w:rPr>
          <w:noProof/>
          <w:vertAlign w:val="superscript"/>
        </w:rPr>
        <w:t>2</w:t>
      </w:r>
      <w:r>
        <w:rPr>
          <w:noProof/>
        </w:rPr>
        <w:t xml:space="preserve"> at the Member State level in order to increase the level of take-up of solutions. An increased level of take-up would contribute to addressing the needs identified in the field of interoperability, thus improving overall satisfaction levels. Furthermore, feedback received from standardisation organisations shows that more awareness is needed among practitioners as well, particularly in the field of standards. Organising workshops targeted to specific groups of professionals could be useful. Formal presentations made at the plenary sessions of standards development organisations could also provide more exposure.</w:t>
      </w:r>
    </w:p>
    <w:p>
      <w:pPr>
        <w:pStyle w:val="Firstlevellist"/>
        <w:rPr>
          <w:noProof/>
        </w:rPr>
      </w:pPr>
      <w:r>
        <w:rPr>
          <w:b/>
          <w:noProof/>
        </w:rPr>
        <w:t>Co-creation</w:t>
      </w:r>
      <w:r>
        <w:rPr>
          <w:noProof/>
        </w:rPr>
        <w:t>. Another measure could be to involve users not only in the testing phase of solutions, but also in the design phase, and to establish a co-creation process. This includes more extensive on-boarding services (ensuring that users are provided with extensive information about the developed solutions), an increased focus on the sustainability of (re)user communities, as well as the integration of different solutions and services into one service, thus making it easier for users to navigate the landscape of available solutions.</w:t>
      </w:r>
    </w:p>
    <w:p>
      <w:pPr>
        <w:pStyle w:val="FirstlevellistLAST"/>
        <w:rPr>
          <w:noProof/>
        </w:rPr>
      </w:pPr>
      <w:r>
        <w:rPr>
          <w:b/>
          <w:noProof/>
        </w:rPr>
        <w:t>Commitment.</w:t>
      </w:r>
      <w:r>
        <w:rPr>
          <w:noProof/>
        </w:rPr>
        <w:t xml:space="preserve"> The ISA</w:t>
      </w:r>
      <w:r>
        <w:rPr>
          <w:noProof/>
          <w:vertAlign w:val="superscript"/>
        </w:rPr>
        <w:t xml:space="preserve">2 </w:t>
      </w:r>
      <w:r>
        <w:rPr>
          <w:noProof/>
        </w:rPr>
        <w:t>Committee could reinforce the results of the programme by using it to set clear commitments to interoperability in the future. Member States could show their commitment to using the solutions stemming from ISA</w:t>
      </w:r>
      <w:r>
        <w:rPr>
          <w:noProof/>
          <w:vertAlign w:val="superscript"/>
        </w:rPr>
        <w:t>2</w:t>
      </w:r>
      <w:r>
        <w:rPr>
          <w:noProof/>
        </w:rPr>
        <w:t xml:space="preserve"> actions beyond simply participating in the selection of actions for the rolling work programme.</w:t>
      </w:r>
    </w:p>
    <w:p>
      <w:pPr>
        <w:jc w:val="both"/>
        <w:rPr>
          <w:rFonts w:cs="Times New Roman"/>
          <w:noProof/>
          <w:lang w:val="en-GB"/>
        </w:rPr>
      </w:pPr>
      <w:r>
        <w:rPr>
          <w:rFonts w:cs="Times New Roman"/>
          <w:noProof/>
          <w:lang w:val="en-GB"/>
        </w:rPr>
        <w:t>The ISA</w:t>
      </w:r>
      <w:r>
        <w:rPr>
          <w:rFonts w:cs="Times New Roman"/>
          <w:noProof/>
          <w:vertAlign w:val="superscript"/>
          <w:lang w:val="en-GB"/>
        </w:rPr>
        <w:t>2</w:t>
      </w:r>
      <w:r>
        <w:rPr>
          <w:rFonts w:cs="Times New Roman"/>
          <w:noProof/>
          <w:lang w:val="en-GB"/>
        </w:rPr>
        <w:t xml:space="preserve"> programme’s communication team and action owners already make an effort to capture users’ feedback and information on additional needs related to existing solutions. Their outreach activities made it possible to put together a number of user testimonials</w:t>
      </w:r>
      <w:r>
        <w:rPr>
          <w:rStyle w:val="FootnoteReference"/>
          <w:noProof/>
        </w:rPr>
        <w:footnoteReference w:id="92"/>
      </w:r>
      <w:r>
        <w:rPr>
          <w:rFonts w:cs="Times New Roman"/>
          <w:noProof/>
          <w:lang w:val="en-GB"/>
        </w:rPr>
        <w:t xml:space="preserve">, which support the promotion of solutions. For example, the user story presented in </w:t>
      </w:r>
      <w:r>
        <w:rPr>
          <w:rFonts w:cs="Times New Roman"/>
          <w:noProof/>
        </w:rPr>
        <w:fldChar w:fldCharType="begin"/>
      </w:r>
      <w:r>
        <w:rPr>
          <w:rFonts w:cs="Times New Roman"/>
          <w:noProof/>
          <w:lang w:val="en-GB"/>
        </w:rPr>
        <w:instrText xml:space="preserve"> REF _Ref11685349 \h  \* MERGEFORMAT </w:instrText>
      </w:r>
      <w:r>
        <w:rPr>
          <w:rFonts w:cs="Times New Roman"/>
          <w:noProof/>
        </w:rPr>
      </w:r>
      <w:r>
        <w:rPr>
          <w:rFonts w:cs="Times New Roman"/>
          <w:noProof/>
        </w:rPr>
        <w:fldChar w:fldCharType="separate"/>
      </w:r>
      <w:r>
        <w:rPr>
          <w:rFonts w:cs="Times New Roman"/>
          <w:noProof/>
          <w:lang w:val="en-GB"/>
        </w:rPr>
        <w:t>Box 8</w:t>
      </w:r>
      <w:r>
        <w:rPr>
          <w:rFonts w:cs="Times New Roman"/>
          <w:noProof/>
        </w:rPr>
        <w:fldChar w:fldCharType="end"/>
      </w:r>
      <w:r>
        <w:rPr>
          <w:rFonts w:cs="Times New Roman"/>
          <w:noProof/>
          <w:lang w:val="en-GB"/>
        </w:rPr>
        <w:t xml:space="preserve"> encourages the use of Joinup. In the underlying detailed questionnaire, the interviewee shared her ideas about possible improvements, including more active marketing of the solution and the need to keep information on the Joinup platform up-to-date.</w:t>
      </w:r>
    </w:p>
    <w:p>
      <w:pPr>
        <w:jc w:val="both"/>
        <w:rPr>
          <w:rFonts w:cs="Times New Roman"/>
          <w:noProof/>
          <w:lang w:val="en-GB"/>
        </w:rPr>
      </w:pP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8</w:t>
      </w:r>
      <w:r>
        <w:rPr>
          <w:rFonts w:cs="Times New Roman"/>
          <w:noProof/>
        </w:rPr>
        <w:fldChar w:fldCharType="end"/>
      </w:r>
      <w:r>
        <w:rPr>
          <w:rFonts w:cs="Times New Roman"/>
          <w:noProof/>
        </w:rPr>
        <w:t>: ‘Joinup’ user testimonial</w:t>
      </w:r>
    </w:p>
    <w:p>
      <w:pPr>
        <w:pStyle w:val="VISUAL"/>
        <w:rPr>
          <w:rFonts w:cs="Times New Roman"/>
          <w:noProof/>
        </w:rPr>
      </w:pPr>
      <w:r>
        <w:rPr>
          <w:rFonts w:cs="Times New Roman"/>
          <w:noProof/>
          <w:lang w:eastAsia="en-GB"/>
        </w:rPr>
        <w:drawing>
          <wp:inline distT="0" distB="0" distL="0" distR="0">
            <wp:extent cx="5472430" cy="391243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72430" cy="3912430"/>
                    </a:xfrm>
                    <a:prstGeom prst="rect">
                      <a:avLst/>
                    </a:prstGeom>
                  </pic:spPr>
                </pic:pic>
              </a:graphicData>
            </a:graphic>
          </wp:inline>
        </w:drawing>
      </w:r>
    </w:p>
    <w:p>
      <w:pPr>
        <w:pStyle w:val="Notes"/>
        <w:rPr>
          <w:rFonts w:cs="Times New Roman"/>
          <w:noProof/>
        </w:rPr>
      </w:pPr>
      <w:r>
        <w:rPr>
          <w:rFonts w:cs="Times New Roman"/>
          <w:noProof/>
        </w:rPr>
        <w:t>Source: ISA</w:t>
      </w:r>
      <w:r>
        <w:rPr>
          <w:rFonts w:cs="Times New Roman"/>
          <w:noProof/>
          <w:vertAlign w:val="superscript"/>
        </w:rPr>
        <w:t>2</w:t>
      </w:r>
      <w:r>
        <w:rPr>
          <w:rFonts w:cs="Times New Roman"/>
          <w:noProof/>
        </w:rPr>
        <w:t xml:space="preserve"> Communication Team</w:t>
      </w:r>
    </w:p>
    <w:p>
      <w:pPr>
        <w:pStyle w:val="Heading3"/>
        <w:rPr>
          <w:noProof/>
          <w:lang w:val="en-GB"/>
        </w:rPr>
      </w:pPr>
    </w:p>
    <w:p>
      <w:pPr>
        <w:pStyle w:val="Heading3"/>
        <w:rPr>
          <w:noProof/>
          <w:lang w:val="en-GB"/>
        </w:rPr>
      </w:pPr>
      <w:r>
        <w:rPr>
          <w:noProof/>
          <w:lang w:val="en-GB"/>
        </w:rPr>
        <w:t>Answer to the ‘utility’ EQ</w:t>
      </w:r>
    </w:p>
    <w:p>
      <w:pPr>
        <w:shd w:val="clear" w:color="auto" w:fill="C6D9F1" w:themeFill="text2" w:themeFillTint="33"/>
        <w:jc w:val="both"/>
        <w:rPr>
          <w:rFonts w:cs="Times New Roman"/>
          <w:noProof/>
          <w:lang w:val="en-GB"/>
        </w:rPr>
      </w:pPr>
      <w:r>
        <w:rPr>
          <w:rFonts w:cs="Times New Roman"/>
          <w:noProof/>
          <w:lang w:val="en-GB"/>
        </w:rPr>
        <w:t>EQ9: How do the ISA² programme’s actions and results, achieved and anticipated, compare with the needs they are supposed to address?</w:t>
      </w:r>
    </w:p>
    <w:p>
      <w:pPr>
        <w:jc w:val="both"/>
        <w:rPr>
          <w:rFonts w:cs="Times New Roman"/>
          <w:noProof/>
          <w:lang w:val="en-GB"/>
        </w:rPr>
      </w:pPr>
      <w:r>
        <w:rPr>
          <w:rFonts w:cs="Times New Roman"/>
          <w:noProof/>
          <w:lang w:val="en-GB"/>
        </w:rPr>
        <w:t>According to consulted stakeholders, solutions developed or maintained by ISA</w:t>
      </w:r>
      <w:r>
        <w:rPr>
          <w:rFonts w:cs="Times New Roman"/>
          <w:noProof/>
          <w:vertAlign w:val="superscript"/>
          <w:lang w:val="en-GB"/>
        </w:rPr>
        <w:t>2</w:t>
      </w:r>
      <w:r>
        <w:rPr>
          <w:rFonts w:cs="Times New Roman"/>
          <w:noProof/>
          <w:lang w:val="en-GB"/>
        </w:rPr>
        <w:t xml:space="preserve"> have </w:t>
      </w:r>
      <w:r>
        <w:rPr>
          <w:rFonts w:cs="Times New Roman"/>
          <w:b/>
          <w:noProof/>
          <w:lang w:val="en-GB"/>
        </w:rPr>
        <w:t xml:space="preserve">contributed to addressing the original needs and problems </w:t>
      </w:r>
      <w:r>
        <w:rPr>
          <w:rFonts w:cs="Times New Roman"/>
          <w:noProof/>
          <w:lang w:val="en-GB"/>
        </w:rPr>
        <w:t xml:space="preserve">identified in the field of interoperability. As the programme is still ongoing, </w:t>
      </w:r>
      <w:r>
        <w:rPr>
          <w:rFonts w:cs="Times New Roman"/>
          <w:b/>
          <w:noProof/>
          <w:lang w:val="en-GB"/>
        </w:rPr>
        <w:t>the way solutions meet user needs may still improve</w:t>
      </w:r>
      <w:r>
        <w:rPr>
          <w:rFonts w:cs="Times New Roman"/>
          <w:noProof/>
          <w:lang w:val="en-GB"/>
        </w:rPr>
        <w:t>. In particular, these needs and problems are expected to be better addressed due to more extensive adoption of ISA</w:t>
      </w:r>
      <w:r>
        <w:rPr>
          <w:rFonts w:cs="Times New Roman"/>
          <w:noProof/>
          <w:vertAlign w:val="superscript"/>
          <w:lang w:val="en-GB"/>
        </w:rPr>
        <w:t>2</w:t>
      </w:r>
      <w:r>
        <w:rPr>
          <w:rFonts w:cs="Times New Roman"/>
          <w:noProof/>
          <w:lang w:val="en-GB"/>
        </w:rPr>
        <w:t xml:space="preserve"> solutions across European public administrations.</w:t>
      </w:r>
    </w:p>
    <w:p>
      <w:pPr>
        <w:jc w:val="both"/>
        <w:rPr>
          <w:rFonts w:cs="Times New Roman"/>
          <w:noProof/>
          <w:lang w:val="en-GB"/>
        </w:rPr>
      </w:pPr>
      <w:r>
        <w:rPr>
          <w:rFonts w:cs="Times New Roman"/>
          <w:noProof/>
          <w:lang w:val="en-GB"/>
        </w:rPr>
        <w:t xml:space="preserve">In line with the conclusion drawn on the relevance criterion (section 5.1), whereas </w:t>
      </w:r>
      <w:r>
        <w:rPr>
          <w:rFonts w:cs="Times New Roman"/>
          <w:b/>
          <w:noProof/>
          <w:lang w:val="en-GB"/>
        </w:rPr>
        <w:t>some of the new needs and problems experienced by consulted stakeholders are addressed by the programme, some others fall beyond its scope</w:t>
      </w:r>
      <w:r>
        <w:rPr>
          <w:rFonts w:cs="Times New Roman"/>
          <w:noProof/>
          <w:lang w:val="en-GB"/>
        </w:rPr>
        <w:t xml:space="preserve"> as it is currently defined. Therefore, the solutions developed so far cannot respond to these particular needs and problems.</w:t>
      </w:r>
    </w:p>
    <w:p>
      <w:pPr>
        <w:jc w:val="both"/>
        <w:rPr>
          <w:rFonts w:cs="Times New Roman"/>
          <w:noProof/>
          <w:lang w:val="en-GB"/>
        </w:rPr>
      </w:pPr>
      <w:r>
        <w:rPr>
          <w:rFonts w:cs="Times New Roman"/>
          <w:noProof/>
          <w:lang w:val="en-GB"/>
        </w:rPr>
        <w:t xml:space="preserve">The feedback received from respondents in terms of </w:t>
      </w:r>
      <w:r>
        <w:rPr>
          <w:rFonts w:cs="Times New Roman"/>
          <w:b/>
          <w:noProof/>
          <w:lang w:val="en-GB"/>
        </w:rPr>
        <w:t>user satisfaction</w:t>
      </w:r>
      <w:r>
        <w:rPr>
          <w:rFonts w:cs="Times New Roman"/>
          <w:noProof/>
          <w:lang w:val="en-GB"/>
        </w:rPr>
        <w:t xml:space="preserve"> tends to be </w:t>
      </w:r>
      <w:r>
        <w:rPr>
          <w:rFonts w:cs="Times New Roman"/>
          <w:b/>
          <w:noProof/>
          <w:lang w:val="en-GB"/>
        </w:rPr>
        <w:t>positive</w:t>
      </w:r>
      <w:r>
        <w:rPr>
          <w:rFonts w:cs="Times New Roman"/>
          <w:noProof/>
          <w:lang w:val="en-GB"/>
        </w:rPr>
        <w:t>. Nevertheless, both primary and secondary data show that additional measures could increase the programme’s utility. For example, ISA</w:t>
      </w:r>
      <w:r>
        <w:rPr>
          <w:rFonts w:cs="Times New Roman"/>
          <w:noProof/>
          <w:vertAlign w:val="superscript"/>
          <w:lang w:val="en-GB"/>
        </w:rPr>
        <w:t>2</w:t>
      </w:r>
      <w:r>
        <w:rPr>
          <w:rFonts w:cs="Times New Roman"/>
          <w:noProof/>
          <w:lang w:val="en-GB"/>
        </w:rPr>
        <w:t xml:space="preserve"> could place more emphasis on providing support to users of its existing solutions. Moreover, it could already involve users in the design phase of future solutions, thus increasing quality and user satisfaction.</w:t>
      </w:r>
    </w:p>
    <w:p>
      <w:pPr>
        <w:pStyle w:val="Heading2"/>
        <w:rPr>
          <w:noProof/>
        </w:rPr>
      </w:pPr>
      <w:bookmarkStart w:id="20" w:name="_Toc14708143"/>
      <w:r>
        <w:rPr>
          <w:noProof/>
        </w:rPr>
        <w:t>Sustainability</w:t>
      </w:r>
      <w:bookmarkEnd w:id="20"/>
    </w:p>
    <w:p>
      <w:pPr>
        <w:pStyle w:val="Heading3"/>
        <w:rPr>
          <w:noProof/>
          <w:lang w:val="en-GB"/>
        </w:rPr>
      </w:pPr>
      <w:r>
        <w:rPr>
          <w:noProof/>
          <w:lang w:val="en-GB"/>
        </w:rPr>
        <w:t>Evaluation framework for ‘sustainability’</w:t>
      </w:r>
    </w:p>
    <w:p>
      <w:pPr>
        <w:jc w:val="both"/>
        <w:rPr>
          <w:rFonts w:cs="Times New Roman"/>
          <w:noProof/>
        </w:rPr>
      </w:pPr>
      <w:r>
        <w:rPr>
          <w:rFonts w:cs="Times New Roman"/>
          <w:noProof/>
          <w:lang w:val="en-GB"/>
        </w:rPr>
        <w:t>Sustainability is the final evaluation criterion that has to be assessed as part of the interim evaluation according to Article 13 of the ISA</w:t>
      </w:r>
      <w:r>
        <w:rPr>
          <w:rFonts w:cs="Times New Roman"/>
          <w:noProof/>
          <w:vertAlign w:val="superscript"/>
          <w:lang w:val="en-GB"/>
        </w:rPr>
        <w:t>2</w:t>
      </w:r>
      <w:r>
        <w:rPr>
          <w:rFonts w:cs="Times New Roman"/>
          <w:noProof/>
          <w:lang w:val="en-GB"/>
        </w:rPr>
        <w:t xml:space="preserve"> Decision. Sustainability measures the likelihood that the results of the ISA² programme last beyond its completion. The below EQ addresses this criterion</w:t>
      </w:r>
      <w:r>
        <w:rPr>
          <w:rFonts w:cs="Times New Roman"/>
          <w:noProof/>
        </w:rPr>
        <w:t>:</w:t>
      </w:r>
    </w:p>
    <w:p>
      <w:pPr>
        <w:pStyle w:val="ListParagraph"/>
        <w:numPr>
          <w:ilvl w:val="0"/>
          <w:numId w:val="21"/>
        </w:numPr>
        <w:spacing w:after="200" w:line="276" w:lineRule="auto"/>
        <w:ind w:left="850"/>
        <w:contextualSpacing w:val="0"/>
        <w:rPr>
          <w:b/>
          <w:noProof/>
        </w:rPr>
      </w:pPr>
      <w:r>
        <w:rPr>
          <w:b/>
          <w:noProof/>
        </w:rPr>
        <w:t>To what extent is the financial, technical and operational sustainability of the developed solutions — maintained and operated through the ISA² programme — ensured?</w:t>
      </w:r>
    </w:p>
    <w:p>
      <w:pPr>
        <w:jc w:val="both"/>
        <w:rPr>
          <w:rFonts w:cs="Times New Roman"/>
          <w:noProof/>
          <w:lang w:val="en-GB"/>
        </w:rPr>
      </w:pPr>
      <w:r>
        <w:rPr>
          <w:rFonts w:cs="Times New Roman"/>
          <w:noProof/>
          <w:lang w:val="en-GB" w:eastAsia="de-DE"/>
        </w:rPr>
        <w:t>The evidence base for assessing the sustainability of ISA</w:t>
      </w:r>
      <w:r>
        <w:rPr>
          <w:rFonts w:cs="Times New Roman"/>
          <w:noProof/>
          <w:vertAlign w:val="superscript"/>
          <w:lang w:val="en-GB" w:eastAsia="de-DE"/>
        </w:rPr>
        <w:t>2</w:t>
      </w:r>
      <w:r>
        <w:rPr>
          <w:rFonts w:cs="Times New Roman"/>
          <w:noProof/>
          <w:lang w:val="en-GB" w:eastAsia="de-DE"/>
        </w:rPr>
        <w:t xml:space="preserve"> consists of primary data collected via the consultation activities, complemented by expert assessment. The evaluation relies on the following judgment criteria:</w:t>
      </w:r>
    </w:p>
    <w:p>
      <w:pPr>
        <w:pStyle w:val="ListParagraph"/>
        <w:numPr>
          <w:ilvl w:val="0"/>
          <w:numId w:val="31"/>
        </w:numPr>
        <w:spacing w:after="120" w:line="276" w:lineRule="auto"/>
        <w:ind w:left="850" w:hanging="737"/>
        <w:contextualSpacing w:val="0"/>
        <w:rPr>
          <w:noProof/>
        </w:rPr>
      </w:pPr>
      <w:r>
        <w:rPr>
          <w:noProof/>
        </w:rPr>
        <w:t>Extent to which the results achieved by the ISA</w:t>
      </w:r>
      <w:r>
        <w:rPr>
          <w:noProof/>
          <w:vertAlign w:val="superscript"/>
        </w:rPr>
        <w:t>2</w:t>
      </w:r>
      <w:r>
        <w:rPr>
          <w:noProof/>
        </w:rPr>
        <w:t xml:space="preserve"> programme are expected to last if funding for the actions covered by the programme would not be available in the future; and</w:t>
      </w:r>
    </w:p>
    <w:p>
      <w:pPr>
        <w:pStyle w:val="ListParagraph"/>
        <w:numPr>
          <w:ilvl w:val="0"/>
          <w:numId w:val="31"/>
        </w:numPr>
        <w:spacing w:after="200" w:line="276" w:lineRule="auto"/>
        <w:ind w:left="850" w:hanging="737"/>
        <w:contextualSpacing w:val="0"/>
        <w:rPr>
          <w:noProof/>
        </w:rPr>
      </w:pPr>
      <w:r>
        <w:rPr>
          <w:noProof/>
        </w:rPr>
        <w:t>Extent to which ‘cost recovery’ solutions could be introduced.</w:t>
      </w:r>
    </w:p>
    <w:p>
      <w:pPr>
        <w:pStyle w:val="Heading3"/>
        <w:rPr>
          <w:noProof/>
          <w:lang w:val="en-GB"/>
        </w:rPr>
      </w:pPr>
      <w:r>
        <w:rPr>
          <w:noProof/>
          <w:lang w:val="en-GB"/>
        </w:rPr>
        <w:t>Analysis</w:t>
      </w:r>
    </w:p>
    <w:p>
      <w:pPr>
        <w:jc w:val="both"/>
        <w:rPr>
          <w:rFonts w:cs="Times New Roman"/>
          <w:b/>
          <w:iCs/>
          <w:noProof/>
          <w:u w:val="single"/>
          <w:lang w:val="en-GB"/>
        </w:rPr>
      </w:pPr>
      <w:r>
        <w:rPr>
          <w:rFonts w:cs="Times New Roman"/>
          <w:b/>
          <w:iCs/>
          <w:noProof/>
          <w:u w:val="single"/>
          <w:lang w:val="en-GB"/>
        </w:rPr>
        <w:t>JC1: Results would last if funding for actions would not be available in the future</w:t>
      </w:r>
    </w:p>
    <w:p>
      <w:pPr>
        <w:jc w:val="both"/>
        <w:rPr>
          <w:rFonts w:cs="Times New Roman"/>
          <w:noProof/>
          <w:lang w:val="en-GB"/>
        </w:rPr>
      </w:pPr>
      <w:r>
        <w:rPr>
          <w:rFonts w:cs="Times New Roman"/>
          <w:noProof/>
          <w:lang w:val="en-GB"/>
        </w:rPr>
        <w:t>This part of the assessment relies on the hypothetical scenario in which, after the completion of ISA</w:t>
      </w:r>
      <w:r>
        <w:rPr>
          <w:rFonts w:cs="Times New Roman"/>
          <w:noProof/>
          <w:vertAlign w:val="superscript"/>
          <w:lang w:val="en-GB"/>
        </w:rPr>
        <w:t>2</w:t>
      </w:r>
      <w:r>
        <w:rPr>
          <w:rFonts w:cs="Times New Roman"/>
          <w:noProof/>
          <w:lang w:val="en-GB"/>
        </w:rPr>
        <w:t xml:space="preserve">, no other similar programme is implemented at the EU level. Overall, the consulted stakeholders tend to have a </w:t>
      </w:r>
      <w:r>
        <w:rPr>
          <w:rFonts w:cs="Times New Roman"/>
          <w:b/>
          <w:noProof/>
          <w:lang w:val="en-GB"/>
        </w:rPr>
        <w:t xml:space="preserve">positive outlook on the sustainability of results achieved so far </w:t>
      </w:r>
      <w:r>
        <w:rPr>
          <w:rFonts w:cs="Times New Roman"/>
          <w:noProof/>
          <w:lang w:val="en-GB"/>
        </w:rPr>
        <w:t>(</w:t>
      </w:r>
      <w:r>
        <w:rPr>
          <w:rFonts w:cs="Times New Roman"/>
          <w:noProof/>
        </w:rPr>
        <w:fldChar w:fldCharType="begin"/>
      </w:r>
      <w:r>
        <w:rPr>
          <w:rFonts w:cs="Times New Roman"/>
          <w:noProof/>
          <w:lang w:val="en-GB"/>
        </w:rPr>
        <w:instrText xml:space="preserve"> REF _Ref9797930 \h  \* MERGEFORMAT </w:instrText>
      </w:r>
      <w:r>
        <w:rPr>
          <w:rFonts w:cs="Times New Roman"/>
          <w:noProof/>
        </w:rPr>
      </w:r>
      <w:r>
        <w:rPr>
          <w:rFonts w:cs="Times New Roman"/>
          <w:noProof/>
        </w:rPr>
        <w:fldChar w:fldCharType="separate"/>
      </w:r>
      <w:r>
        <w:rPr>
          <w:rFonts w:cs="Times New Roman"/>
          <w:noProof/>
          <w:lang w:val="en-GB"/>
        </w:rPr>
        <w:t>Figure 26</w:t>
      </w:r>
      <w:r>
        <w:rPr>
          <w:rFonts w:cs="Times New Roman"/>
          <w:noProof/>
        </w:rPr>
        <w:fldChar w:fldCharType="end"/>
      </w:r>
      <w:r>
        <w:rPr>
          <w:rFonts w:cs="Times New Roman"/>
          <w:noProof/>
          <w:lang w:val="en-GB"/>
        </w:rPr>
        <w:t>), with 79 % of respondents (66 out of 84) believing that the programme results probably or definitely would last in the absence of future funding for the actions currently supported by ISA</w:t>
      </w:r>
      <w:r>
        <w:rPr>
          <w:rFonts w:cs="Times New Roman"/>
          <w:noProof/>
          <w:vertAlign w:val="superscript"/>
          <w:lang w:val="en-GB"/>
        </w:rPr>
        <w:t>2</w:t>
      </w:r>
      <w:r>
        <w:rPr>
          <w:rFonts w:cs="Times New Roman"/>
          <w:noProof/>
          <w:lang w:val="en-GB"/>
        </w:rPr>
        <w:t>.</w:t>
      </w:r>
    </w:p>
    <w:p>
      <w:pPr>
        <w:pStyle w:val="caption2"/>
        <w:rPr>
          <w:rFonts w:cs="Times New Roman"/>
          <w:bCs/>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26</w:t>
      </w:r>
      <w:r>
        <w:rPr>
          <w:rFonts w:cs="Times New Roman"/>
          <w:noProof/>
        </w:rPr>
        <w:fldChar w:fldCharType="end"/>
      </w:r>
      <w:r>
        <w:rPr>
          <w:rFonts w:cs="Times New Roman"/>
          <w:noProof/>
        </w:rPr>
        <w:t xml:space="preserve">: </w:t>
      </w:r>
      <w:r>
        <w:rPr>
          <w:rFonts w:cs="Times New Roman"/>
          <w:bCs/>
          <w:noProof/>
        </w:rPr>
        <w:t>Likelihood that results achieved so far would last if funding for actions covered by the programme would not be available in the future (average score of answers, number of respondents)</w:t>
      </w:r>
    </w:p>
    <w:p>
      <w:pPr>
        <w:jc w:val="both"/>
        <w:rPr>
          <w:rFonts w:cs="Times New Roman"/>
          <w:noProof/>
        </w:rPr>
      </w:pPr>
      <w:r>
        <w:rPr>
          <w:rFonts w:cs="Times New Roman"/>
          <w:noProof/>
          <w:lang w:val="en-GB" w:eastAsia="en-GB"/>
        </w:rPr>
        <w:drawing>
          <wp:inline distT="0" distB="0" distL="0" distR="0">
            <wp:extent cx="5209540" cy="1679944"/>
            <wp:effectExtent l="0" t="0" r="0" b="0"/>
            <wp:docPr id="158" name="Diagramm 4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Notes"/>
        <w:rPr>
          <w:rFonts w:cs="Times New Roman"/>
          <w:noProof/>
        </w:rPr>
      </w:pPr>
      <w:r>
        <w:rPr>
          <w:rFonts w:cs="Times New Roman"/>
          <w:noProof/>
        </w:rPr>
        <w:t>Score: 1 — definitely would not; 2 — probably would not; 3 — probably would; 4 — definitely would.</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16"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 xml:space="preserve">Although the global results of the programme are expected to last (as the progress made in the field of interoperability will not be undone), certain issues may arise when considering the specificities of different solutions and future steps towards interoperability. In fact, 65 % of respondents (55 out of 85) consider that </w:t>
      </w:r>
      <w:r>
        <w:rPr>
          <w:rFonts w:cs="Times New Roman"/>
          <w:b/>
          <w:noProof/>
          <w:lang w:val="en-GB"/>
        </w:rPr>
        <w:t>operations and maintenance costs</w:t>
      </w:r>
      <w:r>
        <w:rPr>
          <w:rStyle w:val="FootnoteReference"/>
          <w:noProof/>
        </w:rPr>
        <w:footnoteReference w:id="93"/>
      </w:r>
      <w:r>
        <w:rPr>
          <w:rFonts w:cs="Times New Roman"/>
          <w:noProof/>
          <w:lang w:val="en-GB"/>
        </w:rPr>
        <w:t xml:space="preserve"> required to run the existing solutions would have a highly or fully negative effect on the ability of solutions to deliver their results once the programme ends. In addition, 56 % (48 out of 85) hold the same opinion about the</w:t>
      </w:r>
      <w:r>
        <w:rPr>
          <w:rFonts w:cs="Times New Roman"/>
          <w:b/>
          <w:noProof/>
          <w:lang w:val="en-GB"/>
        </w:rPr>
        <w:t xml:space="preserve"> technical and operational support</w:t>
      </w:r>
      <w:r>
        <w:rPr>
          <w:rStyle w:val="FootnoteReference"/>
          <w:noProof/>
        </w:rPr>
        <w:footnoteReference w:id="94"/>
      </w:r>
      <w:r>
        <w:rPr>
          <w:rFonts w:cs="Times New Roman"/>
          <w:b/>
          <w:noProof/>
          <w:lang w:val="en-GB"/>
        </w:rPr>
        <w:t xml:space="preserve"> needed</w:t>
      </w:r>
      <w:r>
        <w:rPr>
          <w:rFonts w:cs="Times New Roman"/>
          <w:noProof/>
          <w:lang w:val="en-GB"/>
        </w:rPr>
        <w:t xml:space="preserve"> for the solutions (</w:t>
      </w:r>
      <w:r>
        <w:rPr>
          <w:rFonts w:cs="Times New Roman"/>
          <w:noProof/>
        </w:rPr>
        <w:fldChar w:fldCharType="begin"/>
      </w:r>
      <w:r>
        <w:rPr>
          <w:rFonts w:cs="Times New Roman"/>
          <w:noProof/>
          <w:lang w:val="en-GB"/>
        </w:rPr>
        <w:instrText xml:space="preserve"> REF _Ref9798096 \h  \* MERGEFORMAT </w:instrText>
      </w:r>
      <w:r>
        <w:rPr>
          <w:rFonts w:cs="Times New Roman"/>
          <w:noProof/>
        </w:rPr>
      </w:r>
      <w:r>
        <w:rPr>
          <w:rFonts w:cs="Times New Roman"/>
          <w:noProof/>
        </w:rPr>
        <w:fldChar w:fldCharType="separate"/>
      </w:r>
      <w:r>
        <w:rPr>
          <w:rFonts w:cs="Times New Roman"/>
          <w:noProof/>
          <w:lang w:val="en-GB"/>
        </w:rPr>
        <w:t>Figure 27</w:t>
      </w:r>
      <w:r>
        <w:rPr>
          <w:rFonts w:cs="Times New Roman"/>
          <w:noProof/>
        </w:rPr>
        <w:fldChar w:fldCharType="end"/>
      </w:r>
      <w:r>
        <w:rPr>
          <w:rFonts w:cs="Times New Roman"/>
          <w:noProof/>
          <w:lang w:val="en-GB"/>
        </w:rPr>
        <w:t>).</w:t>
      </w:r>
    </w:p>
    <w:p>
      <w:pPr>
        <w:jc w:val="both"/>
        <w:rPr>
          <w:rFonts w:cs="Times New Roman"/>
          <w:noProof/>
          <w:lang w:val="en-GB"/>
        </w:rPr>
      </w:pPr>
      <w:r>
        <w:rPr>
          <w:rFonts w:cs="Times New Roman"/>
          <w:noProof/>
          <w:lang w:val="en-GB"/>
        </w:rPr>
        <w:t>Beyond these two factors, respondents indicated other aspects that would have a negative effect on the solutions once ISA</w:t>
      </w:r>
      <w:r>
        <w:rPr>
          <w:rFonts w:cs="Times New Roman"/>
          <w:noProof/>
          <w:vertAlign w:val="superscript"/>
          <w:lang w:val="en-GB"/>
        </w:rPr>
        <w:t>2</w:t>
      </w:r>
      <w:r>
        <w:rPr>
          <w:rFonts w:cs="Times New Roman"/>
          <w:noProof/>
          <w:lang w:val="en-GB"/>
        </w:rPr>
        <w:t xml:space="preserve"> came to an end and no other programme replaced it:</w:t>
      </w:r>
    </w:p>
    <w:p>
      <w:pPr>
        <w:pStyle w:val="Firstlevellist"/>
        <w:rPr>
          <w:noProof/>
        </w:rPr>
      </w:pPr>
      <w:r>
        <w:rPr>
          <w:b/>
          <w:noProof/>
        </w:rPr>
        <w:t>Lack of further development for existing solutions</w:t>
      </w:r>
      <w:r>
        <w:rPr>
          <w:noProof/>
        </w:rPr>
        <w:t>. Given the rapid pace of changes in the field of ICT, solutions that do not benefit from continued development support and updating face the risk of becoming obsolete over time. This factor emerged from the consultation activities and was mentioned by the technical experts as well</w:t>
      </w:r>
      <w:r>
        <w:rPr>
          <w:rStyle w:val="FootnoteReference"/>
          <w:noProof/>
        </w:rPr>
        <w:footnoteReference w:id="95"/>
      </w:r>
      <w:r>
        <w:rPr>
          <w:noProof/>
        </w:rPr>
        <w:t>.</w:t>
      </w:r>
    </w:p>
    <w:p>
      <w:pPr>
        <w:numPr>
          <w:ilvl w:val="0"/>
          <w:numId w:val="74"/>
        </w:numPr>
        <w:jc w:val="both"/>
        <w:rPr>
          <w:rFonts w:cs="Times New Roman"/>
          <w:noProof/>
          <w:lang w:val="en-GB"/>
        </w:rPr>
      </w:pPr>
      <w:r>
        <w:rPr>
          <w:rFonts w:cs="Times New Roman"/>
          <w:b/>
          <w:noProof/>
          <w:lang w:val="en-GB"/>
        </w:rPr>
        <w:t>Lack of coordination.</w:t>
      </w:r>
      <w:r>
        <w:rPr>
          <w:rFonts w:cs="Times New Roman"/>
          <w:noProof/>
          <w:lang w:val="en-GB"/>
        </w:rPr>
        <w:t xml:space="preserve"> In the absence of a single programme overseeing the development of solutions, future changes to solutions might lead to diverging results between public administrations or bilateral solutions between countries and a large variety of outcomes. This would be contrary to the goal of achieving a holistic landscape of interoperability in the EU.</w:t>
      </w:r>
    </w:p>
    <w:p>
      <w:pPr>
        <w:numPr>
          <w:ilvl w:val="0"/>
          <w:numId w:val="74"/>
        </w:numPr>
        <w:jc w:val="both"/>
        <w:rPr>
          <w:rFonts w:cs="Times New Roman"/>
          <w:noProof/>
          <w:lang w:val="en-GB"/>
        </w:rPr>
      </w:pPr>
      <w:r>
        <w:rPr>
          <w:rFonts w:cs="Times New Roman"/>
          <w:b/>
          <w:noProof/>
          <w:lang w:val="en-GB"/>
        </w:rPr>
        <w:t>Dissemination and communication.</w:t>
      </w:r>
      <w:r>
        <w:rPr>
          <w:rFonts w:cs="Times New Roman"/>
          <w:noProof/>
          <w:lang w:val="en-GB"/>
        </w:rPr>
        <w:t xml:space="preserve"> ISA</w:t>
      </w:r>
      <w:r>
        <w:rPr>
          <w:rFonts w:cs="Times New Roman"/>
          <w:noProof/>
          <w:vertAlign w:val="superscript"/>
          <w:lang w:val="en-GB"/>
        </w:rPr>
        <w:t>2</w:t>
      </w:r>
      <w:r>
        <w:rPr>
          <w:rFonts w:cs="Times New Roman"/>
          <w:noProof/>
          <w:lang w:val="en-GB"/>
        </w:rPr>
        <w:t xml:space="preserve"> also plays an important role in promoting interoperability and creating a space for discussions on the topic. Without such a programme, the interest in a common approach to interoperability would be jeopardised.</w:t>
      </w:r>
    </w:p>
    <w:p>
      <w:pPr>
        <w:pStyle w:val="caption2"/>
        <w:rPr>
          <w:rFonts w:cs="Times New Roman"/>
          <w:bCs/>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27</w:t>
      </w:r>
      <w:r>
        <w:rPr>
          <w:rFonts w:cs="Times New Roman"/>
          <w:noProof/>
        </w:rPr>
        <w:fldChar w:fldCharType="end"/>
      </w:r>
      <w:r>
        <w:rPr>
          <w:rFonts w:cs="Times New Roman"/>
          <w:noProof/>
        </w:rPr>
        <w:t xml:space="preserve">: </w:t>
      </w:r>
      <w:r>
        <w:rPr>
          <w:rFonts w:cs="Times New Roman"/>
          <w:bCs/>
          <w:noProof/>
        </w:rPr>
        <w:t>Extent to which financial, technical and operational aspects would prevent ISA</w:t>
      </w:r>
      <w:r>
        <w:rPr>
          <w:rFonts w:cs="Times New Roman"/>
          <w:bCs/>
          <w:noProof/>
          <w:vertAlign w:val="superscript"/>
        </w:rPr>
        <w:t>2</w:t>
      </w:r>
      <w:r>
        <w:rPr>
          <w:rFonts w:cs="Times New Roman"/>
          <w:bCs/>
          <w:noProof/>
        </w:rPr>
        <w:t xml:space="preserve"> solutions from delivering their results if the programme was terminated and not replaced (average score of answers, number of respondents)</w:t>
      </w:r>
    </w:p>
    <w:p>
      <w:pPr>
        <w:pStyle w:val="VISUAL"/>
        <w:rPr>
          <w:rFonts w:cs="Times New Roman"/>
          <w:noProof/>
        </w:rPr>
      </w:pPr>
      <w:r>
        <w:rPr>
          <w:rFonts w:cs="Times New Roman"/>
          <w:noProof/>
          <w:lang w:eastAsia="en-GB"/>
        </w:rPr>
        <w:drawing>
          <wp:inline distT="0" distB="0" distL="0" distR="0">
            <wp:extent cx="5731510" cy="3975904"/>
            <wp:effectExtent l="0" t="0" r="2540" b="5715"/>
            <wp:docPr id="159" name="Diagramm 4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i/>
          <w:noProof/>
          <w:sz w:val="20"/>
          <w:szCs w:val="20"/>
          <w:lang w:val="en-GB"/>
        </w:rPr>
      </w:pPr>
      <w:r>
        <w:rPr>
          <w:rFonts w:cs="Times New Roman"/>
          <w:i/>
          <w:noProof/>
          <w:sz w:val="20"/>
          <w:szCs w:val="20"/>
          <w:lang w:val="en-GB"/>
        </w:rPr>
        <w:t xml:space="preserve">Source: </w:t>
      </w:r>
      <w:hyperlink r:id="rId118" w:history="1">
        <w:r>
          <w:rPr>
            <w:rStyle w:val="Hyperlink"/>
            <w:rFonts w:cs="Times New Roman"/>
            <w:i/>
            <w:noProof/>
            <w:sz w:val="20"/>
            <w:szCs w:val="20"/>
            <w:lang w:val="en-GB"/>
          </w:rPr>
          <w:t>CEPS final study</w:t>
        </w:r>
      </w:hyperlink>
    </w:p>
    <w:p>
      <w:pPr>
        <w:jc w:val="both"/>
        <w:rPr>
          <w:rFonts w:cs="Times New Roman"/>
          <w:noProof/>
          <w:lang w:val="en-GB"/>
        </w:rPr>
      </w:pPr>
      <w:r>
        <w:rPr>
          <w:rFonts w:cs="Times New Roman"/>
          <w:noProof/>
          <w:lang w:val="en-GB"/>
        </w:rPr>
        <w:t>The elements presented above explain why 87 % of respondents (75 out of 86) believe that the achievement of the ISA</w:t>
      </w:r>
      <w:r>
        <w:rPr>
          <w:rFonts w:cs="Times New Roman"/>
          <w:noProof/>
          <w:vertAlign w:val="superscript"/>
          <w:lang w:val="en-GB"/>
        </w:rPr>
        <w:t>2</w:t>
      </w:r>
      <w:r>
        <w:rPr>
          <w:rFonts w:cs="Times New Roman"/>
          <w:noProof/>
          <w:lang w:val="en-GB"/>
        </w:rPr>
        <w:t xml:space="preserve"> general objective would — either probably or definitely — be jeopardised should ISA</w:t>
      </w:r>
      <w:r>
        <w:rPr>
          <w:rFonts w:cs="Times New Roman"/>
          <w:noProof/>
          <w:vertAlign w:val="superscript"/>
          <w:lang w:val="en-GB"/>
        </w:rPr>
        <w:t>2</w:t>
      </w:r>
      <w:r>
        <w:rPr>
          <w:rFonts w:cs="Times New Roman"/>
          <w:noProof/>
          <w:lang w:val="en-GB"/>
        </w:rPr>
        <w:t xml:space="preserve"> be terminated without being replaced (</w:t>
      </w:r>
      <w:r>
        <w:rPr>
          <w:rFonts w:cs="Times New Roman"/>
          <w:noProof/>
        </w:rPr>
        <w:fldChar w:fldCharType="begin"/>
      </w:r>
      <w:r>
        <w:rPr>
          <w:rFonts w:cs="Times New Roman"/>
          <w:noProof/>
          <w:lang w:val="en-GB"/>
        </w:rPr>
        <w:instrText xml:space="preserve"> REF _Ref9801658 \h  \* MERGEFORMAT </w:instrText>
      </w:r>
      <w:r>
        <w:rPr>
          <w:rFonts w:cs="Times New Roman"/>
          <w:noProof/>
        </w:rPr>
      </w:r>
      <w:r>
        <w:rPr>
          <w:rFonts w:cs="Times New Roman"/>
          <w:noProof/>
        </w:rPr>
        <w:fldChar w:fldCharType="separate"/>
      </w:r>
      <w:r>
        <w:rPr>
          <w:rFonts w:cs="Times New Roman"/>
          <w:noProof/>
          <w:lang w:val="en-GB"/>
        </w:rPr>
        <w:t>Figure 28</w:t>
      </w:r>
      <w:r>
        <w:rPr>
          <w:rFonts w:cs="Times New Roman"/>
          <w:noProof/>
        </w:rPr>
        <w:fldChar w:fldCharType="end"/>
      </w:r>
      <w:r>
        <w:rPr>
          <w:rFonts w:cs="Times New Roman"/>
          <w:noProof/>
          <w:lang w:val="en-GB"/>
        </w:rPr>
        <w:t>). This confirms that</w:t>
      </w:r>
      <w:r>
        <w:rPr>
          <w:rFonts w:cs="Times New Roman"/>
          <w:noProof/>
          <w:lang w:val="en-GB" w:eastAsia="it-IT"/>
        </w:rPr>
        <w:t xml:space="preserve"> </w:t>
      </w:r>
      <w:r>
        <w:rPr>
          <w:rFonts w:cs="Times New Roman"/>
          <w:b/>
          <w:noProof/>
          <w:lang w:val="en-GB" w:eastAsia="it-IT"/>
        </w:rPr>
        <w:t>the ISA</w:t>
      </w:r>
      <w:r>
        <w:rPr>
          <w:rFonts w:cs="Times New Roman"/>
          <w:b/>
          <w:noProof/>
          <w:vertAlign w:val="superscript"/>
          <w:lang w:val="en-GB" w:eastAsia="it-IT"/>
        </w:rPr>
        <w:t>2</w:t>
      </w:r>
      <w:r>
        <w:rPr>
          <w:rFonts w:cs="Times New Roman"/>
          <w:b/>
          <w:noProof/>
          <w:lang w:val="en-GB" w:eastAsia="it-IT"/>
        </w:rPr>
        <w:t xml:space="preserve"> programme plays a central role in improving the interoperability landscape in the EU</w:t>
      </w:r>
      <w:r>
        <w:rPr>
          <w:rFonts w:cs="Times New Roman"/>
          <w:noProof/>
          <w:lang w:val="en-GB"/>
        </w:rPr>
        <w:t xml:space="preserve"> by promoting the </w:t>
      </w:r>
      <w:r>
        <w:rPr>
          <w:rFonts w:cs="Times New Roman"/>
          <w:noProof/>
          <w:lang w:val="en-GB" w:eastAsia="it-IT"/>
        </w:rPr>
        <w:t>ICT-based modernisation of the public sector in Europe and making it possible to address the needs of businesses and citizens via improved interoperability of European public administrations.</w:t>
      </w:r>
    </w:p>
    <w:p>
      <w:pPr>
        <w:pStyle w:val="caption2"/>
        <w:rPr>
          <w:rFonts w:cs="Times New Roman"/>
          <w:bCs/>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28</w:t>
      </w:r>
      <w:r>
        <w:rPr>
          <w:rFonts w:cs="Times New Roman"/>
          <w:noProof/>
        </w:rPr>
        <w:fldChar w:fldCharType="end"/>
      </w:r>
      <w:r>
        <w:rPr>
          <w:rFonts w:cs="Times New Roman"/>
          <w:noProof/>
        </w:rPr>
        <w:t xml:space="preserve">: </w:t>
      </w:r>
      <w:r>
        <w:rPr>
          <w:rFonts w:cs="Times New Roman"/>
          <w:bCs/>
          <w:noProof/>
        </w:rPr>
        <w:t>Likelihood that the ISA</w:t>
      </w:r>
      <w:r>
        <w:rPr>
          <w:rFonts w:cs="Times New Roman"/>
          <w:bCs/>
          <w:noProof/>
          <w:vertAlign w:val="superscript"/>
        </w:rPr>
        <w:t>2</w:t>
      </w:r>
      <w:r>
        <w:rPr>
          <w:rFonts w:cs="Times New Roman"/>
          <w:bCs/>
          <w:noProof/>
        </w:rPr>
        <w:t xml:space="preserve"> general objective would be jeopardised if the programme was terminated and not replaced (average score of answers, number of respondents)</w:t>
      </w:r>
    </w:p>
    <w:p>
      <w:pPr>
        <w:pStyle w:val="VISUAL"/>
        <w:rPr>
          <w:rFonts w:cs="Times New Roman"/>
          <w:noProof/>
        </w:rPr>
      </w:pPr>
      <w:r>
        <w:rPr>
          <w:rFonts w:cs="Times New Roman"/>
          <w:noProof/>
          <w:lang w:eastAsia="en-GB"/>
        </w:rPr>
        <w:drawing>
          <wp:inline distT="0" distB="0" distL="0" distR="0">
            <wp:extent cx="4927600" cy="1803400"/>
            <wp:effectExtent l="0" t="0" r="6350" b="635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pStyle w:val="Notes"/>
        <w:rPr>
          <w:rFonts w:cs="Times New Roman"/>
          <w:noProof/>
        </w:rPr>
      </w:pPr>
      <w:r>
        <w:rPr>
          <w:rFonts w:cs="Times New Roman"/>
          <w:noProof/>
        </w:rPr>
        <w:t>Score: 1 — definitely would not; 2 — probably would not; 3 — probably would; 4 — definitely would.</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20" w:history="1">
        <w:r>
          <w:rPr>
            <w:rStyle w:val="Hyperlink"/>
            <w:rFonts w:cs="Times New Roman"/>
            <w:i/>
            <w:noProof/>
            <w:sz w:val="20"/>
            <w:szCs w:val="20"/>
            <w:lang w:val="en-GB"/>
          </w:rPr>
          <w:t>CEPS final study</w:t>
        </w:r>
      </w:hyperlink>
    </w:p>
    <w:p>
      <w:pPr>
        <w:jc w:val="both"/>
        <w:rPr>
          <w:rFonts w:cs="Times New Roman"/>
          <w:b/>
          <w:iCs/>
          <w:noProof/>
          <w:u w:val="single"/>
          <w:lang w:val="en-GB"/>
        </w:rPr>
      </w:pPr>
      <w:r>
        <w:rPr>
          <w:rFonts w:cs="Times New Roman"/>
          <w:b/>
          <w:iCs/>
          <w:noProof/>
          <w:u w:val="single"/>
          <w:lang w:val="en-GB"/>
        </w:rPr>
        <w:t>JC2: Cost recovery</w:t>
      </w:r>
    </w:p>
    <w:p>
      <w:pPr>
        <w:jc w:val="both"/>
        <w:rPr>
          <w:rFonts w:cs="Times New Roman"/>
          <w:noProof/>
          <w:lang w:val="en-GB"/>
        </w:rPr>
      </w:pPr>
      <w:r>
        <w:rPr>
          <w:rFonts w:cs="Times New Roman"/>
          <w:noProof/>
          <w:lang w:val="en-GB"/>
        </w:rPr>
        <w:t xml:space="preserve">Given the adverse effects of operational and maintenance costs as well technical and operational support, stakeholders were asked to assess the feasibility of </w:t>
      </w:r>
      <w:r>
        <w:rPr>
          <w:rFonts w:cs="Times New Roman"/>
          <w:b/>
          <w:noProof/>
          <w:lang w:val="en-GB"/>
        </w:rPr>
        <w:t>introducing a fee for users in order to gain access to ISA</w:t>
      </w:r>
      <w:r>
        <w:rPr>
          <w:rFonts w:cs="Times New Roman"/>
          <w:b/>
          <w:noProof/>
          <w:vertAlign w:val="superscript"/>
          <w:lang w:val="en-GB"/>
        </w:rPr>
        <w:t>2</w:t>
      </w:r>
      <w:r>
        <w:rPr>
          <w:rFonts w:cs="Times New Roman"/>
          <w:b/>
          <w:noProof/>
          <w:lang w:val="en-GB"/>
        </w:rPr>
        <w:t xml:space="preserve"> solutions</w:t>
      </w:r>
      <w:r>
        <w:rPr>
          <w:rFonts w:cs="Times New Roman"/>
          <w:noProof/>
          <w:lang w:val="en-GB"/>
        </w:rPr>
        <w:t>, in case funding would no longer be provided for the actions currently carried out by ISA</w:t>
      </w:r>
      <w:r>
        <w:rPr>
          <w:rFonts w:cs="Times New Roman"/>
          <w:noProof/>
          <w:vertAlign w:val="superscript"/>
          <w:lang w:val="en-GB"/>
        </w:rPr>
        <w:t>2</w:t>
      </w:r>
      <w:r>
        <w:rPr>
          <w:rFonts w:cs="Times New Roman"/>
          <w:noProof/>
          <w:lang w:val="en-GB"/>
        </w:rPr>
        <w:t>. Over half of the respondents (47 out of 79) would probably or definitely not pay such a fee, in comparison to 40 % of respondents (32 out of 79) who indicated that they would probably or definitely pay a fee in order to use the solutions (</w:t>
      </w:r>
      <w:r>
        <w:rPr>
          <w:rFonts w:cs="Times New Roman"/>
          <w:noProof/>
        </w:rPr>
        <w:fldChar w:fldCharType="begin"/>
      </w:r>
      <w:r>
        <w:rPr>
          <w:rFonts w:cs="Times New Roman"/>
          <w:noProof/>
          <w:lang w:val="en-GB"/>
        </w:rPr>
        <w:instrText xml:space="preserve"> REF _Ref9800611 \h  \* MERGEFORMAT </w:instrText>
      </w:r>
      <w:r>
        <w:rPr>
          <w:rFonts w:cs="Times New Roman"/>
          <w:noProof/>
        </w:rPr>
      </w:r>
      <w:r>
        <w:rPr>
          <w:rFonts w:cs="Times New Roman"/>
          <w:noProof/>
        </w:rPr>
        <w:fldChar w:fldCharType="separate"/>
      </w:r>
      <w:r>
        <w:rPr>
          <w:rFonts w:cs="Times New Roman"/>
          <w:noProof/>
          <w:lang w:val="en-GB"/>
        </w:rPr>
        <w:t>Figure 29</w:t>
      </w:r>
      <w:r>
        <w:rPr>
          <w:rFonts w:cs="Times New Roman"/>
          <w:noProof/>
        </w:rPr>
        <w:fldChar w:fldCharType="end"/>
      </w:r>
      <w:r>
        <w:rPr>
          <w:rFonts w:cs="Times New Roman"/>
          <w:noProof/>
          <w:lang w:val="en-GB"/>
        </w:rPr>
        <w:t xml:space="preserve">). The main reason underlying these responses is that </w:t>
      </w:r>
      <w:r>
        <w:rPr>
          <w:rFonts w:cs="Times New Roman"/>
          <w:b/>
          <w:noProof/>
          <w:lang w:val="en-GB"/>
        </w:rPr>
        <w:t>users are accustomed to having access to ISA</w:t>
      </w:r>
      <w:r>
        <w:rPr>
          <w:rFonts w:cs="Times New Roman"/>
          <w:b/>
          <w:noProof/>
          <w:vertAlign w:val="superscript"/>
          <w:lang w:val="en-GB"/>
        </w:rPr>
        <w:t>2</w:t>
      </w:r>
      <w:r>
        <w:rPr>
          <w:rFonts w:cs="Times New Roman"/>
          <w:b/>
          <w:noProof/>
          <w:lang w:val="en-GB"/>
        </w:rPr>
        <w:t xml:space="preserve"> solutions free of charge</w:t>
      </w:r>
      <w:r>
        <w:rPr>
          <w:rFonts w:cs="Times New Roman"/>
          <w:noProof/>
          <w:lang w:val="en-GB"/>
        </w:rPr>
        <w:t>. Changing this to a pay-for-access system may lead users to search for other solutions that are open source and free of charge, depending on the level of the fee requested. Nevertheless, for some of the more mature solutions, a fee could be acceptable if the level of take-up is already quite high, making the solution indispensable to some extent.</w:t>
      </w:r>
    </w:p>
    <w:p>
      <w:pPr>
        <w:pStyle w:val="caption2"/>
        <w:rPr>
          <w:rFonts w:cs="Times New Roman"/>
          <w:bCs/>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29</w:t>
      </w:r>
      <w:r>
        <w:rPr>
          <w:rFonts w:cs="Times New Roman"/>
          <w:noProof/>
        </w:rPr>
        <w:fldChar w:fldCharType="end"/>
      </w:r>
      <w:r>
        <w:rPr>
          <w:rFonts w:cs="Times New Roman"/>
          <w:noProof/>
        </w:rPr>
        <w:t xml:space="preserve">: </w:t>
      </w:r>
      <w:r>
        <w:rPr>
          <w:rFonts w:cs="Times New Roman"/>
          <w:bCs/>
          <w:noProof/>
        </w:rPr>
        <w:t>Likelihood that users would agree to pay a fee to continue accessing ISA</w:t>
      </w:r>
      <w:r>
        <w:rPr>
          <w:rFonts w:cs="Times New Roman"/>
          <w:bCs/>
          <w:noProof/>
          <w:vertAlign w:val="superscript"/>
        </w:rPr>
        <w:t>2</w:t>
      </w:r>
      <w:r>
        <w:rPr>
          <w:rFonts w:cs="Times New Roman"/>
          <w:bCs/>
          <w:noProof/>
        </w:rPr>
        <w:t xml:space="preserve"> solutions (average score of answers, number of respondents)</w:t>
      </w:r>
    </w:p>
    <w:p>
      <w:pPr>
        <w:pStyle w:val="VISUAL"/>
        <w:rPr>
          <w:rFonts w:cs="Times New Roman"/>
          <w:noProof/>
        </w:rPr>
      </w:pPr>
      <w:r>
        <w:rPr>
          <w:rFonts w:cs="Times New Roman"/>
          <w:noProof/>
          <w:lang w:eastAsia="en-GB"/>
        </w:rPr>
        <w:drawing>
          <wp:inline distT="0" distB="0" distL="0" distR="0">
            <wp:extent cx="4876800" cy="1593850"/>
            <wp:effectExtent l="0" t="0" r="0" b="635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pStyle w:val="Notes"/>
        <w:rPr>
          <w:rFonts w:cs="Times New Roman"/>
          <w:noProof/>
        </w:rPr>
      </w:pPr>
      <w:r>
        <w:rPr>
          <w:rFonts w:cs="Times New Roman"/>
          <w:noProof/>
        </w:rPr>
        <w:t>Score: 1 — definitely would not; 2 — probably would not; 3 — probably would; 4 — definitely would.</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22" w:history="1">
        <w:r>
          <w:rPr>
            <w:rStyle w:val="Hyperlink"/>
            <w:rFonts w:cs="Times New Roman"/>
            <w:i/>
            <w:noProof/>
            <w:sz w:val="20"/>
            <w:szCs w:val="20"/>
            <w:lang w:val="en-GB"/>
          </w:rPr>
          <w:t>CEPS final study</w:t>
        </w:r>
      </w:hyperlink>
    </w:p>
    <w:p>
      <w:pPr>
        <w:pStyle w:val="Heading3"/>
        <w:rPr>
          <w:noProof/>
          <w:lang w:val="en-GB"/>
        </w:rPr>
      </w:pPr>
      <w:r>
        <w:rPr>
          <w:noProof/>
          <w:lang w:val="en-GB"/>
        </w:rPr>
        <w:t>Answer to the ‘coherence’ EQs</w:t>
      </w:r>
    </w:p>
    <w:p>
      <w:pPr>
        <w:shd w:val="clear" w:color="auto" w:fill="C6D9F1" w:themeFill="text2" w:themeFillTint="33"/>
        <w:jc w:val="both"/>
        <w:rPr>
          <w:rFonts w:cs="Times New Roman"/>
          <w:noProof/>
          <w:lang w:val="en-GB"/>
        </w:rPr>
      </w:pPr>
      <w:r>
        <w:rPr>
          <w:rFonts w:cs="Times New Roman"/>
          <w:noProof/>
          <w:shd w:val="clear" w:color="auto" w:fill="C6D9F1" w:themeFill="text2" w:themeFillTint="33"/>
          <w:lang w:val="en-GB"/>
        </w:rPr>
        <w:t>EQ10: To what extent is the financial, technical and operational sustainability of the developed solutions</w:t>
      </w:r>
      <w:r>
        <w:rPr>
          <w:rFonts w:cs="Times New Roman"/>
          <w:noProof/>
          <w:lang w:val="en-GB"/>
        </w:rPr>
        <w:t xml:space="preserve"> - maintained and operated through the ISA² programme - ensured?</w:t>
      </w:r>
    </w:p>
    <w:p>
      <w:pPr>
        <w:jc w:val="both"/>
        <w:rPr>
          <w:rFonts w:cs="Times New Roman"/>
          <w:noProof/>
          <w:lang w:val="en-GB"/>
        </w:rPr>
      </w:pPr>
      <w:r>
        <w:rPr>
          <w:rFonts w:cs="Times New Roman"/>
          <w:noProof/>
          <w:lang w:val="en-GB"/>
        </w:rPr>
        <w:t xml:space="preserve">Overall, consulted stakeholders tend to have a </w:t>
      </w:r>
      <w:r>
        <w:rPr>
          <w:rFonts w:cs="Times New Roman"/>
          <w:b/>
          <w:noProof/>
          <w:lang w:val="en-GB"/>
        </w:rPr>
        <w:t>positive view of the sustainability of results</w:t>
      </w:r>
      <w:r>
        <w:rPr>
          <w:rFonts w:cs="Times New Roman"/>
          <w:noProof/>
          <w:lang w:val="en-GB"/>
        </w:rPr>
        <w:t xml:space="preserve"> achieved so far. However, while the programme’s global results are expected to last (as the progress made in the field of interoperability will not be lost), certain issues may arise when considering the specificities of different solutions and future steps towards improved interoperability.</w:t>
      </w:r>
    </w:p>
    <w:p>
      <w:pPr>
        <w:jc w:val="both"/>
        <w:rPr>
          <w:rFonts w:cs="Times New Roman"/>
          <w:noProof/>
          <w:lang w:val="en-GB"/>
        </w:rPr>
      </w:pPr>
      <w:r>
        <w:rPr>
          <w:rFonts w:cs="Times New Roman"/>
          <w:noProof/>
          <w:lang w:val="en-GB"/>
        </w:rPr>
        <w:t xml:space="preserve">In fact, there are solutions that require both </w:t>
      </w:r>
      <w:r>
        <w:rPr>
          <w:rFonts w:cs="Times New Roman"/>
          <w:b/>
          <w:noProof/>
          <w:lang w:val="en-GB"/>
        </w:rPr>
        <w:t>operational and maintenance costs</w:t>
      </w:r>
      <w:r>
        <w:rPr>
          <w:rFonts w:cs="Times New Roman"/>
          <w:noProof/>
          <w:lang w:val="en-GB"/>
        </w:rPr>
        <w:t xml:space="preserve"> as well as </w:t>
      </w:r>
      <w:r>
        <w:rPr>
          <w:rFonts w:cs="Times New Roman"/>
          <w:b/>
          <w:noProof/>
          <w:lang w:val="en-GB"/>
        </w:rPr>
        <w:t>technical and operational support</w:t>
      </w:r>
      <w:r>
        <w:rPr>
          <w:rFonts w:cs="Times New Roman"/>
          <w:noProof/>
          <w:lang w:val="en-GB"/>
        </w:rPr>
        <w:t>, which would render the solutions unable to deliver further results if the programme was terminated. Additional obstacles to the programme’s sustainability include the lack of further development for existing solutions; the lack of coordination between national administrations; and the limited dissemination of information and communication about the interoperability of digital public services. Consequently, ISA</w:t>
      </w:r>
      <w:r>
        <w:rPr>
          <w:rFonts w:cs="Times New Roman"/>
          <w:noProof/>
          <w:vertAlign w:val="superscript"/>
          <w:lang w:val="en-GB"/>
        </w:rPr>
        <w:t>2</w:t>
      </w:r>
      <w:r>
        <w:rPr>
          <w:rFonts w:cs="Times New Roman"/>
          <w:noProof/>
          <w:lang w:val="en-GB"/>
        </w:rPr>
        <w:t xml:space="preserve"> should investigate possibilities to increase the sustainability of the results of its existing solutions. It could assess the feasibility and costs of various sustainability measures and invest in them. The programme could for example consider transferring some of its solutions to open source communities or encouraging companies to build services around free ISA</w:t>
      </w:r>
      <w:r>
        <w:rPr>
          <w:rFonts w:cs="Times New Roman"/>
          <w:noProof/>
          <w:vertAlign w:val="superscript"/>
          <w:lang w:val="en-GB"/>
        </w:rPr>
        <w:t>2</w:t>
      </w:r>
      <w:r>
        <w:rPr>
          <w:rFonts w:cs="Times New Roman"/>
          <w:noProof/>
          <w:lang w:val="en-GB"/>
        </w:rPr>
        <w:t xml:space="preserve"> solutions under the European Union Public Licence (EUPL)</w:t>
      </w:r>
      <w:r>
        <w:rPr>
          <w:rStyle w:val="FootnoteReference"/>
          <w:noProof/>
        </w:rPr>
        <w:footnoteReference w:id="96"/>
      </w:r>
      <w:r>
        <w:rPr>
          <w:rFonts w:cs="Times New Roman"/>
          <w:noProof/>
          <w:lang w:val="en-GB"/>
        </w:rPr>
        <w:t>.</w:t>
      </w:r>
    </w:p>
    <w:p>
      <w:pPr>
        <w:jc w:val="both"/>
        <w:rPr>
          <w:rFonts w:cs="Times New Roman"/>
          <w:i/>
          <w:noProof/>
          <w:lang w:val="en-GB" w:eastAsia="it-IT"/>
        </w:rPr>
      </w:pPr>
      <w:r>
        <w:rPr>
          <w:rFonts w:cs="Times New Roman"/>
          <w:noProof/>
          <w:lang w:val="en-GB"/>
        </w:rPr>
        <w:t xml:space="preserve">To conclude, the findings suggest, that </w:t>
      </w:r>
      <w:r>
        <w:rPr>
          <w:rFonts w:cs="Times New Roman"/>
          <w:i/>
          <w:noProof/>
          <w:lang w:val="en-GB" w:eastAsia="it-IT"/>
        </w:rPr>
        <w:t xml:space="preserve">the ICT-based modernisation of the public sector in Europe and the possibility to address the needs of businesses and citizens via improved interoperability of European public administrations </w:t>
      </w:r>
      <w:r>
        <w:rPr>
          <w:rFonts w:cs="Times New Roman"/>
          <w:noProof/>
          <w:lang w:val="en-GB" w:eastAsia="it-IT"/>
        </w:rPr>
        <w:t>— the general objective of ISA</w:t>
      </w:r>
      <w:r>
        <w:rPr>
          <w:rFonts w:cs="Times New Roman"/>
          <w:noProof/>
          <w:vertAlign w:val="superscript"/>
          <w:lang w:val="en-GB" w:eastAsia="it-IT"/>
        </w:rPr>
        <w:t>2</w:t>
      </w:r>
      <w:r>
        <w:rPr>
          <w:rFonts w:cs="Times New Roman"/>
          <w:noProof/>
          <w:lang w:val="en-GB" w:eastAsia="it-IT"/>
        </w:rPr>
        <w:t xml:space="preserve"> — would be jeopardised in the absence of ISA</w:t>
      </w:r>
      <w:r>
        <w:rPr>
          <w:rFonts w:cs="Times New Roman"/>
          <w:noProof/>
          <w:vertAlign w:val="superscript"/>
          <w:lang w:val="en-GB" w:eastAsia="it-IT"/>
        </w:rPr>
        <w:t>2</w:t>
      </w:r>
      <w:r>
        <w:rPr>
          <w:rFonts w:cs="Times New Roman"/>
          <w:noProof/>
          <w:lang w:val="en-GB" w:eastAsia="it-IT"/>
        </w:rPr>
        <w:t xml:space="preserve"> or any similar EU initiative. The consulted stakeholders’ reluctance to pay for </w:t>
      </w:r>
      <w:r>
        <w:rPr>
          <w:rFonts w:cs="Times New Roman"/>
          <w:noProof/>
          <w:lang w:val="en-GB"/>
        </w:rPr>
        <w:t>ISA</w:t>
      </w:r>
      <w:r>
        <w:rPr>
          <w:rFonts w:cs="Times New Roman"/>
          <w:noProof/>
          <w:vertAlign w:val="superscript"/>
          <w:lang w:val="en-GB"/>
        </w:rPr>
        <w:t xml:space="preserve">2 </w:t>
      </w:r>
      <w:r>
        <w:rPr>
          <w:rFonts w:cs="Times New Roman"/>
          <w:noProof/>
          <w:lang w:val="en-GB"/>
        </w:rPr>
        <w:t>solutions makes this conclusion even more probable.</w:t>
      </w:r>
    </w:p>
    <w:p>
      <w:pPr>
        <w:jc w:val="both"/>
        <w:rPr>
          <w:rFonts w:cs="Times New Roman"/>
          <w:noProof/>
          <w:lang w:val="en-GB"/>
        </w:rPr>
        <w:sectPr>
          <w:headerReference w:type="even" r:id="rId123"/>
          <w:headerReference w:type="default" r:id="rId124"/>
          <w:footerReference w:type="even" r:id="rId125"/>
          <w:footerReference w:type="default" r:id="rId126"/>
          <w:headerReference w:type="first" r:id="rId127"/>
          <w:footerReference w:type="first" r:id="rId128"/>
          <w:pgSz w:w="11906" w:h="16838"/>
          <w:pgMar w:top="1020" w:right="1701" w:bottom="1020" w:left="1587" w:header="601" w:footer="1077" w:gutter="0"/>
          <w:cols w:space="720"/>
          <w:titlePg/>
        </w:sectPr>
      </w:pPr>
    </w:p>
    <w:p>
      <w:pPr>
        <w:pStyle w:val="Heading1"/>
        <w:rPr>
          <w:noProof/>
        </w:rPr>
      </w:pPr>
      <w:bookmarkStart w:id="21" w:name="_Toc14708144"/>
      <w:r>
        <w:rPr>
          <w:noProof/>
        </w:rPr>
        <w:t>Conclusions</w:t>
      </w:r>
      <w:bookmarkEnd w:id="21"/>
    </w:p>
    <w:p>
      <w:pPr>
        <w:pStyle w:val="Heading2"/>
        <w:rPr>
          <w:noProof/>
        </w:rPr>
      </w:pPr>
      <w:bookmarkStart w:id="22" w:name="_Toc14708145"/>
      <w:r>
        <w:rPr>
          <w:noProof/>
        </w:rPr>
        <w:t>Context</w:t>
      </w:r>
      <w:bookmarkEnd w:id="22"/>
    </w:p>
    <w:p>
      <w:pPr>
        <w:jc w:val="both"/>
        <w:rPr>
          <w:rFonts w:cs="Times New Roman"/>
          <w:noProof/>
          <w:lang w:val="en-GB"/>
        </w:rPr>
      </w:pPr>
      <w:r>
        <w:rPr>
          <w:rFonts w:cs="Times New Roman"/>
          <w:noProof/>
          <w:lang w:val="en-GB"/>
        </w:rPr>
        <w:t>ISA</w:t>
      </w:r>
      <w:r>
        <w:rPr>
          <w:rFonts w:cs="Times New Roman"/>
          <w:noProof/>
          <w:vertAlign w:val="superscript"/>
          <w:lang w:val="en-GB"/>
        </w:rPr>
        <w:t>2</w:t>
      </w:r>
      <w:r>
        <w:rPr>
          <w:rFonts w:cs="Times New Roman"/>
          <w:noProof/>
          <w:lang w:val="en-GB"/>
        </w:rPr>
        <w:t xml:space="preserve"> is a European funding programme offering interoperability solutions and common frameworks for European public administrations, businesses and citizens. It is the fifth in</w:t>
      </w:r>
      <w:r>
        <w:rPr>
          <w:rFonts w:cs="Times New Roman"/>
          <w:b/>
          <w:noProof/>
          <w:lang w:val="en-GB"/>
        </w:rPr>
        <w:t xml:space="preserve"> </w:t>
      </w:r>
      <w:r>
        <w:rPr>
          <w:rFonts w:cs="Times New Roman"/>
          <w:noProof/>
          <w:lang w:val="en-GB"/>
        </w:rPr>
        <w:t>a series of European instruments fostering interoperability in the European public sector since 1995. It follows the ISA programme, which terminated in 2015, and covers the 2016-2020 period.</w:t>
      </w:r>
    </w:p>
    <w:p>
      <w:pPr>
        <w:jc w:val="both"/>
        <w:rPr>
          <w:rFonts w:cs="Times New Roman"/>
          <w:noProof/>
          <w:lang w:val="en-GB"/>
        </w:rPr>
      </w:pPr>
      <w:r>
        <w:rPr>
          <w:rFonts w:cs="Times New Roman"/>
          <w:noProof/>
          <w:lang w:val="en-GB"/>
        </w:rPr>
        <w:t>ISA</w:t>
      </w:r>
      <w:r>
        <w:rPr>
          <w:rFonts w:cs="Times New Roman"/>
          <w:noProof/>
          <w:vertAlign w:val="superscript"/>
          <w:lang w:val="en-GB"/>
        </w:rPr>
        <w:t>2</w:t>
      </w:r>
      <w:r>
        <w:rPr>
          <w:rFonts w:cs="Times New Roman"/>
          <w:noProof/>
          <w:lang w:val="en-GB"/>
        </w:rPr>
        <w:t xml:space="preserve"> was established by Decision (EU) 2015/2240 of the European Parliament and of the Council (‘ISA</w:t>
      </w:r>
      <w:r>
        <w:rPr>
          <w:rFonts w:cs="Times New Roman"/>
          <w:noProof/>
          <w:vertAlign w:val="superscript"/>
          <w:lang w:val="en-GB"/>
        </w:rPr>
        <w:t>2</w:t>
      </w:r>
      <w:r>
        <w:rPr>
          <w:rFonts w:cs="Times New Roman"/>
          <w:noProof/>
          <w:lang w:val="en-GB"/>
        </w:rPr>
        <w:t xml:space="preserve"> Decision’), which legally requires the European Commission to carry out an interim evaluation of the programme by 30 September 2019, and to communicate the results.</w:t>
      </w:r>
    </w:p>
    <w:p>
      <w:pPr>
        <w:pStyle w:val="Heading2"/>
        <w:rPr>
          <w:noProof/>
        </w:rPr>
      </w:pPr>
      <w:bookmarkStart w:id="23" w:name="_Toc14708146"/>
      <w:r>
        <w:rPr>
          <w:noProof/>
        </w:rPr>
        <w:t>Method</w:t>
      </w:r>
      <w:bookmarkEnd w:id="23"/>
    </w:p>
    <w:p>
      <w:pPr>
        <w:jc w:val="both"/>
        <w:rPr>
          <w:rFonts w:cs="Times New Roman"/>
          <w:noProof/>
          <w:lang w:val="en-GB"/>
        </w:rPr>
      </w:pPr>
      <w:r>
        <w:rPr>
          <w:rFonts w:cs="Times New Roman"/>
          <w:noProof/>
          <w:lang w:val="en-GB"/>
        </w:rPr>
        <w:t>Work on the evaluation started in Q2 2018 with the involvement of interested Commission services, who discussed and outlined the evaluation design. External experts supported the evaluation process as well by finalising the evaluation design, collecting, validating and analysing data, and summarising their findings in an independent evaluation study</w:t>
      </w:r>
      <w:r>
        <w:rPr>
          <w:rStyle w:val="FootnoteReference"/>
          <w:noProof/>
        </w:rPr>
        <w:footnoteReference w:id="97"/>
      </w:r>
      <w:r>
        <w:rPr>
          <w:rFonts w:cs="Times New Roman"/>
          <w:noProof/>
          <w:lang w:val="en-GB"/>
        </w:rPr>
        <w:t>.</w:t>
      </w:r>
    </w:p>
    <w:p>
      <w:pPr>
        <w:jc w:val="both"/>
        <w:rPr>
          <w:rFonts w:cs="Times New Roman"/>
          <w:noProof/>
          <w:lang w:val="en-GB"/>
        </w:rPr>
      </w:pPr>
      <w:r>
        <w:rPr>
          <w:rFonts w:cs="Times New Roman"/>
          <w:noProof/>
          <w:lang w:val="en-GB"/>
        </w:rPr>
        <w:t>The agreed evaluation framework (</w:t>
      </w:r>
      <w:r>
        <w:rPr>
          <w:rFonts w:cs="Times New Roman"/>
          <w:noProof/>
        </w:rPr>
        <w:fldChar w:fldCharType="begin"/>
      </w:r>
      <w:r>
        <w:rPr>
          <w:rFonts w:cs="Times New Roman"/>
          <w:noProof/>
          <w:lang w:val="en-GB"/>
        </w:rPr>
        <w:instrText xml:space="preserve"> REF _Ref9341586 \h  \* MERGEFORMAT </w:instrText>
      </w:r>
      <w:r>
        <w:rPr>
          <w:rFonts w:cs="Times New Roman"/>
          <w:noProof/>
        </w:rPr>
      </w:r>
      <w:r>
        <w:rPr>
          <w:rFonts w:cs="Times New Roman"/>
          <w:noProof/>
        </w:rPr>
        <w:fldChar w:fldCharType="separate"/>
      </w:r>
      <w:r>
        <w:rPr>
          <w:rFonts w:cs="Times New Roman"/>
          <w:noProof/>
          <w:lang w:val="en-GB"/>
        </w:rPr>
        <w:t>Annex 4</w:t>
      </w:r>
      <w:r>
        <w:rPr>
          <w:rFonts w:cs="Times New Roman"/>
          <w:noProof/>
        </w:rPr>
        <w:fldChar w:fldCharType="end"/>
      </w:r>
      <w:r>
        <w:rPr>
          <w:rFonts w:cs="Times New Roman"/>
          <w:noProof/>
          <w:lang w:val="en-GB"/>
        </w:rPr>
        <w:t xml:space="preserve">) covered all </w:t>
      </w:r>
      <w:r>
        <w:rPr>
          <w:rFonts w:cs="Times New Roman"/>
          <w:b/>
          <w:noProof/>
          <w:lang w:val="en-GB"/>
        </w:rPr>
        <w:t>seven evaluation criteria</w:t>
      </w:r>
      <w:r>
        <w:rPr>
          <w:rFonts w:cs="Times New Roman"/>
          <w:noProof/>
          <w:lang w:val="en-GB"/>
        </w:rPr>
        <w:t xml:space="preserve"> identified by the ISA</w:t>
      </w:r>
      <w:r>
        <w:rPr>
          <w:rFonts w:cs="Times New Roman"/>
          <w:noProof/>
          <w:vertAlign w:val="superscript"/>
          <w:lang w:val="en-GB"/>
        </w:rPr>
        <w:t>2</w:t>
      </w:r>
      <w:r>
        <w:rPr>
          <w:rFonts w:cs="Times New Roman"/>
          <w:noProof/>
          <w:lang w:val="en-GB"/>
        </w:rPr>
        <w:t xml:space="preserve"> Decision, namely: relevance, effectiveness, efficiency, coherence, EU added value, utility and sustainability. It also described the evaluation questions and related judgment criteria for each evaluation criterion, together with the data sources and data collection methods. For data collection, the evaluation relied on </w:t>
      </w:r>
      <w:r>
        <w:rPr>
          <w:rFonts w:cs="Times New Roman"/>
          <w:b/>
          <w:noProof/>
          <w:lang w:val="en-GB"/>
        </w:rPr>
        <w:t>both primary data</w:t>
      </w:r>
      <w:r>
        <w:rPr>
          <w:rFonts w:cs="Times New Roman"/>
          <w:noProof/>
          <w:lang w:val="en-GB"/>
        </w:rPr>
        <w:t xml:space="preserve"> gathered through stakeholder consultation activities </w:t>
      </w:r>
      <w:r>
        <w:rPr>
          <w:rFonts w:cs="Times New Roman"/>
          <w:b/>
          <w:noProof/>
          <w:lang w:val="en-GB"/>
        </w:rPr>
        <w:t>and secondary data</w:t>
      </w:r>
      <w:r>
        <w:rPr>
          <w:rFonts w:cs="Times New Roman"/>
          <w:noProof/>
          <w:lang w:val="en-GB"/>
        </w:rPr>
        <w:t xml:space="preserve"> collected via desk research between November 2018 and March 2019 (Chapter 4).</w:t>
      </w:r>
    </w:p>
    <w:p>
      <w:pPr>
        <w:jc w:val="both"/>
        <w:rPr>
          <w:rFonts w:cs="Times New Roman"/>
          <w:b/>
          <w:noProof/>
          <w:lang w:val="en-GB"/>
        </w:rPr>
      </w:pPr>
      <w:r>
        <w:rPr>
          <w:rFonts w:cs="Times New Roman"/>
          <w:noProof/>
          <w:lang w:val="en-GB"/>
        </w:rPr>
        <w:t xml:space="preserve">Although the evaluation was able to draw robust conclusions for all evaluation criteria based on the collected data, there were </w:t>
      </w:r>
      <w:r>
        <w:rPr>
          <w:rFonts w:cs="Times New Roman"/>
          <w:b/>
          <w:noProof/>
          <w:lang w:val="en-GB"/>
        </w:rPr>
        <w:t xml:space="preserve">two limitations: </w:t>
      </w:r>
    </w:p>
    <w:p>
      <w:pPr>
        <w:jc w:val="both"/>
        <w:rPr>
          <w:rFonts w:cs="Times New Roman"/>
          <w:noProof/>
          <w:lang w:val="en-GB"/>
        </w:rPr>
      </w:pPr>
      <w:r>
        <w:rPr>
          <w:rFonts w:cs="Times New Roman"/>
          <w:b/>
          <w:noProof/>
          <w:lang w:val="en-GB"/>
        </w:rPr>
        <w:t>1) Timing.</w:t>
      </w:r>
      <w:r>
        <w:rPr>
          <w:rFonts w:cs="Times New Roman"/>
          <w:noProof/>
          <w:lang w:val="en-GB"/>
        </w:rPr>
        <w:t xml:space="preserve"> As this is an interim</w:t>
      </w:r>
      <w:r>
        <w:rPr>
          <w:rFonts w:cs="Times New Roman"/>
          <w:b/>
          <w:noProof/>
          <w:lang w:val="en-GB"/>
        </w:rPr>
        <w:t xml:space="preserve"> </w:t>
      </w:r>
      <w:r>
        <w:rPr>
          <w:rFonts w:cs="Times New Roman"/>
          <w:noProof/>
          <w:lang w:val="en-GB"/>
        </w:rPr>
        <w:t>evaluation, the analysis covered only the first three years of the programme (2016, 2017 and 2018). The ongoing ISA</w:t>
      </w:r>
      <w:r>
        <w:rPr>
          <w:rFonts w:cs="Times New Roman"/>
          <w:noProof/>
          <w:vertAlign w:val="superscript"/>
          <w:lang w:val="en-GB"/>
        </w:rPr>
        <w:t>2</w:t>
      </w:r>
      <w:r>
        <w:rPr>
          <w:rFonts w:cs="Times New Roman"/>
          <w:noProof/>
          <w:lang w:val="en-GB"/>
        </w:rPr>
        <w:t xml:space="preserve"> actions are expected to produce further results in the coming years, which will influence the programme’s overall achievement of objectives. </w:t>
      </w:r>
    </w:p>
    <w:p>
      <w:pPr>
        <w:jc w:val="both"/>
        <w:rPr>
          <w:rFonts w:cs="Times New Roman"/>
          <w:noProof/>
          <w:lang w:val="en-GB"/>
        </w:rPr>
      </w:pPr>
      <w:r>
        <w:rPr>
          <w:rFonts w:cs="Times New Roman"/>
          <w:b/>
          <w:noProof/>
          <w:lang w:val="en-GB"/>
        </w:rPr>
        <w:t>2) Reach.</w:t>
      </w:r>
      <w:r>
        <w:rPr>
          <w:rFonts w:cs="Times New Roman"/>
          <w:noProof/>
          <w:lang w:val="en-GB"/>
        </w:rPr>
        <w:t xml:space="preserve"> ISA</w:t>
      </w:r>
      <w:r>
        <w:rPr>
          <w:rFonts w:cs="Times New Roman"/>
          <w:noProof/>
          <w:vertAlign w:val="superscript"/>
          <w:lang w:val="en-GB"/>
        </w:rPr>
        <w:t>2</w:t>
      </w:r>
      <w:r>
        <w:rPr>
          <w:rFonts w:cs="Times New Roman"/>
          <w:noProof/>
          <w:lang w:val="en-GB"/>
        </w:rPr>
        <w:t xml:space="preserve"> is a very technical programme, and mainly involves interoperability experts. This explains the rather low participation in the stakeholder consultation activities. Another reason stems from the stringent confidentiality and data protection rules: without their specific consent, the evaluation team could approach ISA</w:t>
      </w:r>
      <w:r>
        <w:rPr>
          <w:rFonts w:cs="Times New Roman"/>
          <w:noProof/>
          <w:vertAlign w:val="superscript"/>
          <w:lang w:val="en-GB"/>
        </w:rPr>
        <w:t xml:space="preserve">2 </w:t>
      </w:r>
      <w:r>
        <w:rPr>
          <w:rFonts w:cs="Times New Roman"/>
          <w:noProof/>
          <w:lang w:val="en-GB"/>
        </w:rPr>
        <w:t>solution users only through the action owners acting as intermediaries.</w:t>
      </w:r>
    </w:p>
    <w:p>
      <w:pPr>
        <w:pStyle w:val="Heading2"/>
        <w:rPr>
          <w:noProof/>
        </w:rPr>
      </w:pPr>
      <w:bookmarkStart w:id="24" w:name="_Toc14708147"/>
      <w:r>
        <w:rPr>
          <w:noProof/>
        </w:rPr>
        <w:t>Findings</w:t>
      </w:r>
      <w:bookmarkEnd w:id="24"/>
    </w:p>
    <w:p>
      <w:pPr>
        <w:jc w:val="both"/>
        <w:rPr>
          <w:rFonts w:cs="Times New Roman"/>
          <w:noProof/>
          <w:lang w:val="en-GB"/>
        </w:rPr>
      </w:pPr>
      <w:r>
        <w:rPr>
          <w:rFonts w:cs="Times New Roman"/>
          <w:noProof/>
          <w:lang w:val="en-GB"/>
        </w:rPr>
        <w:t xml:space="preserve">Based on data collected from 129 consulted stakeholders, extensive desk research, and expert assessments, the interim evaluation confirms that </w:t>
      </w:r>
      <w:r>
        <w:rPr>
          <w:rFonts w:cs="Times New Roman"/>
          <w:b/>
          <w:noProof/>
          <w:lang w:val="en-GB"/>
        </w:rPr>
        <w:t>ISA</w:t>
      </w:r>
      <w:r>
        <w:rPr>
          <w:rFonts w:cs="Times New Roman"/>
          <w:b/>
          <w:noProof/>
          <w:vertAlign w:val="superscript"/>
          <w:lang w:val="en-GB"/>
        </w:rPr>
        <w:t>2</w:t>
      </w:r>
      <w:r>
        <w:rPr>
          <w:rFonts w:cs="Times New Roman"/>
          <w:b/>
          <w:noProof/>
          <w:lang w:val="en-GB"/>
        </w:rPr>
        <w:t xml:space="preserve"> performs well in all the evaluation criteria</w:t>
      </w:r>
      <w:r>
        <w:rPr>
          <w:rFonts w:cs="Times New Roman"/>
          <w:noProof/>
          <w:lang w:val="en-GB"/>
        </w:rPr>
        <w:t xml:space="preserve">. Nonetheless, some additional measures could be taken to improve the performance of </w:t>
      </w:r>
      <w:r>
        <w:rPr>
          <w:rFonts w:cs="Times New Roman"/>
          <w:bCs/>
          <w:noProof/>
          <w:lang w:val="en-GB"/>
        </w:rPr>
        <w:t>ISA</w:t>
      </w:r>
      <w:r>
        <w:rPr>
          <w:rFonts w:cs="Times New Roman"/>
          <w:bCs/>
          <w:noProof/>
          <w:vertAlign w:val="superscript"/>
          <w:lang w:val="en-GB"/>
        </w:rPr>
        <w:t>2</w:t>
      </w:r>
      <w:r>
        <w:rPr>
          <w:rFonts w:cs="Times New Roman"/>
          <w:noProof/>
          <w:lang w:val="en-GB"/>
        </w:rPr>
        <w:t xml:space="preserve"> and </w:t>
      </w:r>
      <w:r>
        <w:rPr>
          <w:rFonts w:cs="Times New Roman"/>
          <w:noProof/>
          <w:lang w:val="en-GB" w:eastAsia="it-IT"/>
        </w:rPr>
        <w:t xml:space="preserve">any future EU programme dedicated to interoperability; these are </w:t>
      </w:r>
      <w:r>
        <w:rPr>
          <w:rFonts w:cs="Times New Roman"/>
          <w:noProof/>
          <w:lang w:val="en-GB"/>
        </w:rPr>
        <w:t>presented below.</w:t>
      </w:r>
    </w:p>
    <w:p>
      <w:pPr>
        <w:jc w:val="both"/>
        <w:rPr>
          <w:rFonts w:cs="Times New Roman"/>
          <w:noProof/>
          <w:lang w:val="en-GB"/>
        </w:rPr>
      </w:pPr>
      <w:r>
        <w:rPr>
          <w:rFonts w:cs="Times New Roman"/>
          <w:b/>
          <w:noProof/>
          <w:lang w:val="en-GB"/>
        </w:rPr>
        <w:t>Relevance.</w:t>
      </w:r>
      <w:r>
        <w:rPr>
          <w:rFonts w:cs="Times New Roman"/>
          <w:noProof/>
          <w:lang w:val="en-GB"/>
        </w:rPr>
        <w:t xml:space="preserve"> The original needs and problems that the programme intended to address are still fully relevant and the objectives of ISA</w:t>
      </w:r>
      <w:r>
        <w:rPr>
          <w:rFonts w:cs="Times New Roman"/>
          <w:noProof/>
          <w:vertAlign w:val="superscript"/>
          <w:lang w:val="en-GB"/>
        </w:rPr>
        <w:t>2</w:t>
      </w:r>
      <w:r>
        <w:rPr>
          <w:rFonts w:cs="Times New Roman"/>
          <w:noProof/>
          <w:lang w:val="en-GB"/>
        </w:rPr>
        <w:t xml:space="preserve"> address them. Some stakeholders, however, experience a number of additional needs (like a more prescriptive approach to designing interoperable public services) and problems (including resource constraints), which ISA</w:t>
      </w:r>
      <w:r>
        <w:rPr>
          <w:rFonts w:cs="Times New Roman"/>
          <w:noProof/>
          <w:vertAlign w:val="superscript"/>
          <w:lang w:val="en-GB"/>
        </w:rPr>
        <w:t>2</w:t>
      </w:r>
      <w:r>
        <w:rPr>
          <w:rFonts w:cs="Times New Roman"/>
          <w:noProof/>
          <w:lang w:val="en-GB"/>
        </w:rPr>
        <w:t xml:space="preserve"> can address only partially. One additional need that deserves special attention is the request to ensure more collaboration and exchanges with regional and local administrations in order to increase awareness of interoperability and the take-up of ISA</w:t>
      </w:r>
      <w:r>
        <w:rPr>
          <w:rFonts w:cs="Times New Roman"/>
          <w:noProof/>
          <w:vertAlign w:val="superscript"/>
          <w:lang w:val="en-GB"/>
        </w:rPr>
        <w:t>2</w:t>
      </w:r>
      <w:r>
        <w:rPr>
          <w:rFonts w:cs="Times New Roman"/>
          <w:noProof/>
          <w:lang w:val="en-GB"/>
        </w:rPr>
        <w:t xml:space="preserve"> solutions at the sub-national level.</w:t>
      </w:r>
    </w:p>
    <w:p>
      <w:pPr>
        <w:jc w:val="both"/>
        <w:rPr>
          <w:rFonts w:cs="Times New Roman"/>
          <w:iCs/>
          <w:noProof/>
          <w:lang w:val="en-GB"/>
        </w:rPr>
      </w:pPr>
      <w:r>
        <w:rPr>
          <w:rFonts w:cs="Times New Roman"/>
          <w:b/>
          <w:iCs/>
          <w:noProof/>
          <w:lang w:val="en-GB"/>
        </w:rPr>
        <w:t>Effectiveness.</w:t>
      </w:r>
      <w:r>
        <w:rPr>
          <w:rFonts w:cs="Times New Roman"/>
          <w:iCs/>
          <w:noProof/>
          <w:lang w:val="en-GB"/>
        </w:rPr>
        <w:t xml:space="preserve"> The results that ISA</w:t>
      </w:r>
      <w:r>
        <w:rPr>
          <w:rFonts w:cs="Times New Roman"/>
          <w:iCs/>
          <w:noProof/>
          <w:vertAlign w:val="superscript"/>
          <w:lang w:val="en-GB"/>
        </w:rPr>
        <w:t xml:space="preserve">2 </w:t>
      </w:r>
      <w:r>
        <w:rPr>
          <w:rFonts w:cs="Times New Roman"/>
          <w:iCs/>
          <w:noProof/>
          <w:lang w:val="en-GB"/>
        </w:rPr>
        <w:t>has achieved so far are aligned with its objectives. T</w:t>
      </w:r>
      <w:r>
        <w:rPr>
          <w:rFonts w:cs="Times New Roman"/>
          <w:bCs/>
          <w:noProof/>
          <w:lang w:val="en-GB"/>
        </w:rPr>
        <w:t xml:space="preserve">he 20 sampled actions that were evaluated have so far generated 35 solutions, some of which are used by all 28 EU Member States as well as by EU institutions. </w:t>
      </w:r>
      <w:r>
        <w:rPr>
          <w:rFonts w:cs="Times New Roman"/>
          <w:iCs/>
          <w:noProof/>
          <w:lang w:val="en-GB"/>
        </w:rPr>
        <w:t>Nevertheless, the programme has not realised all the expected results yet, because most of its actions are still ongoing and solutions are still being developed. The programme’s duration also influences the take-up rate of solutions. Actions continued from previous editions of the programme have produced solutions that are now more widely used than solutions resulting from actions started under ISA</w:t>
      </w:r>
      <w:r>
        <w:rPr>
          <w:rFonts w:cs="Times New Roman"/>
          <w:iCs/>
          <w:noProof/>
          <w:vertAlign w:val="superscript"/>
          <w:lang w:val="en-GB"/>
        </w:rPr>
        <w:t>2</w:t>
      </w:r>
      <w:r>
        <w:rPr>
          <w:rFonts w:cs="Times New Roman"/>
          <w:iCs/>
          <w:noProof/>
          <w:lang w:val="en-GB"/>
        </w:rPr>
        <w:t>.</w:t>
      </w:r>
    </w:p>
    <w:p>
      <w:pPr>
        <w:jc w:val="both"/>
        <w:rPr>
          <w:rFonts w:cs="Times New Roman"/>
          <w:iCs/>
          <w:noProof/>
          <w:lang w:val="en-GB"/>
        </w:rPr>
      </w:pPr>
      <w:r>
        <w:rPr>
          <w:rFonts w:cs="Times New Roman"/>
          <w:iCs/>
          <w:noProof/>
          <w:lang w:val="en-GB"/>
        </w:rPr>
        <w:t>There is one specific ISA</w:t>
      </w:r>
      <w:r>
        <w:rPr>
          <w:rFonts w:cs="Times New Roman"/>
          <w:iCs/>
          <w:noProof/>
          <w:vertAlign w:val="superscript"/>
          <w:lang w:val="en-GB"/>
        </w:rPr>
        <w:t xml:space="preserve">2 </w:t>
      </w:r>
      <w:r>
        <w:rPr>
          <w:rFonts w:cs="Times New Roman"/>
          <w:iCs/>
          <w:noProof/>
          <w:lang w:val="en-GB"/>
        </w:rPr>
        <w:t>objective where the evaluation found that the programme on its own is less effective: the development of a more effective, simplified and user-friendly e-administration at the national, regional and local level. Here Member States can in fact have a great impact, and complement the EU-level initiatives on interoperability and digitalisation.</w:t>
      </w:r>
    </w:p>
    <w:p>
      <w:pPr>
        <w:jc w:val="both"/>
        <w:rPr>
          <w:rFonts w:cs="Times New Roman"/>
          <w:iCs/>
          <w:noProof/>
          <w:lang w:val="en-GB"/>
        </w:rPr>
      </w:pPr>
      <w:r>
        <w:rPr>
          <w:rFonts w:cs="Times New Roman"/>
          <w:iCs/>
          <w:noProof/>
          <w:lang w:val="en-GB"/>
        </w:rPr>
        <w:t>As regards external factors, they have a mixed impact on ISA</w:t>
      </w:r>
      <w:r>
        <w:rPr>
          <w:rFonts w:cs="Times New Roman"/>
          <w:iCs/>
          <w:noProof/>
          <w:vertAlign w:val="superscript"/>
          <w:lang w:val="en-GB"/>
        </w:rPr>
        <w:t>2</w:t>
      </w:r>
      <w:r>
        <w:rPr>
          <w:rFonts w:cs="Times New Roman"/>
          <w:iCs/>
          <w:noProof/>
          <w:lang w:val="en-GB"/>
        </w:rPr>
        <w:t>. They can improve but also jeopardise the way in which the programme achieves its objectives and delivers its results.</w:t>
      </w:r>
    </w:p>
    <w:p>
      <w:pPr>
        <w:jc w:val="both"/>
        <w:rPr>
          <w:rFonts w:cs="Times New Roman"/>
          <w:iCs/>
          <w:noProof/>
          <w:lang w:val="en-GB"/>
        </w:rPr>
      </w:pPr>
      <w:r>
        <w:rPr>
          <w:rFonts w:cs="Times New Roman"/>
          <w:iCs/>
          <w:noProof/>
          <w:lang w:val="en-GB"/>
        </w:rPr>
        <w:t>When it comes to communication and awareness-raising activities, the evaluation results suggest that ISA</w:t>
      </w:r>
      <w:r>
        <w:rPr>
          <w:rFonts w:cs="Times New Roman"/>
          <w:iCs/>
          <w:noProof/>
          <w:vertAlign w:val="superscript"/>
          <w:lang w:val="en-GB"/>
        </w:rPr>
        <w:t>2</w:t>
      </w:r>
      <w:r>
        <w:rPr>
          <w:rFonts w:cs="Times New Roman"/>
          <w:iCs/>
          <w:noProof/>
          <w:lang w:val="en-GB"/>
        </w:rPr>
        <w:t xml:space="preserve"> duly acted upon the recommendation of the final ISA evaluation and increased the general awareness of the programme through its dedicated communication efforts. Still, some aspects of ISA</w:t>
      </w:r>
      <w:r>
        <w:rPr>
          <w:rFonts w:cs="Times New Roman"/>
          <w:iCs/>
          <w:noProof/>
          <w:vertAlign w:val="superscript"/>
          <w:lang w:val="en-GB"/>
        </w:rPr>
        <w:t>2</w:t>
      </w:r>
      <w:r>
        <w:rPr>
          <w:rFonts w:cs="Times New Roman"/>
          <w:iCs/>
          <w:noProof/>
          <w:lang w:val="en-GB"/>
        </w:rPr>
        <w:t xml:space="preserve"> could benefit from more promotion.</w:t>
      </w:r>
    </w:p>
    <w:p>
      <w:pPr>
        <w:jc w:val="both"/>
        <w:rPr>
          <w:rFonts w:cs="Times New Roman"/>
          <w:iCs/>
          <w:noProof/>
          <w:lang w:val="en-GB"/>
        </w:rPr>
      </w:pPr>
      <w:r>
        <w:rPr>
          <w:rFonts w:cs="Times New Roman"/>
          <w:b/>
          <w:iCs/>
          <w:noProof/>
          <w:lang w:val="en-GB"/>
        </w:rPr>
        <w:t>Efficiency.</w:t>
      </w:r>
      <w:r>
        <w:rPr>
          <w:rFonts w:cs="Times New Roman"/>
          <w:iCs/>
          <w:noProof/>
          <w:lang w:val="en-GB"/>
        </w:rPr>
        <w:t xml:space="preserve"> The programme’s implementation is progressing as planned, all actions being either on track or close to achieving the planned level of work. Nevertheless, the heterogeneity of performance indicators makes it difficult to draw conclusions about its overall cost-effectiveness. For those ISA</w:t>
      </w:r>
      <w:r>
        <w:rPr>
          <w:rFonts w:cs="Times New Roman"/>
          <w:iCs/>
          <w:noProof/>
          <w:vertAlign w:val="superscript"/>
          <w:lang w:val="en-GB"/>
        </w:rPr>
        <w:t>2</w:t>
      </w:r>
      <w:r>
        <w:rPr>
          <w:rFonts w:cs="Times New Roman"/>
          <w:iCs/>
          <w:noProof/>
          <w:lang w:val="en-GB"/>
        </w:rPr>
        <w:t xml:space="preserve"> packages where it was possible to aggregate performance indicators for different actions, costs per end-user (e.g. businesses, citizens) have been estimated as very low.</w:t>
      </w:r>
    </w:p>
    <w:p>
      <w:pPr>
        <w:jc w:val="both"/>
        <w:rPr>
          <w:rFonts w:cs="Times New Roman"/>
          <w:iCs/>
          <w:noProof/>
          <w:lang w:val="en-GB"/>
        </w:rPr>
      </w:pPr>
      <w:r>
        <w:rPr>
          <w:rFonts w:cs="Times New Roman"/>
          <w:iCs/>
          <w:noProof/>
          <w:lang w:val="en-GB"/>
        </w:rPr>
        <w:t>The selection process for actions funded by ISA</w:t>
      </w:r>
      <w:r>
        <w:rPr>
          <w:rFonts w:cs="Times New Roman"/>
          <w:iCs/>
          <w:noProof/>
          <w:vertAlign w:val="superscript"/>
          <w:lang w:val="en-GB"/>
        </w:rPr>
        <w:t>2</w:t>
      </w:r>
      <w:r>
        <w:rPr>
          <w:rFonts w:cs="Times New Roman"/>
          <w:iCs/>
          <w:noProof/>
          <w:lang w:val="en-GB"/>
        </w:rPr>
        <w:t xml:space="preserve"> is considered relatively efficient. Nonetheless, it could be further improved by simplifying the rolling work programme (e.g. making the template more flexible) and launching thematic calls for actions, thus ensuring that the selection process is driven by objectives.</w:t>
      </w:r>
    </w:p>
    <w:p>
      <w:pPr>
        <w:jc w:val="both"/>
        <w:rPr>
          <w:rFonts w:cs="Times New Roman"/>
          <w:noProof/>
          <w:lang w:val="en-GB" w:eastAsia="it-IT"/>
        </w:rPr>
      </w:pPr>
      <w:r>
        <w:rPr>
          <w:rFonts w:cs="Times New Roman"/>
          <w:b/>
          <w:iCs/>
          <w:noProof/>
          <w:lang w:val="en-GB"/>
        </w:rPr>
        <w:t>Coherence.</w:t>
      </w:r>
      <w:r>
        <w:rPr>
          <w:rFonts w:cs="Times New Roman"/>
          <w:iCs/>
          <w:noProof/>
          <w:lang w:val="en-GB"/>
        </w:rPr>
        <w:t xml:space="preserve"> </w:t>
      </w:r>
      <w:r>
        <w:rPr>
          <w:rFonts w:cs="Times New Roman"/>
          <w:noProof/>
          <w:lang w:val="en-GB" w:eastAsia="it-IT"/>
        </w:rPr>
        <w:t>Substantial synergies and limited overlaps among ISA</w:t>
      </w:r>
      <w:r>
        <w:rPr>
          <w:rFonts w:cs="Times New Roman"/>
          <w:noProof/>
          <w:vertAlign w:val="superscript"/>
          <w:lang w:val="en-GB" w:eastAsia="it-IT"/>
        </w:rPr>
        <w:t>2</w:t>
      </w:r>
      <w:r>
        <w:rPr>
          <w:rFonts w:cs="Times New Roman"/>
          <w:noProof/>
          <w:lang w:val="en-GB" w:eastAsia="it-IT"/>
        </w:rPr>
        <w:t xml:space="preserve"> actions paint a positive picture of the programme’s internal coherence. </w:t>
      </w:r>
      <w:r>
        <w:rPr>
          <w:rFonts w:cs="Times New Roman"/>
          <w:iCs/>
          <w:noProof/>
          <w:lang w:val="en-GB"/>
        </w:rPr>
        <w:t>This strong internal coherence is in line with the second recommendation of the final ISA evaluation, which called for taking a holistic approach to interoperability within ISA</w:t>
      </w:r>
      <w:r>
        <w:rPr>
          <w:rFonts w:cs="Times New Roman"/>
          <w:iCs/>
          <w:noProof/>
          <w:vertAlign w:val="superscript"/>
          <w:lang w:val="en-GB"/>
        </w:rPr>
        <w:t>2</w:t>
      </w:r>
      <w:r>
        <w:rPr>
          <w:rFonts w:cs="Times New Roman"/>
          <w:iCs/>
          <w:noProof/>
          <w:lang w:val="en-GB"/>
        </w:rPr>
        <w:t>.</w:t>
      </w:r>
    </w:p>
    <w:p>
      <w:pPr>
        <w:jc w:val="both"/>
        <w:rPr>
          <w:rFonts w:cs="Times New Roman"/>
          <w:iCs/>
          <w:noProof/>
          <w:lang w:val="en-GB"/>
        </w:rPr>
      </w:pPr>
      <w:r>
        <w:rPr>
          <w:rFonts w:cs="Times New Roman"/>
          <w:iCs/>
          <w:noProof/>
          <w:lang w:val="en-GB"/>
        </w:rPr>
        <w:t>ISA</w:t>
      </w:r>
      <w:r>
        <w:rPr>
          <w:rFonts w:cs="Times New Roman"/>
          <w:iCs/>
          <w:noProof/>
          <w:vertAlign w:val="superscript"/>
          <w:lang w:val="en-GB"/>
        </w:rPr>
        <w:t>2</w:t>
      </w:r>
      <w:r>
        <w:rPr>
          <w:rFonts w:cs="Times New Roman"/>
          <w:iCs/>
          <w:noProof/>
          <w:lang w:val="en-GB"/>
        </w:rPr>
        <w:t xml:space="preserve"> also followed the final third recommendation of the final ISA evaluation, on external coherence, and worked closely with other EU policies and initiatives. It established synergies with the CEF, Horizon 2020 and the Structural Reform Support Programme. ISA</w:t>
      </w:r>
      <w:r>
        <w:rPr>
          <w:rFonts w:cs="Times New Roman"/>
          <w:iCs/>
          <w:noProof/>
          <w:vertAlign w:val="superscript"/>
          <w:lang w:val="en-GB"/>
        </w:rPr>
        <w:t>2</w:t>
      </w:r>
      <w:r>
        <w:rPr>
          <w:rFonts w:cs="Times New Roman"/>
          <w:iCs/>
          <w:noProof/>
          <w:lang w:val="en-GB"/>
        </w:rPr>
        <w:t xml:space="preserve"> also interacts with initiatives such as the Single Digital Gateway, Digital Single Market Strategy, eGovernment Action Plan, Tallinn Declaration on eGovernment, and the Rolling Plan for ICT standardisation. Nonetheless, some overlaps were identified between specific solutions under ISA</w:t>
      </w:r>
      <w:r>
        <w:rPr>
          <w:rFonts w:cs="Times New Roman"/>
          <w:iCs/>
          <w:noProof/>
          <w:vertAlign w:val="superscript"/>
          <w:lang w:val="en-GB"/>
        </w:rPr>
        <w:t>2</w:t>
      </w:r>
      <w:r>
        <w:rPr>
          <w:rFonts w:cs="Times New Roman"/>
          <w:iCs/>
          <w:noProof/>
          <w:lang w:val="en-GB"/>
        </w:rPr>
        <w:t xml:space="preserve"> and the CEF; these could be addressed by better delineating the scope of each solution.</w:t>
      </w:r>
    </w:p>
    <w:p>
      <w:pPr>
        <w:jc w:val="both"/>
        <w:rPr>
          <w:rFonts w:cs="Times New Roman"/>
          <w:iCs/>
          <w:noProof/>
          <w:lang w:val="en-GB"/>
        </w:rPr>
      </w:pPr>
      <w:r>
        <w:rPr>
          <w:rFonts w:cs="Times New Roman"/>
          <w:b/>
          <w:iCs/>
          <w:noProof/>
          <w:lang w:val="en-GB"/>
        </w:rPr>
        <w:t>EU added value.</w:t>
      </w:r>
      <w:r>
        <w:rPr>
          <w:rFonts w:cs="Times New Roman"/>
          <w:iCs/>
          <w:noProof/>
          <w:lang w:val="en-GB"/>
        </w:rPr>
        <w:t xml:space="preserve"> ISA</w:t>
      </w:r>
      <w:r>
        <w:rPr>
          <w:rFonts w:cs="Times New Roman"/>
          <w:iCs/>
          <w:noProof/>
          <w:vertAlign w:val="superscript"/>
          <w:lang w:val="en-GB"/>
        </w:rPr>
        <w:t>2</w:t>
      </w:r>
      <w:r>
        <w:rPr>
          <w:rFonts w:cs="Times New Roman"/>
          <w:iCs/>
          <w:noProof/>
          <w:lang w:val="en-GB"/>
        </w:rPr>
        <w:t xml:space="preserve"> ensures EU-level coordination, which is necessary for improving overall interoperability among European public administrations. Without the programme, national and/or sub-national interventions would not be able to achieve the interoperability-specific objectives that ISA</w:t>
      </w:r>
      <w:r>
        <w:rPr>
          <w:rFonts w:cs="Times New Roman"/>
          <w:iCs/>
          <w:noProof/>
          <w:vertAlign w:val="superscript"/>
          <w:lang w:val="en-GB"/>
        </w:rPr>
        <w:t>2</w:t>
      </w:r>
      <w:r>
        <w:rPr>
          <w:rFonts w:cs="Times New Roman"/>
          <w:iCs/>
          <w:noProof/>
          <w:lang w:val="en-GB"/>
        </w:rPr>
        <w:t xml:space="preserve"> aims to achieve. In addition, ISA</w:t>
      </w:r>
      <w:r>
        <w:rPr>
          <w:rFonts w:cs="Times New Roman"/>
          <w:iCs/>
          <w:noProof/>
          <w:vertAlign w:val="superscript"/>
          <w:lang w:val="en-GB"/>
        </w:rPr>
        <w:t>2</w:t>
      </w:r>
      <w:r>
        <w:rPr>
          <w:rFonts w:cs="Times New Roman"/>
          <w:iCs/>
          <w:noProof/>
          <w:lang w:val="en-GB"/>
        </w:rPr>
        <w:t xml:space="preserve"> is able to achieve these objectives at a lower cost than comparable national or sub-national initiatives.</w:t>
      </w:r>
    </w:p>
    <w:p>
      <w:pPr>
        <w:jc w:val="both"/>
        <w:rPr>
          <w:rFonts w:cs="Times New Roman"/>
          <w:iCs/>
          <w:noProof/>
          <w:lang w:val="en-GB"/>
        </w:rPr>
      </w:pPr>
      <w:r>
        <w:rPr>
          <w:rFonts w:cs="Times New Roman"/>
          <w:iCs/>
          <w:noProof/>
          <w:lang w:val="en-GB"/>
        </w:rPr>
        <w:t>ISA</w:t>
      </w:r>
      <w:r>
        <w:rPr>
          <w:rFonts w:cs="Times New Roman"/>
          <w:iCs/>
          <w:noProof/>
          <w:vertAlign w:val="superscript"/>
          <w:lang w:val="en-GB"/>
        </w:rPr>
        <w:t xml:space="preserve">2 </w:t>
      </w:r>
      <w:r>
        <w:rPr>
          <w:rFonts w:cs="Times New Roman"/>
          <w:iCs/>
          <w:noProof/>
          <w:lang w:val="en-GB"/>
        </w:rPr>
        <w:t>also creates additional value by improving cross-border interoperability in the EU, as well as advancing common EU policies: it plays a central role in the implementation of the EIF and supports the establishment of the Digital Single Market.</w:t>
      </w:r>
    </w:p>
    <w:p>
      <w:pPr>
        <w:jc w:val="both"/>
        <w:rPr>
          <w:rFonts w:cs="Times New Roman"/>
          <w:iCs/>
          <w:noProof/>
          <w:lang w:val="en-GB"/>
        </w:rPr>
      </w:pPr>
      <w:r>
        <w:rPr>
          <w:rFonts w:cs="Times New Roman"/>
          <w:b/>
          <w:iCs/>
          <w:noProof/>
          <w:lang w:val="en-GB"/>
        </w:rPr>
        <w:t>Utility.</w:t>
      </w:r>
      <w:r>
        <w:rPr>
          <w:rFonts w:cs="Times New Roman"/>
          <w:iCs/>
          <w:noProof/>
          <w:lang w:val="en-GB"/>
        </w:rPr>
        <w:t xml:space="preserve"> User satisfaction with ISA</w:t>
      </w:r>
      <w:r>
        <w:rPr>
          <w:rFonts w:cs="Times New Roman"/>
          <w:iCs/>
          <w:noProof/>
          <w:vertAlign w:val="superscript"/>
          <w:lang w:val="en-GB"/>
        </w:rPr>
        <w:t>2</w:t>
      </w:r>
      <w:r>
        <w:rPr>
          <w:rFonts w:cs="Times New Roman"/>
          <w:iCs/>
          <w:noProof/>
          <w:lang w:val="en-GB"/>
        </w:rPr>
        <w:t xml:space="preserve"> solutions tends to be positive, with only 7 out of 110 stakeholders reporting ‘limited satisfaction’. As the programme is ongoing, it is expected that the take-up of ISA</w:t>
      </w:r>
      <w:r>
        <w:rPr>
          <w:rFonts w:cs="Times New Roman"/>
          <w:iCs/>
          <w:noProof/>
          <w:vertAlign w:val="superscript"/>
          <w:lang w:val="en-GB"/>
        </w:rPr>
        <w:t>2</w:t>
      </w:r>
      <w:r>
        <w:rPr>
          <w:rFonts w:cs="Times New Roman"/>
          <w:iCs/>
          <w:noProof/>
          <w:lang w:val="en-GB"/>
        </w:rPr>
        <w:t xml:space="preserve"> solutions will increase, thus improving the way solutions meet user needs and, in turn, overall user satisfaction. However, </w:t>
      </w:r>
      <w:r>
        <w:rPr>
          <w:rFonts w:cs="Times New Roman"/>
          <w:noProof/>
          <w:lang w:val="en-GB"/>
        </w:rPr>
        <w:t>ISA</w:t>
      </w:r>
      <w:r>
        <w:rPr>
          <w:rFonts w:cs="Times New Roman"/>
          <w:noProof/>
          <w:vertAlign w:val="superscript"/>
          <w:lang w:val="en-GB"/>
        </w:rPr>
        <w:t>2</w:t>
      </w:r>
      <w:r>
        <w:rPr>
          <w:rFonts w:cs="Times New Roman"/>
          <w:noProof/>
          <w:lang w:val="en-GB"/>
        </w:rPr>
        <w:t xml:space="preserve"> could place more emphasis on providing support to the users of its existing solutions. Moreover, it could involve users already in the design phase of future solutions, which would increase both quality and user satisfaction.</w:t>
      </w:r>
    </w:p>
    <w:p>
      <w:pPr>
        <w:jc w:val="both"/>
        <w:rPr>
          <w:rFonts w:cs="Times New Roman"/>
          <w:noProof/>
          <w:lang w:val="en-GB"/>
        </w:rPr>
      </w:pPr>
      <w:r>
        <w:rPr>
          <w:rFonts w:cs="Times New Roman"/>
          <w:b/>
          <w:noProof/>
          <w:lang w:val="en-GB"/>
        </w:rPr>
        <w:t>Sustainability.</w:t>
      </w:r>
      <w:r>
        <w:rPr>
          <w:rFonts w:cs="Times New Roman"/>
          <w:noProof/>
          <w:lang w:val="en-GB"/>
        </w:rPr>
        <w:t xml:space="preserve"> The consulted stakeholders have mixed views on the sustainability of ISA</w:t>
      </w:r>
      <w:r>
        <w:rPr>
          <w:rFonts w:cs="Times New Roman"/>
          <w:noProof/>
          <w:vertAlign w:val="superscript"/>
          <w:lang w:val="en-GB"/>
        </w:rPr>
        <w:t>2</w:t>
      </w:r>
      <w:r>
        <w:rPr>
          <w:rFonts w:cs="Times New Roman"/>
          <w:noProof/>
          <w:lang w:val="en-GB"/>
        </w:rPr>
        <w:t xml:space="preserve"> solutions. While most of them believe that the programme results would last in the absence of future funding, they also recognise that ISA</w:t>
      </w:r>
      <w:r>
        <w:rPr>
          <w:rFonts w:cs="Times New Roman"/>
          <w:noProof/>
          <w:vertAlign w:val="superscript"/>
          <w:lang w:val="en-GB"/>
        </w:rPr>
        <w:t>2</w:t>
      </w:r>
      <w:r>
        <w:rPr>
          <w:rFonts w:cs="Times New Roman"/>
          <w:noProof/>
          <w:lang w:val="en-GB"/>
        </w:rPr>
        <w:t xml:space="preserve"> solutions may not be able to deliver their results if the related maintenance costs and support needs were not covered.</w:t>
      </w:r>
    </w:p>
    <w:p>
      <w:pPr>
        <w:jc w:val="both"/>
        <w:rPr>
          <w:rFonts w:cs="Times New Roman"/>
          <w:noProof/>
          <w:lang w:val="en-GB"/>
        </w:rPr>
      </w:pPr>
      <w:r>
        <w:rPr>
          <w:rFonts w:cs="Times New Roman"/>
          <w:noProof/>
          <w:lang w:val="en-GB"/>
        </w:rPr>
        <w:t>Stakeholders agree, however, that ISA</w:t>
      </w:r>
      <w:r>
        <w:rPr>
          <w:rFonts w:cs="Times New Roman"/>
          <w:noProof/>
          <w:vertAlign w:val="superscript"/>
          <w:lang w:val="en-GB"/>
        </w:rPr>
        <w:t>2</w:t>
      </w:r>
      <w:r>
        <w:rPr>
          <w:rFonts w:cs="Times New Roman"/>
          <w:noProof/>
          <w:lang w:val="en-GB"/>
        </w:rPr>
        <w:t xml:space="preserve"> plays a central role in improving the interoperability landscape in the EU and that its absence would jeopardise the efforts of European public administrations to improve interoperability and foster the ICT-based modernisation of the public sector in Europe.</w:t>
      </w:r>
    </w:p>
    <w:p>
      <w:pPr>
        <w:pStyle w:val="Heading2"/>
        <w:rPr>
          <w:noProof/>
        </w:rPr>
      </w:pPr>
      <w:bookmarkStart w:id="25" w:name="_Toc14708148"/>
      <w:r>
        <w:rPr>
          <w:noProof/>
        </w:rPr>
        <w:t>Next steps</w:t>
      </w:r>
      <w:bookmarkEnd w:id="25"/>
    </w:p>
    <w:p>
      <w:pPr>
        <w:jc w:val="both"/>
        <w:rPr>
          <w:rFonts w:cs="Times New Roman"/>
          <w:noProof/>
          <w:lang w:val="en-GB"/>
        </w:rPr>
      </w:pPr>
      <w:r>
        <w:rPr>
          <w:rFonts w:cs="Times New Roman"/>
          <w:noProof/>
          <w:lang w:val="en-GB"/>
        </w:rPr>
        <w:t xml:space="preserve">The interim evaluation identified several potential measures that may improve the performance of </w:t>
      </w:r>
      <w:r>
        <w:rPr>
          <w:rFonts w:cs="Times New Roman"/>
          <w:bCs/>
          <w:noProof/>
          <w:lang w:val="en-GB"/>
        </w:rPr>
        <w:t>ISA</w:t>
      </w:r>
      <w:r>
        <w:rPr>
          <w:rFonts w:cs="Times New Roman"/>
          <w:bCs/>
          <w:noProof/>
          <w:vertAlign w:val="superscript"/>
          <w:lang w:val="en-GB"/>
        </w:rPr>
        <w:t>2</w:t>
      </w:r>
      <w:r>
        <w:rPr>
          <w:rFonts w:cs="Times New Roman"/>
          <w:noProof/>
          <w:lang w:val="en-GB"/>
        </w:rPr>
        <w:t xml:space="preserve"> and its successor instruments (see </w:t>
      </w:r>
      <w:r>
        <w:rPr>
          <w:rFonts w:cs="Times New Roman"/>
          <w:noProof/>
        </w:rPr>
        <w:fldChar w:fldCharType="begin"/>
      </w:r>
      <w:r>
        <w:rPr>
          <w:rFonts w:cs="Times New Roman"/>
          <w:noProof/>
          <w:lang w:val="en-GB"/>
        </w:rPr>
        <w:instrText xml:space="preserve"> REF _Ref9868697 \h  \* MERGEFORMAT </w:instrText>
      </w:r>
      <w:r>
        <w:rPr>
          <w:rFonts w:cs="Times New Roman"/>
          <w:noProof/>
        </w:rPr>
      </w:r>
      <w:r>
        <w:rPr>
          <w:rFonts w:cs="Times New Roman"/>
          <w:noProof/>
        </w:rPr>
        <w:fldChar w:fldCharType="separate"/>
      </w:r>
      <w:r>
        <w:rPr>
          <w:rFonts w:cs="Times New Roman"/>
          <w:noProof/>
          <w:lang w:val="en-GB"/>
        </w:rPr>
        <w:t>Box 9</w:t>
      </w:r>
      <w:r>
        <w:rPr>
          <w:rFonts w:cs="Times New Roman"/>
          <w:noProof/>
        </w:rPr>
        <w:fldChar w:fldCharType="end"/>
      </w:r>
      <w:r>
        <w:rPr>
          <w:rFonts w:cs="Times New Roman"/>
          <w:noProof/>
          <w:lang w:val="en-GB"/>
        </w:rPr>
        <w:t>). It is up to the programme’s management to assess the feasibility of these actions and put forward specific recommendations, which the Commission could then put into practice in the future.</w:t>
      </w:r>
    </w:p>
    <w:p>
      <w:pPr>
        <w:pStyle w:val="caption2"/>
        <w:rPr>
          <w:rFonts w:cs="Times New Roman"/>
          <w:noProof/>
        </w:rPr>
      </w:pPr>
      <w:r>
        <w:rPr>
          <w:rFonts w:cs="Times New Roman"/>
          <w:noProof/>
        </w:rPr>
        <w:t xml:space="preserve">Box </w:t>
      </w:r>
      <w:r>
        <w:rPr>
          <w:rFonts w:cs="Times New Roman"/>
          <w:noProof/>
        </w:rPr>
        <w:fldChar w:fldCharType="begin"/>
      </w:r>
      <w:r>
        <w:rPr>
          <w:rFonts w:cs="Times New Roman"/>
          <w:noProof/>
        </w:rPr>
        <w:instrText xml:space="preserve"> SEQ Box \* ARABIC </w:instrText>
      </w:r>
      <w:r>
        <w:rPr>
          <w:rFonts w:cs="Times New Roman"/>
          <w:noProof/>
        </w:rPr>
        <w:fldChar w:fldCharType="separate"/>
      </w:r>
      <w:r>
        <w:rPr>
          <w:rFonts w:cs="Times New Roman"/>
          <w:noProof/>
        </w:rPr>
        <w:t>9</w:t>
      </w:r>
      <w:r>
        <w:rPr>
          <w:rFonts w:cs="Times New Roman"/>
          <w:noProof/>
        </w:rPr>
        <w:fldChar w:fldCharType="end"/>
      </w:r>
      <w:r>
        <w:rPr>
          <w:rFonts w:cs="Times New Roman"/>
          <w:noProof/>
        </w:rPr>
        <w:t>: Overview of identified measures that would improve the programme’s performance</w:t>
      </w:r>
    </w:p>
    <w:tbl>
      <w:tblPr>
        <w:tblW w:w="0" w:type="auto"/>
        <w:tblLook w:val="04A0" w:firstRow="1" w:lastRow="0" w:firstColumn="1" w:lastColumn="0" w:noHBand="0" w:noVBand="1"/>
      </w:tblPr>
      <w:tblGrid>
        <w:gridCol w:w="8834"/>
      </w:tblGrid>
      <w:tr>
        <w:tc>
          <w:tcPr>
            <w:tcW w:w="8834" w:type="dxa"/>
            <w:shd w:val="clear" w:color="auto" w:fill="C6D9F1" w:themeFill="text2" w:themeFillTint="33"/>
          </w:tcPr>
          <w:p>
            <w:pPr>
              <w:numPr>
                <w:ilvl w:val="0"/>
                <w:numId w:val="65"/>
              </w:numPr>
              <w:spacing w:after="120"/>
              <w:ind w:left="470" w:hanging="357"/>
              <w:jc w:val="both"/>
              <w:rPr>
                <w:rFonts w:cs="Times New Roman"/>
                <w:noProof/>
                <w:sz w:val="22"/>
                <w:lang w:val="en-GB"/>
              </w:rPr>
            </w:pPr>
            <w:r>
              <w:rPr>
                <w:rFonts w:cs="Times New Roman"/>
                <w:noProof/>
                <w:sz w:val="22"/>
                <w:lang w:val="en-GB"/>
              </w:rPr>
              <w:t>increase awareness of interoperability beyond national administrations by fostering more collaboration and exchanges with regional and local administrations;</w:t>
            </w:r>
          </w:p>
          <w:p>
            <w:pPr>
              <w:numPr>
                <w:ilvl w:val="0"/>
                <w:numId w:val="65"/>
              </w:numPr>
              <w:spacing w:after="120"/>
              <w:ind w:left="470" w:hanging="357"/>
              <w:jc w:val="both"/>
              <w:rPr>
                <w:rFonts w:cs="Times New Roman"/>
                <w:noProof/>
                <w:sz w:val="22"/>
                <w:lang w:val="en-GB"/>
              </w:rPr>
            </w:pPr>
            <w:r>
              <w:rPr>
                <w:rFonts w:cs="Times New Roman"/>
                <w:noProof/>
                <w:sz w:val="22"/>
                <w:lang w:val="en-GB"/>
              </w:rPr>
              <w:t>perform studies to assess the costs and benefits of implementing ISA</w:t>
            </w:r>
            <w:r>
              <w:rPr>
                <w:rFonts w:cs="Times New Roman"/>
                <w:noProof/>
                <w:sz w:val="22"/>
                <w:vertAlign w:val="superscript"/>
                <w:lang w:val="en-GB"/>
              </w:rPr>
              <w:t>2</w:t>
            </w:r>
            <w:r>
              <w:rPr>
                <w:rFonts w:cs="Times New Roman"/>
                <w:noProof/>
                <w:sz w:val="22"/>
                <w:lang w:val="en-GB"/>
              </w:rPr>
              <w:t xml:space="preserve"> solutions and measure their impact on the efficiency and productivity of public administrations;</w:t>
            </w:r>
          </w:p>
          <w:p>
            <w:pPr>
              <w:numPr>
                <w:ilvl w:val="0"/>
                <w:numId w:val="65"/>
              </w:numPr>
              <w:spacing w:after="120"/>
              <w:ind w:left="470" w:hanging="357"/>
              <w:jc w:val="both"/>
              <w:rPr>
                <w:rFonts w:cs="Times New Roman"/>
                <w:noProof/>
                <w:sz w:val="22"/>
                <w:lang w:val="en-GB"/>
              </w:rPr>
            </w:pPr>
            <w:r>
              <w:rPr>
                <w:rFonts w:cs="Times New Roman"/>
                <w:noProof/>
                <w:sz w:val="22"/>
                <w:lang w:val="en-GB"/>
              </w:rPr>
              <w:t>improve the sharing of best practices among public administrations;</w:t>
            </w:r>
          </w:p>
          <w:p>
            <w:pPr>
              <w:numPr>
                <w:ilvl w:val="0"/>
                <w:numId w:val="65"/>
              </w:numPr>
              <w:spacing w:after="120"/>
              <w:ind w:left="470" w:hanging="357"/>
              <w:jc w:val="both"/>
              <w:rPr>
                <w:rFonts w:cs="Times New Roman"/>
                <w:noProof/>
                <w:sz w:val="22"/>
                <w:lang w:val="en-GB"/>
              </w:rPr>
            </w:pPr>
            <w:r>
              <w:rPr>
                <w:rFonts w:cs="Times New Roman"/>
                <w:noProof/>
                <w:sz w:val="22"/>
                <w:lang w:val="en-GB"/>
              </w:rPr>
              <w:t>rely more on potential influencers when communicating about interoperability;</w:t>
            </w:r>
          </w:p>
          <w:p>
            <w:pPr>
              <w:numPr>
                <w:ilvl w:val="0"/>
                <w:numId w:val="65"/>
              </w:numPr>
              <w:spacing w:after="120"/>
              <w:ind w:left="470" w:hanging="357"/>
              <w:jc w:val="both"/>
              <w:rPr>
                <w:rFonts w:cs="Times New Roman"/>
                <w:noProof/>
                <w:sz w:val="22"/>
                <w:lang w:val="en-GB"/>
              </w:rPr>
            </w:pPr>
            <w:r>
              <w:rPr>
                <w:rFonts w:cs="Times New Roman"/>
                <w:noProof/>
                <w:sz w:val="22"/>
                <w:lang w:val="en-GB"/>
              </w:rPr>
              <w:t>build advisory capabilities around interoperability;</w:t>
            </w:r>
          </w:p>
          <w:p>
            <w:pPr>
              <w:numPr>
                <w:ilvl w:val="0"/>
                <w:numId w:val="65"/>
              </w:numPr>
              <w:spacing w:after="120"/>
              <w:ind w:left="470" w:hanging="357"/>
              <w:jc w:val="both"/>
              <w:rPr>
                <w:rFonts w:cs="Times New Roman"/>
                <w:noProof/>
                <w:sz w:val="22"/>
                <w:lang w:val="en-GB"/>
              </w:rPr>
            </w:pPr>
            <w:r>
              <w:rPr>
                <w:rFonts w:cs="Times New Roman"/>
                <w:noProof/>
                <w:sz w:val="22"/>
                <w:lang w:val="en-GB"/>
              </w:rPr>
              <w:t>assess the rationale and impacts of a possible binding interoperability instrument;</w:t>
            </w:r>
          </w:p>
          <w:p>
            <w:pPr>
              <w:numPr>
                <w:ilvl w:val="0"/>
                <w:numId w:val="65"/>
              </w:numPr>
              <w:spacing w:after="120"/>
              <w:ind w:left="470" w:hanging="357"/>
              <w:jc w:val="both"/>
              <w:rPr>
                <w:rFonts w:cs="Times New Roman"/>
                <w:noProof/>
                <w:sz w:val="22"/>
                <w:lang w:val="en-GB"/>
              </w:rPr>
            </w:pPr>
            <w:r>
              <w:rPr>
                <w:rFonts w:cs="Times New Roman"/>
                <w:noProof/>
                <w:sz w:val="22"/>
                <w:lang w:val="en-GB"/>
              </w:rPr>
              <w:t xml:space="preserve">continue and even increase communication on and promotion of interoperability by </w:t>
            </w:r>
            <w:r>
              <w:rPr>
                <w:rFonts w:cs="Times New Roman"/>
                <w:iCs/>
                <w:noProof/>
                <w:sz w:val="22"/>
                <w:lang w:val="en-GB"/>
              </w:rPr>
              <w:t xml:space="preserve"> targeting the sub-national layers of administrations too</w:t>
            </w:r>
            <w:r>
              <w:rPr>
                <w:rFonts w:cs="Times New Roman"/>
                <w:noProof/>
                <w:sz w:val="22"/>
                <w:lang w:val="en-GB"/>
              </w:rPr>
              <w:t>;</w:t>
            </w:r>
          </w:p>
          <w:p>
            <w:pPr>
              <w:numPr>
                <w:ilvl w:val="0"/>
                <w:numId w:val="65"/>
              </w:numPr>
              <w:spacing w:after="120"/>
              <w:ind w:left="470" w:hanging="357"/>
              <w:jc w:val="both"/>
              <w:rPr>
                <w:rFonts w:cs="Times New Roman"/>
                <w:noProof/>
                <w:sz w:val="22"/>
                <w:lang w:val="en-GB"/>
              </w:rPr>
            </w:pPr>
            <w:r>
              <w:rPr>
                <w:rFonts w:cs="Times New Roman"/>
                <w:noProof/>
                <w:sz w:val="22"/>
                <w:lang w:val="en-GB"/>
              </w:rPr>
              <w:t>simplify the ISA</w:t>
            </w:r>
            <w:r>
              <w:rPr>
                <w:rFonts w:cs="Times New Roman"/>
                <w:noProof/>
                <w:sz w:val="22"/>
                <w:vertAlign w:val="superscript"/>
                <w:lang w:val="en-GB"/>
              </w:rPr>
              <w:t>2</w:t>
            </w:r>
            <w:r>
              <w:rPr>
                <w:rFonts w:cs="Times New Roman"/>
                <w:noProof/>
                <w:sz w:val="22"/>
                <w:lang w:val="en-GB"/>
              </w:rPr>
              <w:t xml:space="preserve"> rolling work programme;</w:t>
            </w:r>
          </w:p>
          <w:p>
            <w:pPr>
              <w:numPr>
                <w:ilvl w:val="0"/>
                <w:numId w:val="65"/>
              </w:numPr>
              <w:spacing w:after="120"/>
              <w:ind w:left="470" w:hanging="357"/>
              <w:jc w:val="both"/>
              <w:rPr>
                <w:rFonts w:cs="Times New Roman"/>
                <w:noProof/>
                <w:sz w:val="22"/>
                <w:lang w:val="en-GB"/>
              </w:rPr>
            </w:pPr>
            <w:r>
              <w:rPr>
                <w:rFonts w:cs="Times New Roman"/>
                <w:noProof/>
                <w:sz w:val="22"/>
                <w:lang w:val="en-GB"/>
              </w:rPr>
              <w:t>launch thematic calls for actions to ensure that the selection process is driven by objectives;</w:t>
            </w:r>
          </w:p>
          <w:p>
            <w:pPr>
              <w:numPr>
                <w:ilvl w:val="0"/>
                <w:numId w:val="65"/>
              </w:numPr>
              <w:spacing w:after="120"/>
              <w:ind w:left="470" w:hanging="357"/>
              <w:jc w:val="both"/>
              <w:rPr>
                <w:rFonts w:cs="Times New Roman"/>
                <w:noProof/>
                <w:sz w:val="22"/>
                <w:lang w:val="en-GB"/>
              </w:rPr>
            </w:pPr>
            <w:r>
              <w:rPr>
                <w:rFonts w:cs="Times New Roman"/>
                <w:noProof/>
                <w:sz w:val="22"/>
                <w:lang w:val="en-GB"/>
              </w:rPr>
              <w:t>define some common metrics to allow for a more consistent appraisal of cost-effectiveness;</w:t>
            </w:r>
          </w:p>
          <w:p>
            <w:pPr>
              <w:numPr>
                <w:ilvl w:val="0"/>
                <w:numId w:val="65"/>
              </w:numPr>
              <w:spacing w:after="120"/>
              <w:ind w:left="470" w:hanging="357"/>
              <w:jc w:val="both"/>
              <w:rPr>
                <w:rFonts w:cs="Times New Roman"/>
                <w:noProof/>
                <w:sz w:val="22"/>
                <w:lang w:val="en-GB"/>
              </w:rPr>
            </w:pPr>
            <w:r>
              <w:rPr>
                <w:rFonts w:cs="Times New Roman"/>
                <w:noProof/>
                <w:sz w:val="22"/>
                <w:lang w:val="en-GB"/>
              </w:rPr>
              <w:t>clarify the scope of each solution to avoid any overlaps;</w:t>
            </w:r>
          </w:p>
          <w:p>
            <w:pPr>
              <w:numPr>
                <w:ilvl w:val="0"/>
                <w:numId w:val="65"/>
              </w:numPr>
              <w:spacing w:after="120"/>
              <w:ind w:left="470" w:hanging="357"/>
              <w:jc w:val="both"/>
              <w:rPr>
                <w:rFonts w:cs="Times New Roman"/>
                <w:noProof/>
                <w:sz w:val="22"/>
                <w:lang w:val="en-GB"/>
              </w:rPr>
            </w:pPr>
            <w:r>
              <w:rPr>
                <w:rFonts w:cs="Times New Roman"/>
                <w:noProof/>
                <w:sz w:val="22"/>
                <w:lang w:val="en-GB"/>
              </w:rPr>
              <w:t>build synergies and avoid overlaps with the Tallinn Declaration on eGovernment;</w:t>
            </w:r>
          </w:p>
          <w:p>
            <w:pPr>
              <w:numPr>
                <w:ilvl w:val="0"/>
                <w:numId w:val="65"/>
              </w:numPr>
              <w:spacing w:after="120"/>
              <w:ind w:left="470" w:hanging="357"/>
              <w:jc w:val="both"/>
              <w:rPr>
                <w:rFonts w:cs="Times New Roman"/>
                <w:noProof/>
                <w:sz w:val="22"/>
                <w:lang w:val="en-GB"/>
              </w:rPr>
            </w:pPr>
            <w:r>
              <w:rPr>
                <w:rFonts w:cs="Times New Roman"/>
                <w:noProof/>
                <w:sz w:val="22"/>
                <w:lang w:val="en-GB"/>
              </w:rPr>
              <w:t>assess any potential obstacles to ISA</w:t>
            </w:r>
            <w:r>
              <w:rPr>
                <w:rFonts w:cs="Times New Roman"/>
                <w:noProof/>
                <w:sz w:val="22"/>
                <w:vertAlign w:val="superscript"/>
                <w:lang w:val="en-GB"/>
              </w:rPr>
              <w:t>2</w:t>
            </w:r>
            <w:r>
              <w:rPr>
                <w:rFonts w:cs="Times New Roman"/>
                <w:noProof/>
                <w:sz w:val="22"/>
                <w:lang w:val="en-GB"/>
              </w:rPr>
              <w:t xml:space="preserve"> technical specifications that may arise with regard to the intellectual property rights policy for CEN/CENELEC standards;</w:t>
            </w:r>
          </w:p>
          <w:p>
            <w:pPr>
              <w:numPr>
                <w:ilvl w:val="0"/>
                <w:numId w:val="65"/>
              </w:numPr>
              <w:spacing w:after="120"/>
              <w:ind w:left="470" w:hanging="357"/>
              <w:jc w:val="both"/>
              <w:rPr>
                <w:rFonts w:cs="Times New Roman"/>
                <w:noProof/>
                <w:sz w:val="22"/>
                <w:lang w:val="en-GB"/>
              </w:rPr>
            </w:pPr>
            <w:r>
              <w:rPr>
                <w:rFonts w:cs="Times New Roman"/>
                <w:noProof/>
                <w:sz w:val="22"/>
                <w:lang w:val="en-GB"/>
              </w:rPr>
              <w:t>increase the programme’s focus on multilingualism by providing more information about ISA</w:t>
            </w:r>
            <w:r>
              <w:rPr>
                <w:rFonts w:cs="Times New Roman"/>
                <w:noProof/>
                <w:sz w:val="22"/>
                <w:vertAlign w:val="superscript"/>
                <w:lang w:val="en-GB"/>
              </w:rPr>
              <w:t>2</w:t>
            </w:r>
            <w:r>
              <w:rPr>
                <w:rFonts w:cs="Times New Roman"/>
                <w:noProof/>
                <w:sz w:val="22"/>
                <w:lang w:val="en-GB"/>
              </w:rPr>
              <w:t xml:space="preserve"> in different official EU languages;</w:t>
            </w:r>
          </w:p>
          <w:p>
            <w:pPr>
              <w:numPr>
                <w:ilvl w:val="0"/>
                <w:numId w:val="65"/>
              </w:numPr>
              <w:spacing w:after="120"/>
              <w:ind w:left="470" w:hanging="357"/>
              <w:jc w:val="both"/>
              <w:rPr>
                <w:rFonts w:cs="Times New Roman"/>
                <w:noProof/>
                <w:sz w:val="22"/>
                <w:lang w:val="en-GB"/>
              </w:rPr>
            </w:pPr>
            <w:r>
              <w:rPr>
                <w:rFonts w:cs="Times New Roman"/>
                <w:noProof/>
                <w:sz w:val="22"/>
                <w:lang w:val="en-GB"/>
              </w:rPr>
              <w:t>provide more support to the users of existing solutions;</w:t>
            </w:r>
          </w:p>
          <w:p>
            <w:pPr>
              <w:numPr>
                <w:ilvl w:val="0"/>
                <w:numId w:val="65"/>
              </w:numPr>
              <w:spacing w:after="120"/>
              <w:ind w:left="470" w:hanging="357"/>
              <w:jc w:val="both"/>
              <w:rPr>
                <w:rFonts w:cs="Times New Roman"/>
                <w:noProof/>
                <w:sz w:val="22"/>
                <w:lang w:val="en-GB"/>
              </w:rPr>
            </w:pPr>
            <w:r>
              <w:rPr>
                <w:rFonts w:cs="Times New Roman"/>
                <w:noProof/>
                <w:sz w:val="22"/>
                <w:lang w:val="en-GB"/>
              </w:rPr>
              <w:t>involve users already in the design phase of future solutions;</w:t>
            </w:r>
          </w:p>
          <w:p>
            <w:pPr>
              <w:numPr>
                <w:ilvl w:val="0"/>
                <w:numId w:val="65"/>
              </w:numPr>
              <w:spacing w:after="120"/>
              <w:ind w:left="470" w:hanging="357"/>
              <w:jc w:val="both"/>
              <w:rPr>
                <w:rFonts w:cs="Times New Roman"/>
                <w:noProof/>
                <w:sz w:val="22"/>
                <w:lang w:val="en-GB"/>
              </w:rPr>
            </w:pPr>
            <w:r>
              <w:rPr>
                <w:rFonts w:cs="Times New Roman"/>
                <w:noProof/>
                <w:sz w:val="22"/>
                <w:lang w:val="en-GB"/>
              </w:rPr>
              <w:t>assess the feasibility and costs of various sustainability measures and invest in them; and</w:t>
            </w:r>
          </w:p>
          <w:p>
            <w:pPr>
              <w:numPr>
                <w:ilvl w:val="0"/>
                <w:numId w:val="65"/>
              </w:numPr>
              <w:spacing w:after="120"/>
              <w:ind w:left="470" w:hanging="357"/>
              <w:jc w:val="both"/>
              <w:rPr>
                <w:rFonts w:cs="Times New Roman"/>
                <w:noProof/>
                <w:sz w:val="22"/>
                <w:lang w:val="en-GB"/>
              </w:rPr>
            </w:pPr>
            <w:r>
              <w:rPr>
                <w:rFonts w:cs="Times New Roman"/>
                <w:noProof/>
                <w:sz w:val="22"/>
                <w:lang w:val="en-GB"/>
              </w:rPr>
              <w:t>transfer some ISA</w:t>
            </w:r>
            <w:r>
              <w:rPr>
                <w:rFonts w:cs="Times New Roman"/>
                <w:noProof/>
                <w:sz w:val="22"/>
                <w:vertAlign w:val="superscript"/>
                <w:lang w:val="en-GB"/>
              </w:rPr>
              <w:t>2</w:t>
            </w:r>
            <w:r>
              <w:rPr>
                <w:rFonts w:cs="Times New Roman"/>
                <w:noProof/>
                <w:sz w:val="22"/>
                <w:lang w:val="en-GB"/>
              </w:rPr>
              <w:t xml:space="preserve"> solutions to open source communities or encourage companies to build services around free ISA</w:t>
            </w:r>
            <w:r>
              <w:rPr>
                <w:rFonts w:cs="Times New Roman"/>
                <w:noProof/>
                <w:sz w:val="22"/>
                <w:vertAlign w:val="superscript"/>
                <w:lang w:val="en-GB"/>
              </w:rPr>
              <w:t>2</w:t>
            </w:r>
            <w:r>
              <w:rPr>
                <w:rFonts w:cs="Times New Roman"/>
                <w:noProof/>
                <w:sz w:val="22"/>
                <w:lang w:val="en-GB"/>
              </w:rPr>
              <w:t xml:space="preserve"> solutions under the European Union Public Licence.</w:t>
            </w:r>
          </w:p>
        </w:tc>
      </w:tr>
    </w:tbl>
    <w:p>
      <w:pPr>
        <w:jc w:val="both"/>
        <w:rPr>
          <w:rFonts w:cs="Times New Roman"/>
          <w:noProof/>
          <w:lang w:val="en-GB"/>
        </w:rPr>
        <w:sectPr>
          <w:headerReference w:type="even" r:id="rId129"/>
          <w:headerReference w:type="default" r:id="rId130"/>
          <w:footerReference w:type="even" r:id="rId131"/>
          <w:footerReference w:type="default" r:id="rId132"/>
          <w:headerReference w:type="first" r:id="rId133"/>
          <w:footerReference w:type="first" r:id="rId134"/>
          <w:pgSz w:w="11906" w:h="16838"/>
          <w:pgMar w:top="1020" w:right="1701" w:bottom="1020" w:left="1587" w:header="601" w:footer="1077" w:gutter="0"/>
          <w:cols w:space="720"/>
          <w:titlePg/>
        </w:sectPr>
      </w:pPr>
    </w:p>
    <w:p>
      <w:pPr>
        <w:pStyle w:val="AnnexTitle"/>
        <w:rPr>
          <w:noProof/>
        </w:rPr>
      </w:pPr>
      <w:bookmarkStart w:id="26" w:name="_Toc14708149"/>
      <w:r>
        <w:rPr>
          <w:noProof/>
        </w:rPr>
        <w:t xml:space="preserve">Annex </w:t>
      </w:r>
      <w:r>
        <w:rPr>
          <w:noProof/>
        </w:rPr>
        <w:fldChar w:fldCharType="begin"/>
      </w:r>
      <w:r>
        <w:rPr>
          <w:noProof/>
        </w:rPr>
        <w:instrText xml:space="preserve"> SEQ Annex \* ARABIC </w:instrText>
      </w:r>
      <w:r>
        <w:rPr>
          <w:noProof/>
        </w:rPr>
        <w:fldChar w:fldCharType="separate"/>
      </w:r>
      <w:r>
        <w:rPr>
          <w:noProof/>
        </w:rPr>
        <w:t>1</w:t>
      </w:r>
      <w:r>
        <w:rPr>
          <w:noProof/>
        </w:rPr>
        <w:fldChar w:fldCharType="end"/>
      </w:r>
      <w:r>
        <w:rPr>
          <w:noProof/>
        </w:rPr>
        <w:t>: Procedural information</w:t>
      </w:r>
      <w:bookmarkEnd w:id="26"/>
    </w:p>
    <w:p>
      <w:pPr>
        <w:rPr>
          <w:rFonts w:cs="Times New Roman"/>
          <w:noProof/>
          <w:szCs w:val="24"/>
        </w:rPr>
      </w:pPr>
    </w:p>
    <w:p>
      <w:pPr>
        <w:pStyle w:val="ListParagraph"/>
        <w:numPr>
          <w:ilvl w:val="0"/>
          <w:numId w:val="23"/>
        </w:numPr>
        <w:spacing w:before="200" w:after="200"/>
        <w:ind w:left="357" w:hanging="357"/>
        <w:rPr>
          <w:b/>
          <w:smallCaps/>
          <w:noProof/>
          <w:szCs w:val="24"/>
        </w:rPr>
      </w:pPr>
      <w:r>
        <w:rPr>
          <w:b/>
          <w:smallCaps/>
          <w:noProof/>
          <w:szCs w:val="24"/>
        </w:rPr>
        <w:t>Lead DG, Decide Planning/CWP references</w:t>
      </w:r>
    </w:p>
    <w:p>
      <w:pPr>
        <w:rPr>
          <w:rFonts w:cs="Times New Roman"/>
          <w:noProof/>
          <w:szCs w:val="24"/>
          <w:lang w:val="en-GB"/>
        </w:rPr>
      </w:pPr>
      <w:r>
        <w:rPr>
          <w:rFonts w:cs="Times New Roman"/>
          <w:noProof/>
          <w:szCs w:val="24"/>
          <w:lang w:val="en-GB"/>
        </w:rPr>
        <w:t>DG Informatics (DIGIT), PLAN/2018/2654.</w:t>
      </w:r>
    </w:p>
    <w:p>
      <w:pPr>
        <w:pStyle w:val="ListParagraph"/>
        <w:numPr>
          <w:ilvl w:val="0"/>
          <w:numId w:val="23"/>
        </w:numPr>
        <w:spacing w:before="200" w:after="200"/>
        <w:ind w:left="357" w:hanging="357"/>
        <w:rPr>
          <w:b/>
          <w:smallCaps/>
          <w:noProof/>
          <w:szCs w:val="24"/>
        </w:rPr>
      </w:pPr>
      <w:r>
        <w:rPr>
          <w:b/>
          <w:smallCaps/>
          <w:noProof/>
          <w:szCs w:val="24"/>
        </w:rPr>
        <w:t>Organisation and timing</w:t>
      </w:r>
    </w:p>
    <w:p>
      <w:pPr>
        <w:jc w:val="both"/>
        <w:rPr>
          <w:rFonts w:cs="Times New Roman"/>
          <w:noProof/>
          <w:szCs w:val="24"/>
          <w:lang w:val="en-GB"/>
        </w:rPr>
      </w:pPr>
      <w:r>
        <w:rPr>
          <w:rFonts w:cs="Times New Roman"/>
          <w:noProof/>
          <w:szCs w:val="24"/>
          <w:lang w:val="en-GB"/>
        </w:rPr>
        <w:t xml:space="preserve">The Commission announced this interim evaluation in an </w:t>
      </w:r>
      <w:hyperlink r:id="rId135" w:history="1">
        <w:r>
          <w:rPr>
            <w:rStyle w:val="Hyperlink"/>
            <w:rFonts w:cs="Times New Roman"/>
            <w:noProof/>
            <w:szCs w:val="24"/>
            <w:lang w:val="en-US"/>
          </w:rPr>
          <w:t>evaluation and fitness check roadmap</w:t>
        </w:r>
      </w:hyperlink>
      <w:r>
        <w:rPr>
          <w:rFonts w:cs="Times New Roman"/>
          <w:noProof/>
          <w:szCs w:val="24"/>
          <w:vertAlign w:val="superscript"/>
          <w:lang w:val="en-US"/>
        </w:rPr>
        <w:footnoteReference w:id="98"/>
      </w:r>
      <w:r>
        <w:rPr>
          <w:rFonts w:cs="Times New Roman"/>
          <w:noProof/>
          <w:szCs w:val="24"/>
          <w:lang w:val="en-GB"/>
        </w:rPr>
        <w:t xml:space="preserve"> on 29 May 2018.</w:t>
      </w:r>
    </w:p>
    <w:p>
      <w:pPr>
        <w:jc w:val="both"/>
        <w:rPr>
          <w:rFonts w:cs="Times New Roman"/>
          <w:noProof/>
          <w:szCs w:val="24"/>
          <w:lang w:val="en-GB"/>
        </w:rPr>
      </w:pPr>
      <w:r>
        <w:rPr>
          <w:rFonts w:cs="Times New Roman"/>
          <w:noProof/>
          <w:szCs w:val="24"/>
          <w:lang w:val="en-GB"/>
        </w:rPr>
        <w:t>Following the invitation by the Director-General of DIGIT in May 2018, the first Inter-service Steering Group (ISSG) meeting took place on 8 June 2018, with participants from DG CNECT, DIGIT, EMPL, FISMA, GROW, OP, SG, TAXUD and the JRC. The ISSG met five times between June 2018 and June 2019, as follows:</w:t>
      </w:r>
    </w:p>
    <w:tbl>
      <w:tblPr>
        <w:tblStyle w:val="ListTable1LightAccent1"/>
        <w:tblW w:w="0" w:type="auto"/>
        <w:tblLook w:val="04A0" w:firstRow="1" w:lastRow="0" w:firstColumn="1" w:lastColumn="0" w:noHBand="0" w:noVBand="1"/>
      </w:tblPr>
      <w:tblGrid>
        <w:gridCol w:w="4417"/>
        <w:gridCol w:w="441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pPr>
              <w:spacing w:before="60" w:after="60"/>
              <w:jc w:val="center"/>
              <w:rPr>
                <w:rFonts w:cs="Times New Roman"/>
                <w:noProof/>
                <w:sz w:val="22"/>
                <w:szCs w:val="24"/>
                <w:lang w:val="en-GB"/>
              </w:rPr>
            </w:pPr>
            <w:r>
              <w:rPr>
                <w:rFonts w:cs="Times New Roman"/>
                <w:noProof/>
                <w:sz w:val="22"/>
                <w:szCs w:val="24"/>
                <w:lang w:val="en-GB"/>
              </w:rPr>
              <w:t>Period</w:t>
            </w:r>
          </w:p>
        </w:tc>
        <w:tc>
          <w:tcPr>
            <w:tcW w:w="4417" w:type="dxa"/>
          </w:tcPr>
          <w:p>
            <w:pPr>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noProof/>
                <w:sz w:val="22"/>
                <w:szCs w:val="24"/>
                <w:lang w:val="en-GB"/>
              </w:rPr>
            </w:pPr>
            <w:r>
              <w:rPr>
                <w:rFonts w:cs="Times New Roman"/>
                <w:noProof/>
                <w:sz w:val="22"/>
                <w:szCs w:val="24"/>
                <w:lang w:val="en-GB"/>
              </w:rPr>
              <w:t>Activity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pPr>
              <w:spacing w:before="60" w:after="60"/>
              <w:jc w:val="both"/>
              <w:rPr>
                <w:rFonts w:cs="Times New Roman"/>
                <w:b w:val="0"/>
                <w:noProof/>
                <w:sz w:val="22"/>
                <w:szCs w:val="24"/>
                <w:lang w:val="en-GB"/>
              </w:rPr>
            </w:pPr>
            <w:r>
              <w:rPr>
                <w:rFonts w:cs="Times New Roman"/>
                <w:b w:val="0"/>
                <w:noProof/>
                <w:sz w:val="22"/>
                <w:szCs w:val="24"/>
                <w:lang w:val="en-GB"/>
              </w:rPr>
              <w:t>June 2018 – October 2018</w:t>
            </w:r>
          </w:p>
        </w:tc>
        <w:tc>
          <w:tcPr>
            <w:tcW w:w="4417" w:type="dxa"/>
          </w:tcPr>
          <w:p>
            <w:pPr>
              <w:pStyle w:val="TableNormal0"/>
              <w:cnfStyle w:val="000000100000" w:firstRow="0" w:lastRow="0" w:firstColumn="0" w:lastColumn="0" w:oddVBand="0" w:evenVBand="0" w:oddHBand="1" w:evenHBand="0" w:firstRowFirstColumn="0" w:firstRowLastColumn="0" w:lastRowFirstColumn="0" w:lastRowLastColumn="0"/>
              <w:rPr>
                <w:noProof/>
              </w:rPr>
            </w:pPr>
            <w:r>
              <w:rPr>
                <w:noProof/>
              </w:rPr>
              <w:t>Involvement of external consultants</w:t>
            </w:r>
          </w:p>
        </w:tc>
      </w:tr>
      <w:tr>
        <w:tc>
          <w:tcPr>
            <w:cnfStyle w:val="001000000000" w:firstRow="0" w:lastRow="0" w:firstColumn="1" w:lastColumn="0" w:oddVBand="0" w:evenVBand="0" w:oddHBand="0" w:evenHBand="0" w:firstRowFirstColumn="0" w:firstRowLastColumn="0" w:lastRowFirstColumn="0" w:lastRowLastColumn="0"/>
            <w:tcW w:w="4417" w:type="dxa"/>
          </w:tcPr>
          <w:p>
            <w:pPr>
              <w:spacing w:before="60" w:after="60"/>
              <w:jc w:val="both"/>
              <w:rPr>
                <w:rFonts w:cs="Times New Roman"/>
                <w:b w:val="0"/>
                <w:noProof/>
                <w:sz w:val="22"/>
                <w:szCs w:val="24"/>
                <w:lang w:val="en-GB"/>
              </w:rPr>
            </w:pPr>
            <w:r>
              <w:rPr>
                <w:rFonts w:cs="Times New Roman"/>
                <w:b w:val="0"/>
                <w:noProof/>
                <w:sz w:val="22"/>
                <w:szCs w:val="24"/>
                <w:lang w:val="en-GB"/>
              </w:rPr>
              <w:t>November 2018 – May 2019 :</w:t>
            </w:r>
          </w:p>
          <w:p>
            <w:pPr>
              <w:pStyle w:val="ListParagraph"/>
              <w:numPr>
                <w:ilvl w:val="0"/>
                <w:numId w:val="2"/>
              </w:numPr>
              <w:spacing w:before="60" w:after="60"/>
              <w:rPr>
                <w:b w:val="0"/>
                <w:noProof/>
                <w:sz w:val="22"/>
                <w:szCs w:val="24"/>
                <w:lang w:eastAsia="en-GB"/>
              </w:rPr>
            </w:pPr>
            <w:r>
              <w:rPr>
                <w:b w:val="0"/>
                <w:noProof/>
                <w:sz w:val="22"/>
                <w:szCs w:val="24"/>
              </w:rPr>
              <w:t>November 2018 – March 2019</w:t>
            </w:r>
          </w:p>
          <w:p>
            <w:pPr>
              <w:pStyle w:val="ListParagraph"/>
              <w:numPr>
                <w:ilvl w:val="0"/>
                <w:numId w:val="2"/>
              </w:numPr>
              <w:spacing w:before="60" w:after="60"/>
              <w:rPr>
                <w:b w:val="0"/>
                <w:noProof/>
                <w:sz w:val="22"/>
                <w:szCs w:val="24"/>
                <w:lang w:eastAsia="en-GB"/>
              </w:rPr>
            </w:pPr>
            <w:r>
              <w:rPr>
                <w:b w:val="0"/>
                <w:noProof/>
                <w:sz w:val="22"/>
                <w:szCs w:val="24"/>
                <w:lang w:eastAsia="en-GB"/>
              </w:rPr>
              <w:t>February 2019 – May 2019</w:t>
            </w:r>
          </w:p>
        </w:tc>
        <w:tc>
          <w:tcPr>
            <w:tcW w:w="4417" w:type="dxa"/>
          </w:tcPr>
          <w:p>
            <w:pPr>
              <w:pStyle w:val="TableNormal0"/>
              <w:cnfStyle w:val="000000000000" w:firstRow="0" w:lastRow="0" w:firstColumn="0" w:lastColumn="0" w:oddVBand="0" w:evenVBand="0" w:oddHBand="0" w:evenHBand="0" w:firstRowFirstColumn="0" w:firstRowLastColumn="0" w:lastRowFirstColumn="0" w:lastRowLastColumn="0"/>
              <w:rPr>
                <w:noProof/>
              </w:rPr>
            </w:pPr>
            <w:r>
              <w:rPr>
                <w:noProof/>
              </w:rPr>
              <w:t>Running the evaluation process:</w:t>
            </w:r>
          </w:p>
          <w:p>
            <w:pPr>
              <w:pStyle w:val="ListParagraph"/>
              <w:numPr>
                <w:ilvl w:val="0"/>
                <w:numId w:val="2"/>
              </w:numPr>
              <w:spacing w:before="60" w:after="60"/>
              <w:cnfStyle w:val="000000000000" w:firstRow="0" w:lastRow="0" w:firstColumn="0" w:lastColumn="0" w:oddVBand="0" w:evenVBand="0" w:oddHBand="0" w:evenHBand="0" w:firstRowFirstColumn="0" w:firstRowLastColumn="0" w:lastRowFirstColumn="0" w:lastRowLastColumn="0"/>
              <w:rPr>
                <w:noProof/>
                <w:sz w:val="22"/>
                <w:szCs w:val="24"/>
              </w:rPr>
            </w:pPr>
            <w:r>
              <w:rPr>
                <w:noProof/>
                <w:sz w:val="22"/>
              </w:rPr>
              <w:t>Data collection</w:t>
            </w:r>
          </w:p>
          <w:p>
            <w:pPr>
              <w:pStyle w:val="ListParagraph"/>
              <w:numPr>
                <w:ilvl w:val="0"/>
                <w:numId w:val="2"/>
              </w:numPr>
              <w:spacing w:before="60" w:after="60"/>
              <w:cnfStyle w:val="000000000000" w:firstRow="0" w:lastRow="0" w:firstColumn="0" w:lastColumn="0" w:oddVBand="0" w:evenVBand="0" w:oddHBand="0" w:evenHBand="0" w:firstRowFirstColumn="0" w:firstRowLastColumn="0" w:lastRowFirstColumn="0" w:lastRowLastColumn="0"/>
              <w:rPr>
                <w:noProof/>
                <w:color w:val="365F91" w:themeColor="accent1" w:themeShade="BF"/>
                <w:sz w:val="22"/>
                <w:szCs w:val="24"/>
              </w:rPr>
            </w:pPr>
            <w:r>
              <w:rPr>
                <w:noProof/>
                <w:sz w:val="22"/>
              </w:rPr>
              <w:t>Data analysis and synthesis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7" w:type="dxa"/>
          </w:tcPr>
          <w:p>
            <w:pPr>
              <w:spacing w:before="60" w:after="60"/>
              <w:jc w:val="both"/>
              <w:rPr>
                <w:rFonts w:cs="Times New Roman"/>
                <w:b w:val="0"/>
                <w:noProof/>
                <w:sz w:val="22"/>
                <w:szCs w:val="24"/>
                <w:lang w:val="en-GB"/>
              </w:rPr>
            </w:pPr>
            <w:r>
              <w:rPr>
                <w:rFonts w:cs="Times New Roman"/>
                <w:b w:val="0"/>
                <w:noProof/>
                <w:sz w:val="22"/>
                <w:szCs w:val="24"/>
                <w:lang w:val="en-GB"/>
              </w:rPr>
              <w:t>June 2019</w:t>
            </w:r>
          </w:p>
        </w:tc>
        <w:tc>
          <w:tcPr>
            <w:tcW w:w="4417" w:type="dxa"/>
          </w:tcPr>
          <w:p>
            <w:pPr>
              <w:pStyle w:val="TableNormal0"/>
              <w:cnfStyle w:val="000000100000" w:firstRow="0" w:lastRow="0" w:firstColumn="0" w:lastColumn="0" w:oddVBand="0" w:evenVBand="0" w:oddHBand="1" w:evenHBand="0" w:firstRowFirstColumn="0" w:firstRowLastColumn="0" w:lastRowFirstColumn="0" w:lastRowLastColumn="0"/>
              <w:rPr>
                <w:noProof/>
              </w:rPr>
            </w:pPr>
            <w:r>
              <w:rPr>
                <w:noProof/>
              </w:rPr>
              <w:t>Preparation of the Commission report for inter-service consultation and adoption</w:t>
            </w:r>
          </w:p>
        </w:tc>
      </w:tr>
    </w:tbl>
    <w:p>
      <w:pPr>
        <w:pStyle w:val="ListParagraph"/>
        <w:numPr>
          <w:ilvl w:val="0"/>
          <w:numId w:val="23"/>
        </w:numPr>
        <w:spacing w:before="200" w:after="200"/>
        <w:ind w:left="357" w:hanging="357"/>
        <w:rPr>
          <w:b/>
          <w:smallCaps/>
          <w:noProof/>
          <w:szCs w:val="24"/>
        </w:rPr>
      </w:pPr>
      <w:r>
        <w:rPr>
          <w:b/>
          <w:smallCaps/>
          <w:noProof/>
          <w:szCs w:val="24"/>
        </w:rPr>
        <w:t>Exceptions to the better regulation guidelines</w:t>
      </w:r>
    </w:p>
    <w:p>
      <w:pPr>
        <w:rPr>
          <w:rFonts w:cs="Times New Roman"/>
          <w:noProof/>
        </w:rPr>
      </w:pPr>
      <w:r>
        <w:rPr>
          <w:rFonts w:cs="Times New Roman"/>
          <w:noProof/>
        </w:rPr>
        <w:t>Not applicable</w:t>
      </w:r>
    </w:p>
    <w:p>
      <w:pPr>
        <w:pStyle w:val="ListParagraph"/>
        <w:numPr>
          <w:ilvl w:val="0"/>
          <w:numId w:val="23"/>
        </w:numPr>
        <w:spacing w:before="200" w:after="200"/>
        <w:ind w:left="357" w:hanging="357"/>
        <w:rPr>
          <w:b/>
          <w:smallCaps/>
          <w:noProof/>
          <w:szCs w:val="24"/>
        </w:rPr>
      </w:pPr>
      <w:r>
        <w:rPr>
          <w:b/>
          <w:smallCaps/>
          <w:noProof/>
          <w:szCs w:val="24"/>
        </w:rPr>
        <w:t>Consultation of the RSB (if applicable)</w:t>
      </w:r>
    </w:p>
    <w:p>
      <w:pPr>
        <w:rPr>
          <w:rFonts w:cs="Times New Roman"/>
          <w:noProof/>
        </w:rPr>
      </w:pPr>
      <w:r>
        <w:rPr>
          <w:rFonts w:cs="Times New Roman"/>
          <w:noProof/>
        </w:rPr>
        <w:t>Not applicable</w:t>
      </w:r>
    </w:p>
    <w:p>
      <w:pPr>
        <w:pStyle w:val="ListParagraph"/>
        <w:numPr>
          <w:ilvl w:val="0"/>
          <w:numId w:val="23"/>
        </w:numPr>
        <w:spacing w:before="200" w:after="200"/>
        <w:ind w:left="357" w:hanging="357"/>
        <w:rPr>
          <w:b/>
          <w:smallCaps/>
          <w:noProof/>
          <w:szCs w:val="24"/>
        </w:rPr>
      </w:pPr>
      <w:r>
        <w:rPr>
          <w:b/>
          <w:smallCaps/>
          <w:noProof/>
          <w:szCs w:val="24"/>
        </w:rPr>
        <w:t>Evidence, sources and quality</w:t>
      </w:r>
    </w:p>
    <w:p>
      <w:pPr>
        <w:rPr>
          <w:rFonts w:cs="Times New Roman"/>
          <w:b/>
          <w:i/>
          <w:noProof/>
        </w:rPr>
      </w:pPr>
      <w:r>
        <w:rPr>
          <w:rFonts w:cs="Times New Roman"/>
          <w:b/>
          <w:i/>
          <w:noProof/>
        </w:rPr>
        <w:t>Evidence &amp; sources</w:t>
      </w:r>
    </w:p>
    <w:p>
      <w:pPr>
        <w:jc w:val="both"/>
        <w:rPr>
          <w:rFonts w:cs="Times New Roman"/>
          <w:noProof/>
          <w:lang w:val="en-GB"/>
        </w:rPr>
      </w:pPr>
      <w:r>
        <w:rPr>
          <w:rFonts w:cs="Times New Roman"/>
          <w:noProof/>
          <w:lang w:val="en-GB"/>
        </w:rPr>
        <w:t>Data have been drawn from two main sources:</w:t>
      </w:r>
    </w:p>
    <w:p>
      <w:pPr>
        <w:rPr>
          <w:rFonts w:cs="Times New Roman"/>
          <w:noProof/>
          <w:lang w:val="en-GB"/>
        </w:rPr>
      </w:pPr>
      <w:r>
        <w:rPr>
          <w:rFonts w:cs="Times New Roman"/>
          <w:noProof/>
          <w:lang w:val="en-GB"/>
        </w:rPr>
        <w:br w:type="page"/>
      </w:r>
    </w:p>
    <w:p>
      <w:pPr>
        <w:jc w:val="both"/>
        <w:rPr>
          <w:rFonts w:cs="Times New Roman"/>
          <w:noProof/>
          <w:lang w:val="en-GB"/>
        </w:rPr>
      </w:pPr>
      <w:r>
        <w:rPr>
          <w:rFonts w:cs="Times New Roman"/>
          <w:noProof/>
          <w:lang w:val="en-GB"/>
        </w:rPr>
        <w:t xml:space="preserve">1) </w:t>
      </w:r>
      <w:r>
        <w:rPr>
          <w:rFonts w:cs="Times New Roman"/>
          <w:b/>
          <w:noProof/>
          <w:lang w:val="en-GB"/>
        </w:rPr>
        <w:t>Primary data</w:t>
      </w:r>
      <w:r>
        <w:rPr>
          <w:rFonts w:cs="Times New Roman"/>
          <w:noProof/>
          <w:lang w:val="en-GB"/>
        </w:rPr>
        <w:t xml:space="preserve"> were collected through the below consultation activities:</w:t>
      </w:r>
    </w:p>
    <w:tbl>
      <w:tblPr>
        <w:tblStyle w:val="GridTable4Accent1"/>
        <w:tblW w:w="0" w:type="auto"/>
        <w:tblLook w:val="0420" w:firstRow="1" w:lastRow="0" w:firstColumn="0" w:lastColumn="0" w:noHBand="0" w:noVBand="1"/>
      </w:tblPr>
      <w:tblGrid>
        <w:gridCol w:w="5806"/>
        <w:gridCol w:w="3028"/>
      </w:tblGrid>
      <w:tr>
        <w:trPr>
          <w:cnfStyle w:val="100000000000" w:firstRow="1" w:lastRow="0" w:firstColumn="0" w:lastColumn="0" w:oddVBand="0" w:evenVBand="0" w:oddHBand="0" w:evenHBand="0" w:firstRowFirstColumn="0" w:firstRowLastColumn="0" w:lastRowFirstColumn="0" w:lastRowLastColumn="0"/>
        </w:trPr>
        <w:tc>
          <w:tcPr>
            <w:tcW w:w="5935" w:type="dxa"/>
            <w:hideMark/>
          </w:tcPr>
          <w:p>
            <w:pPr>
              <w:spacing w:before="60" w:after="60"/>
              <w:jc w:val="center"/>
              <w:rPr>
                <w:rFonts w:eastAsiaTheme="majorEastAsia" w:cs="Times New Roman"/>
                <w:bCs w:val="0"/>
                <w:noProof/>
                <w:snapToGrid w:val="0"/>
                <w:color w:val="000000" w:themeColor="text1"/>
                <w:sz w:val="22"/>
                <w:lang w:val="en-GB" w:eastAsia="de-DE"/>
              </w:rPr>
            </w:pPr>
            <w:r>
              <w:rPr>
                <w:rFonts w:cs="Times New Roman"/>
                <w:noProof/>
                <w:sz w:val="22"/>
                <w:lang w:val="en-GB" w:eastAsia="de-DE"/>
              </w:rPr>
              <w:t>Consultation activity</w:t>
            </w:r>
          </w:p>
        </w:tc>
        <w:tc>
          <w:tcPr>
            <w:tcW w:w="3081" w:type="dxa"/>
            <w:hideMark/>
          </w:tcPr>
          <w:p>
            <w:pPr>
              <w:spacing w:before="60" w:after="60"/>
              <w:jc w:val="center"/>
              <w:rPr>
                <w:rFonts w:eastAsiaTheme="majorEastAsia" w:cs="Times New Roman"/>
                <w:bCs w:val="0"/>
                <w:noProof/>
                <w:snapToGrid w:val="0"/>
                <w:color w:val="000000" w:themeColor="text1"/>
                <w:sz w:val="22"/>
                <w:lang w:val="en-GB" w:eastAsia="de-DE"/>
              </w:rPr>
            </w:pPr>
            <w:r>
              <w:rPr>
                <w:rFonts w:cs="Times New Roman"/>
                <w:noProof/>
                <w:sz w:val="22"/>
                <w:lang w:val="en-GB" w:eastAsia="de-DE"/>
              </w:rPr>
              <w:t>Timeframe</w:t>
            </w:r>
          </w:p>
        </w:tc>
      </w:tr>
      <w:tr>
        <w:trPr>
          <w:cnfStyle w:val="000000100000" w:firstRow="0" w:lastRow="0" w:firstColumn="0" w:lastColumn="0" w:oddVBand="0" w:evenVBand="0" w:oddHBand="1" w:evenHBand="0" w:firstRowFirstColumn="0" w:firstRowLastColumn="0" w:lastRowFirstColumn="0" w:lastRowLastColumn="0"/>
        </w:trPr>
        <w:tc>
          <w:tcPr>
            <w:tcW w:w="5935" w:type="dxa"/>
            <w:hideMark/>
          </w:tcPr>
          <w:p>
            <w:pPr>
              <w:spacing w:before="60" w:after="60"/>
              <w:rPr>
                <w:rFonts w:cs="Times New Roman"/>
                <w:b/>
                <w:bCs/>
                <w:noProof/>
                <w:sz w:val="22"/>
                <w:lang w:val="en-GB" w:eastAsia="de-DE"/>
              </w:rPr>
            </w:pPr>
            <w:r>
              <w:rPr>
                <w:rFonts w:cs="Times New Roman"/>
                <w:b/>
                <w:noProof/>
                <w:sz w:val="22"/>
                <w:lang w:val="en-GB" w:eastAsia="de-DE"/>
              </w:rPr>
              <w:t>ISA</w:t>
            </w:r>
            <w:r>
              <w:rPr>
                <w:rFonts w:cs="Times New Roman"/>
                <w:b/>
                <w:noProof/>
                <w:sz w:val="22"/>
                <w:vertAlign w:val="superscript"/>
                <w:lang w:val="en-GB" w:eastAsia="de-DE"/>
              </w:rPr>
              <w:t>2</w:t>
            </w:r>
            <w:r>
              <w:rPr>
                <w:rFonts w:cs="Times New Roman"/>
                <w:b/>
                <w:noProof/>
                <w:sz w:val="22"/>
                <w:lang w:val="en-GB" w:eastAsia="de-DE"/>
              </w:rPr>
              <w:t xml:space="preserve"> Mid-Term Conference short questionnaire</w:t>
            </w:r>
            <w:r>
              <w:rPr>
                <w:rFonts w:cs="Times New Roman"/>
                <w:noProof/>
                <w:sz w:val="22"/>
                <w:lang w:val="en-GB" w:eastAsia="de-DE"/>
              </w:rPr>
              <w:t>: A short questionnaire based on the public consultation questionnaire was distributed during the ISA</w:t>
            </w:r>
            <w:r>
              <w:rPr>
                <w:rFonts w:cs="Times New Roman"/>
                <w:noProof/>
                <w:sz w:val="22"/>
                <w:vertAlign w:val="superscript"/>
                <w:lang w:val="en-GB" w:eastAsia="de-DE"/>
              </w:rPr>
              <w:t>2</w:t>
            </w:r>
            <w:r>
              <w:rPr>
                <w:rFonts w:cs="Times New Roman"/>
                <w:noProof/>
                <w:sz w:val="22"/>
                <w:lang w:val="en-GB" w:eastAsia="de-DE"/>
              </w:rPr>
              <w:t xml:space="preserve"> Mid-Term Conference and during the Kick-off workshop.</w:t>
            </w:r>
          </w:p>
        </w:tc>
        <w:tc>
          <w:tcPr>
            <w:tcW w:w="3081" w:type="dxa"/>
            <w:hideMark/>
          </w:tcPr>
          <w:p>
            <w:pPr>
              <w:spacing w:before="60" w:after="60"/>
              <w:rPr>
                <w:rFonts w:cs="Times New Roman"/>
                <w:noProof/>
                <w:sz w:val="22"/>
                <w:lang w:val="en-GB" w:eastAsia="de-DE"/>
              </w:rPr>
            </w:pPr>
            <w:r>
              <w:rPr>
                <w:rFonts w:cs="Times New Roman"/>
                <w:noProof/>
                <w:sz w:val="22"/>
                <w:lang w:val="en-GB" w:eastAsia="de-DE"/>
              </w:rPr>
              <w:t xml:space="preserve">29 - 30 November 2018 </w:t>
            </w:r>
          </w:p>
        </w:tc>
      </w:tr>
      <w:tr>
        <w:tc>
          <w:tcPr>
            <w:tcW w:w="5935" w:type="dxa"/>
            <w:hideMark/>
          </w:tcPr>
          <w:p>
            <w:pPr>
              <w:spacing w:before="60" w:after="60"/>
              <w:rPr>
                <w:rFonts w:cs="Times New Roman"/>
                <w:b/>
                <w:bCs/>
                <w:noProof/>
                <w:sz w:val="22"/>
                <w:lang w:val="en-GB" w:eastAsia="de-DE"/>
              </w:rPr>
            </w:pPr>
            <w:r>
              <w:rPr>
                <w:rFonts w:cs="Times New Roman"/>
                <w:b/>
                <w:noProof/>
                <w:sz w:val="22"/>
                <w:lang w:val="en-GB" w:eastAsia="de-DE"/>
              </w:rPr>
              <w:t>Kick-off workshop</w:t>
            </w:r>
            <w:r>
              <w:rPr>
                <w:rFonts w:cs="Times New Roman"/>
                <w:noProof/>
                <w:sz w:val="22"/>
                <w:lang w:val="en-GB" w:eastAsia="de-DE"/>
              </w:rPr>
              <w:t>: The workshop was to present the interim evaluation and the planned consultation activities to the different stakeholder groups of the ISA</w:t>
            </w:r>
            <w:r>
              <w:rPr>
                <w:rFonts w:cs="Times New Roman"/>
                <w:noProof/>
                <w:sz w:val="22"/>
                <w:vertAlign w:val="superscript"/>
                <w:lang w:val="en-GB" w:eastAsia="de-DE"/>
              </w:rPr>
              <w:t>2</w:t>
            </w:r>
            <w:r>
              <w:rPr>
                <w:rFonts w:cs="Times New Roman"/>
                <w:noProof/>
                <w:sz w:val="22"/>
                <w:lang w:val="en-GB" w:eastAsia="de-DE"/>
              </w:rPr>
              <w:t xml:space="preserve"> programme.</w:t>
            </w:r>
          </w:p>
        </w:tc>
        <w:tc>
          <w:tcPr>
            <w:tcW w:w="3081" w:type="dxa"/>
            <w:hideMark/>
          </w:tcPr>
          <w:p>
            <w:pPr>
              <w:spacing w:before="60" w:after="60"/>
              <w:rPr>
                <w:rFonts w:cs="Times New Roman"/>
                <w:noProof/>
                <w:sz w:val="22"/>
                <w:lang w:val="en-GB" w:eastAsia="de-DE"/>
              </w:rPr>
            </w:pPr>
            <w:r>
              <w:rPr>
                <w:rFonts w:cs="Times New Roman"/>
                <w:noProof/>
                <w:sz w:val="22"/>
                <w:lang w:val="en-GB" w:eastAsia="de-DE"/>
              </w:rPr>
              <w:t>30 November 2018</w:t>
            </w:r>
          </w:p>
        </w:tc>
      </w:tr>
      <w:tr>
        <w:trPr>
          <w:cnfStyle w:val="000000100000" w:firstRow="0" w:lastRow="0" w:firstColumn="0" w:lastColumn="0" w:oddVBand="0" w:evenVBand="0" w:oddHBand="1" w:evenHBand="0" w:firstRowFirstColumn="0" w:firstRowLastColumn="0" w:lastRowFirstColumn="0" w:lastRowLastColumn="0"/>
        </w:trPr>
        <w:tc>
          <w:tcPr>
            <w:tcW w:w="5935" w:type="dxa"/>
            <w:hideMark/>
          </w:tcPr>
          <w:p>
            <w:pPr>
              <w:spacing w:before="60" w:after="60"/>
              <w:rPr>
                <w:rFonts w:cs="Times New Roman"/>
                <w:b/>
                <w:bCs/>
                <w:noProof/>
                <w:sz w:val="22"/>
                <w:lang w:eastAsia="de-DE"/>
              </w:rPr>
            </w:pPr>
            <w:r>
              <w:rPr>
                <w:rFonts w:cs="Times New Roman"/>
                <w:b/>
                <w:noProof/>
                <w:sz w:val="22"/>
                <w:lang w:val="en-GB" w:eastAsia="de-DE"/>
              </w:rPr>
              <w:t>Public consultation</w:t>
            </w:r>
            <w:r>
              <w:rPr>
                <w:rFonts w:cs="Times New Roman"/>
                <w:noProof/>
                <w:sz w:val="22"/>
                <w:lang w:val="en-GB" w:eastAsia="de-DE"/>
              </w:rPr>
              <w:t>: This activity gave all relevant parties, primarily general public, businesses, stakeholders’ associations and public administrations, the opportunity to express their opinions and views on the achievements of the ISA</w:t>
            </w:r>
            <w:r>
              <w:rPr>
                <w:rFonts w:cs="Times New Roman"/>
                <w:noProof/>
                <w:sz w:val="22"/>
                <w:vertAlign w:val="superscript"/>
                <w:lang w:val="en-GB" w:eastAsia="de-DE"/>
              </w:rPr>
              <w:t>2</w:t>
            </w:r>
            <w:r>
              <w:rPr>
                <w:rFonts w:cs="Times New Roman"/>
                <w:noProof/>
                <w:sz w:val="22"/>
                <w:lang w:val="en-GB" w:eastAsia="de-DE"/>
              </w:rPr>
              <w:t xml:space="preserve"> programme. The public consultation was available in 23 EU languages.</w:t>
            </w:r>
          </w:p>
        </w:tc>
        <w:tc>
          <w:tcPr>
            <w:tcW w:w="3081" w:type="dxa"/>
            <w:hideMark/>
          </w:tcPr>
          <w:p>
            <w:pPr>
              <w:spacing w:before="60" w:after="60"/>
              <w:rPr>
                <w:rFonts w:cs="Times New Roman"/>
                <w:noProof/>
                <w:sz w:val="22"/>
                <w:lang w:val="en-GB" w:eastAsia="de-DE"/>
              </w:rPr>
            </w:pPr>
            <w:r>
              <w:rPr>
                <w:rFonts w:cs="Times New Roman"/>
                <w:noProof/>
                <w:sz w:val="22"/>
                <w:lang w:val="en-GB" w:eastAsia="de-DE"/>
              </w:rPr>
              <w:t>7 December 2018 – 1 March 2019 (12 weeks)</w:t>
            </w:r>
          </w:p>
        </w:tc>
      </w:tr>
      <w:tr>
        <w:tc>
          <w:tcPr>
            <w:tcW w:w="5935" w:type="dxa"/>
            <w:hideMark/>
          </w:tcPr>
          <w:p>
            <w:pPr>
              <w:spacing w:before="60" w:after="60"/>
              <w:rPr>
                <w:rFonts w:cs="Times New Roman"/>
                <w:b/>
                <w:bCs/>
                <w:noProof/>
                <w:sz w:val="22"/>
                <w:lang w:val="en-GB" w:eastAsia="de-DE"/>
              </w:rPr>
            </w:pPr>
            <w:r>
              <w:rPr>
                <w:rFonts w:cs="Times New Roman"/>
                <w:b/>
                <w:noProof/>
                <w:sz w:val="22"/>
                <w:lang w:val="en-GB" w:eastAsia="de-DE"/>
              </w:rPr>
              <w:t>Targeted online surveys</w:t>
            </w:r>
            <w:r>
              <w:rPr>
                <w:rFonts w:cs="Times New Roman"/>
                <w:noProof/>
                <w:sz w:val="22"/>
                <w:lang w:val="en-GB" w:eastAsia="de-DE"/>
              </w:rPr>
              <w:t>: Five online surveys were made available on EUSurvey, targeting the following stakeholder groups: programme governance, action owners, solution users, stakeholders responsible for linked EU policies/initiatives, and standardisation organisations.</w:t>
            </w:r>
          </w:p>
        </w:tc>
        <w:tc>
          <w:tcPr>
            <w:tcW w:w="3081" w:type="dxa"/>
            <w:hideMark/>
          </w:tcPr>
          <w:p>
            <w:pPr>
              <w:spacing w:before="60" w:after="60"/>
              <w:rPr>
                <w:rFonts w:cs="Times New Roman"/>
                <w:noProof/>
                <w:sz w:val="22"/>
                <w:lang w:val="en-GB" w:eastAsia="de-DE"/>
              </w:rPr>
            </w:pPr>
            <w:r>
              <w:rPr>
                <w:rFonts w:cs="Times New Roman"/>
                <w:noProof/>
                <w:sz w:val="22"/>
                <w:lang w:val="en-GB" w:eastAsia="de-DE"/>
              </w:rPr>
              <w:t>14 December 2018 – 23 January 2019 (the surveys remained open after the initial deadline of 18 January 2018 to accommodate some last-minute requests from stakeholders)</w:t>
            </w:r>
          </w:p>
        </w:tc>
      </w:tr>
      <w:tr>
        <w:trPr>
          <w:cnfStyle w:val="000000100000" w:firstRow="0" w:lastRow="0" w:firstColumn="0" w:lastColumn="0" w:oddVBand="0" w:evenVBand="0" w:oddHBand="1" w:evenHBand="0" w:firstRowFirstColumn="0" w:firstRowLastColumn="0" w:lastRowFirstColumn="0" w:lastRowLastColumn="0"/>
        </w:trPr>
        <w:tc>
          <w:tcPr>
            <w:tcW w:w="5935" w:type="dxa"/>
            <w:hideMark/>
          </w:tcPr>
          <w:p>
            <w:pPr>
              <w:spacing w:before="60" w:after="60"/>
              <w:rPr>
                <w:rFonts w:cs="Times New Roman"/>
                <w:bCs/>
                <w:noProof/>
                <w:sz w:val="22"/>
                <w:lang w:val="en-GB" w:eastAsia="de-DE"/>
              </w:rPr>
            </w:pPr>
            <w:r>
              <w:rPr>
                <w:rFonts w:cs="Times New Roman"/>
                <w:b/>
                <w:noProof/>
                <w:sz w:val="22"/>
                <w:lang w:val="en-GB" w:eastAsia="de-DE"/>
              </w:rPr>
              <w:t>Targeted in-depth interviews</w:t>
            </w:r>
            <w:r>
              <w:rPr>
                <w:rFonts w:cs="Times New Roman"/>
                <w:noProof/>
                <w:sz w:val="22"/>
                <w:lang w:val="en-GB" w:eastAsia="de-DE"/>
              </w:rPr>
              <w:t>: Interviews were conducted with stakeholders from the five groups targeted by the online surveys: programme governance, action owners, solution users, stakeholders responsible for linked EU policies/initiatives, and a standardisation expert. The interviews, based on questionnaires very similar to those used for the online surveys, facilitated the collection of additional qualitative data to complement data collected via such surveys.</w:t>
            </w:r>
          </w:p>
        </w:tc>
        <w:tc>
          <w:tcPr>
            <w:tcW w:w="3081" w:type="dxa"/>
            <w:hideMark/>
          </w:tcPr>
          <w:p>
            <w:pPr>
              <w:spacing w:before="60" w:after="60"/>
              <w:rPr>
                <w:rFonts w:cs="Times New Roman"/>
                <w:noProof/>
                <w:sz w:val="22"/>
                <w:lang w:val="en-GB" w:eastAsia="de-DE"/>
              </w:rPr>
            </w:pPr>
            <w:r>
              <w:rPr>
                <w:rFonts w:cs="Times New Roman"/>
                <w:noProof/>
                <w:sz w:val="22"/>
                <w:lang w:val="en-GB" w:eastAsia="de-DE"/>
              </w:rPr>
              <w:t>12 December 2018 – 23 January 2019 (several interviews were conducted after the initial deadline set on 18 January 2018 as some stakeholders were not available to be interviewed at an earlier time)</w:t>
            </w:r>
          </w:p>
        </w:tc>
      </w:tr>
    </w:tbl>
    <w:p>
      <w:pPr>
        <w:pStyle w:val="ListBullet"/>
        <w:numPr>
          <w:ilvl w:val="0"/>
          <w:numId w:val="0"/>
        </w:numPr>
        <w:ind w:left="283" w:hanging="283"/>
        <w:rPr>
          <w:b/>
          <w:noProof/>
        </w:rPr>
      </w:pPr>
    </w:p>
    <w:p>
      <w:pPr>
        <w:pStyle w:val="ListBullet"/>
        <w:numPr>
          <w:ilvl w:val="0"/>
          <w:numId w:val="3"/>
        </w:numPr>
        <w:rPr>
          <w:noProof/>
        </w:rPr>
      </w:pPr>
      <w:r>
        <w:rPr>
          <w:b/>
          <w:noProof/>
        </w:rPr>
        <w:t>Secondary data</w:t>
      </w:r>
      <w:r>
        <w:rPr>
          <w:noProof/>
        </w:rPr>
        <w:t xml:space="preserve"> were gathered by reviewing:</w:t>
      </w:r>
    </w:p>
    <w:tbl>
      <w:tblPr>
        <w:tblStyle w:val="ListTable1LightAccent1"/>
        <w:tblW w:w="8733" w:type="dxa"/>
        <w:tblLook w:val="0420" w:firstRow="1" w:lastRow="0" w:firstColumn="0" w:lastColumn="0" w:noHBand="0" w:noVBand="1"/>
      </w:tblPr>
      <w:tblGrid>
        <w:gridCol w:w="8733"/>
      </w:tblGrid>
      <w:tr>
        <w:trPr>
          <w:cnfStyle w:val="100000000000" w:firstRow="1" w:lastRow="0" w:firstColumn="0" w:lastColumn="0" w:oddVBand="0" w:evenVBand="0" w:oddHBand="0" w:evenHBand="0" w:firstRowFirstColumn="0" w:firstRowLastColumn="0" w:lastRowFirstColumn="0" w:lastRowLastColumn="0"/>
        </w:trPr>
        <w:tc>
          <w:tcPr>
            <w:tcW w:w="8733" w:type="dxa"/>
            <w:hideMark/>
          </w:tcPr>
          <w:p>
            <w:pPr>
              <w:spacing w:before="60" w:after="60"/>
              <w:rPr>
                <w:rFonts w:eastAsiaTheme="majorEastAsia" w:cs="Times New Roman"/>
                <w:bCs w:val="0"/>
                <w:noProof/>
                <w:snapToGrid w:val="0"/>
                <w:color w:val="000000" w:themeColor="text1"/>
                <w:sz w:val="22"/>
                <w:szCs w:val="20"/>
                <w:lang w:val="en-GB" w:eastAsia="de-DE"/>
              </w:rPr>
            </w:pPr>
          </w:p>
        </w:tc>
      </w:tr>
      <w:tr>
        <w:trPr>
          <w:cnfStyle w:val="000000100000" w:firstRow="0" w:lastRow="0" w:firstColumn="0" w:lastColumn="0" w:oddVBand="0" w:evenVBand="0" w:oddHBand="1" w:evenHBand="0" w:firstRowFirstColumn="0" w:firstRowLastColumn="0" w:lastRowFirstColumn="0" w:lastRowLastColumn="0"/>
        </w:trPr>
        <w:tc>
          <w:tcPr>
            <w:tcW w:w="8733" w:type="dxa"/>
            <w:hideMark/>
          </w:tcPr>
          <w:p>
            <w:pPr>
              <w:spacing w:before="60" w:after="60"/>
              <w:rPr>
                <w:rFonts w:cs="Times New Roman"/>
                <w:bCs/>
                <w:noProof/>
                <w:sz w:val="22"/>
                <w:szCs w:val="20"/>
                <w:lang w:val="en-GB" w:eastAsia="de-DE"/>
              </w:rPr>
            </w:pPr>
            <w:r>
              <w:rPr>
                <w:rFonts w:cs="Times New Roman"/>
                <w:noProof/>
                <w:sz w:val="22"/>
                <w:szCs w:val="20"/>
                <w:lang w:val="en-GB" w:eastAsia="de-DE"/>
              </w:rPr>
              <w:t>The annual rolling work programmes of ISA</w:t>
            </w:r>
            <w:r>
              <w:rPr>
                <w:rFonts w:cs="Times New Roman"/>
                <w:noProof/>
                <w:sz w:val="22"/>
                <w:szCs w:val="20"/>
                <w:vertAlign w:val="superscript"/>
                <w:lang w:val="en-GB" w:eastAsia="de-DE"/>
              </w:rPr>
              <w:t>2</w:t>
            </w:r>
          </w:p>
        </w:tc>
      </w:tr>
      <w:tr>
        <w:tc>
          <w:tcPr>
            <w:tcW w:w="8733" w:type="dxa"/>
            <w:hideMark/>
          </w:tcPr>
          <w:p>
            <w:pPr>
              <w:spacing w:before="60" w:after="60"/>
              <w:rPr>
                <w:rFonts w:cs="Times New Roman"/>
                <w:bCs/>
                <w:noProof/>
                <w:sz w:val="22"/>
                <w:szCs w:val="20"/>
                <w:lang w:eastAsia="de-DE"/>
              </w:rPr>
            </w:pPr>
            <w:r>
              <w:rPr>
                <w:rFonts w:cs="Times New Roman"/>
                <w:noProof/>
                <w:sz w:val="22"/>
                <w:szCs w:val="20"/>
                <w:lang w:eastAsia="de-DE"/>
              </w:rPr>
              <w:t>The ISA</w:t>
            </w:r>
            <w:r>
              <w:rPr>
                <w:rFonts w:cs="Times New Roman"/>
                <w:noProof/>
                <w:sz w:val="22"/>
                <w:szCs w:val="20"/>
                <w:vertAlign w:val="superscript"/>
                <w:lang w:eastAsia="de-DE"/>
              </w:rPr>
              <w:t>2</w:t>
            </w:r>
            <w:r>
              <w:rPr>
                <w:rFonts w:cs="Times New Roman"/>
                <w:noProof/>
                <w:sz w:val="22"/>
                <w:szCs w:val="20"/>
                <w:lang w:eastAsia="de-DE"/>
              </w:rPr>
              <w:t xml:space="preserve"> Dashboard</w:t>
            </w:r>
          </w:p>
        </w:tc>
      </w:tr>
      <w:tr>
        <w:trPr>
          <w:cnfStyle w:val="000000100000" w:firstRow="0" w:lastRow="0" w:firstColumn="0" w:lastColumn="0" w:oddVBand="0" w:evenVBand="0" w:oddHBand="1" w:evenHBand="0" w:firstRowFirstColumn="0" w:firstRowLastColumn="0" w:lastRowFirstColumn="0" w:lastRowLastColumn="0"/>
        </w:trPr>
        <w:tc>
          <w:tcPr>
            <w:tcW w:w="8733" w:type="dxa"/>
            <w:hideMark/>
          </w:tcPr>
          <w:p>
            <w:pPr>
              <w:spacing w:before="60" w:after="60"/>
              <w:rPr>
                <w:rFonts w:cs="Times New Roman"/>
                <w:b/>
                <w:bCs/>
                <w:noProof/>
                <w:sz w:val="22"/>
                <w:szCs w:val="20"/>
                <w:lang w:val="en-GB" w:eastAsia="de-DE"/>
              </w:rPr>
            </w:pPr>
            <w:r>
              <w:rPr>
                <w:rFonts w:cs="Times New Roman"/>
                <w:noProof/>
                <w:sz w:val="22"/>
                <w:szCs w:val="20"/>
                <w:lang w:val="en-GB" w:eastAsia="de-DE"/>
              </w:rPr>
              <w:t>The Europa webpages on ISA</w:t>
            </w:r>
            <w:r>
              <w:rPr>
                <w:rFonts w:cs="Times New Roman"/>
                <w:noProof/>
                <w:sz w:val="22"/>
                <w:szCs w:val="20"/>
                <w:vertAlign w:val="superscript"/>
                <w:lang w:val="en-GB" w:eastAsia="de-DE"/>
              </w:rPr>
              <w:t>2</w:t>
            </w:r>
            <w:r>
              <w:rPr>
                <w:rFonts w:cs="Times New Roman"/>
                <w:noProof/>
                <w:sz w:val="22"/>
                <w:szCs w:val="20"/>
                <w:lang w:val="en-GB" w:eastAsia="de-DE"/>
              </w:rPr>
              <w:t xml:space="preserve"> actions and solutions</w:t>
            </w:r>
          </w:p>
        </w:tc>
      </w:tr>
      <w:tr>
        <w:tc>
          <w:tcPr>
            <w:tcW w:w="8733" w:type="dxa"/>
            <w:hideMark/>
          </w:tcPr>
          <w:p>
            <w:pPr>
              <w:spacing w:before="60" w:after="60"/>
              <w:rPr>
                <w:rFonts w:cs="Times New Roman"/>
                <w:bCs/>
                <w:noProof/>
                <w:sz w:val="22"/>
                <w:szCs w:val="20"/>
                <w:lang w:val="en-GB" w:eastAsia="de-DE"/>
              </w:rPr>
            </w:pPr>
            <w:r>
              <w:rPr>
                <w:rFonts w:cs="Times New Roman"/>
                <w:noProof/>
                <w:sz w:val="22"/>
                <w:szCs w:val="20"/>
                <w:lang w:val="en-GB" w:eastAsia="de-DE"/>
              </w:rPr>
              <w:t>Monitoring and evaluation reports: 2016 (annual report), 2017 (quarterly reports and annual report), and 2018 (the reports for the first two quarters of 2018)</w:t>
            </w:r>
          </w:p>
        </w:tc>
      </w:tr>
      <w:tr>
        <w:trPr>
          <w:cnfStyle w:val="000000100000" w:firstRow="0" w:lastRow="0" w:firstColumn="0" w:lastColumn="0" w:oddVBand="0" w:evenVBand="0" w:oddHBand="1" w:evenHBand="0" w:firstRowFirstColumn="0" w:firstRowLastColumn="0" w:lastRowFirstColumn="0" w:lastRowLastColumn="0"/>
        </w:trPr>
        <w:tc>
          <w:tcPr>
            <w:tcW w:w="8733" w:type="dxa"/>
          </w:tcPr>
          <w:p>
            <w:pPr>
              <w:spacing w:before="60" w:after="60"/>
              <w:rPr>
                <w:rFonts w:cs="Times New Roman"/>
                <w:noProof/>
                <w:sz w:val="22"/>
                <w:szCs w:val="20"/>
                <w:lang w:val="en-GB" w:eastAsia="de-DE"/>
              </w:rPr>
            </w:pPr>
            <w:r>
              <w:rPr>
                <w:rFonts w:cs="Times New Roman"/>
                <w:noProof/>
                <w:sz w:val="22"/>
                <w:szCs w:val="20"/>
                <w:lang w:val="en-GB" w:eastAsia="de-DE"/>
              </w:rPr>
              <w:t>Overview of communication activities of events organised by ISA</w:t>
            </w:r>
            <w:r>
              <w:rPr>
                <w:rFonts w:cs="Times New Roman"/>
                <w:noProof/>
                <w:sz w:val="22"/>
                <w:szCs w:val="20"/>
                <w:vertAlign w:val="superscript"/>
                <w:lang w:val="en-GB" w:eastAsia="de-DE"/>
              </w:rPr>
              <w:t>2</w:t>
            </w:r>
            <w:r>
              <w:rPr>
                <w:rFonts w:cs="Times New Roman"/>
                <w:noProof/>
                <w:sz w:val="22"/>
                <w:szCs w:val="20"/>
                <w:lang w:val="en-GB" w:eastAsia="de-DE"/>
              </w:rPr>
              <w:t xml:space="preserve"> between 2016 and 2018 (including information on the location and the number of participants) and events in which ISA</w:t>
            </w:r>
            <w:r>
              <w:rPr>
                <w:rFonts w:cs="Times New Roman"/>
                <w:noProof/>
                <w:sz w:val="22"/>
                <w:szCs w:val="20"/>
                <w:vertAlign w:val="superscript"/>
                <w:lang w:val="en-GB" w:eastAsia="de-DE"/>
              </w:rPr>
              <w:t>2</w:t>
            </w:r>
            <w:r>
              <w:rPr>
                <w:rFonts w:cs="Times New Roman"/>
                <w:noProof/>
                <w:sz w:val="22"/>
                <w:szCs w:val="20"/>
                <w:lang w:val="en-GB" w:eastAsia="de-DE"/>
              </w:rPr>
              <w:t xml:space="preserve"> was represented (including information on the location of the events)</w:t>
            </w:r>
          </w:p>
        </w:tc>
      </w:tr>
      <w:tr>
        <w:tc>
          <w:tcPr>
            <w:tcW w:w="8733" w:type="dxa"/>
          </w:tcPr>
          <w:p>
            <w:pPr>
              <w:spacing w:before="60" w:after="60"/>
              <w:rPr>
                <w:rFonts w:cs="Times New Roman"/>
                <w:noProof/>
                <w:sz w:val="22"/>
                <w:szCs w:val="20"/>
                <w:lang w:val="en-GB" w:eastAsia="de-DE"/>
              </w:rPr>
            </w:pPr>
            <w:r>
              <w:rPr>
                <w:rFonts w:cs="Times New Roman"/>
                <w:noProof/>
                <w:sz w:val="22"/>
                <w:szCs w:val="20"/>
                <w:lang w:val="en-GB" w:eastAsia="de-DE"/>
              </w:rPr>
              <w:t>Lists of participants in ISA</w:t>
            </w:r>
            <w:r>
              <w:rPr>
                <w:rFonts w:cs="Times New Roman"/>
                <w:noProof/>
                <w:sz w:val="22"/>
                <w:szCs w:val="20"/>
                <w:vertAlign w:val="superscript"/>
                <w:lang w:val="en-GB" w:eastAsia="de-DE"/>
              </w:rPr>
              <w:t>2</w:t>
            </w:r>
            <w:r>
              <w:rPr>
                <w:rFonts w:cs="Times New Roman"/>
                <w:noProof/>
                <w:sz w:val="22"/>
                <w:szCs w:val="20"/>
                <w:lang w:val="en-GB" w:eastAsia="de-DE"/>
              </w:rPr>
              <w:t xml:space="preserve"> Committee meetings and in ISA</w:t>
            </w:r>
            <w:r>
              <w:rPr>
                <w:rFonts w:cs="Times New Roman"/>
                <w:noProof/>
                <w:sz w:val="22"/>
                <w:szCs w:val="20"/>
                <w:vertAlign w:val="superscript"/>
                <w:lang w:val="en-GB" w:eastAsia="de-DE"/>
              </w:rPr>
              <w:t>2</w:t>
            </w:r>
            <w:r>
              <w:rPr>
                <w:rFonts w:cs="Times New Roman"/>
                <w:noProof/>
                <w:sz w:val="22"/>
                <w:szCs w:val="20"/>
                <w:lang w:val="en-GB" w:eastAsia="de-DE"/>
              </w:rPr>
              <w:t xml:space="preserve"> Coordination Group meetings between 2016 and 2018</w:t>
            </w:r>
          </w:p>
        </w:tc>
      </w:tr>
      <w:tr>
        <w:trPr>
          <w:cnfStyle w:val="000000100000" w:firstRow="0" w:lastRow="0" w:firstColumn="0" w:lastColumn="0" w:oddVBand="0" w:evenVBand="0" w:oddHBand="1" w:evenHBand="0" w:firstRowFirstColumn="0" w:firstRowLastColumn="0" w:lastRowFirstColumn="0" w:lastRowLastColumn="0"/>
        </w:trPr>
        <w:tc>
          <w:tcPr>
            <w:tcW w:w="8733" w:type="dxa"/>
          </w:tcPr>
          <w:p>
            <w:pPr>
              <w:spacing w:before="60" w:after="60"/>
              <w:rPr>
                <w:rFonts w:cs="Times New Roman"/>
                <w:noProof/>
                <w:sz w:val="22"/>
                <w:szCs w:val="20"/>
                <w:lang w:val="en-GB" w:eastAsia="de-DE"/>
              </w:rPr>
            </w:pPr>
            <w:r>
              <w:rPr>
                <w:rFonts w:cs="Times New Roman"/>
                <w:noProof/>
                <w:sz w:val="22"/>
                <w:szCs w:val="20"/>
                <w:lang w:val="en-GB" w:eastAsia="de-DE"/>
              </w:rPr>
              <w:t>Performance indicators directly shared by action owners of the sampled actions</w:t>
            </w:r>
          </w:p>
        </w:tc>
      </w:tr>
    </w:tbl>
    <w:p>
      <w:pPr>
        <w:rPr>
          <w:rFonts w:cs="Times New Roman"/>
          <w:b/>
          <w:i/>
          <w:noProof/>
          <w:lang w:val="en-GB"/>
        </w:rPr>
      </w:pPr>
      <w:r>
        <w:rPr>
          <w:rFonts w:cs="Times New Roman"/>
          <w:b/>
          <w:i/>
          <w:noProof/>
          <w:lang w:val="en-GB"/>
        </w:rPr>
        <w:br w:type="page"/>
      </w:r>
    </w:p>
    <w:p>
      <w:pPr>
        <w:jc w:val="both"/>
        <w:rPr>
          <w:rFonts w:cs="Times New Roman"/>
          <w:b/>
          <w:i/>
          <w:noProof/>
          <w:lang w:val="en-GB"/>
        </w:rPr>
      </w:pPr>
      <w:r>
        <w:rPr>
          <w:rFonts w:cs="Times New Roman"/>
          <w:b/>
          <w:i/>
          <w:noProof/>
          <w:lang w:val="en-GB"/>
        </w:rPr>
        <w:t>Quality</w:t>
      </w:r>
    </w:p>
    <w:p>
      <w:pPr>
        <w:jc w:val="both"/>
        <w:rPr>
          <w:rFonts w:cs="Times New Roman"/>
          <w:noProof/>
          <w:lang w:val="en-GB"/>
        </w:rPr>
      </w:pPr>
      <w:r>
        <w:rPr>
          <w:rFonts w:cs="Times New Roman"/>
          <w:noProof/>
          <w:lang w:val="en-GB"/>
        </w:rPr>
        <w:t>To support the ISA</w:t>
      </w:r>
      <w:r>
        <w:rPr>
          <w:rFonts w:cs="Times New Roman"/>
          <w:noProof/>
          <w:vertAlign w:val="superscript"/>
          <w:lang w:val="en-GB"/>
        </w:rPr>
        <w:t>2</w:t>
      </w:r>
      <w:r>
        <w:rPr>
          <w:rFonts w:cs="Times New Roman"/>
          <w:noProof/>
          <w:lang w:val="en-GB"/>
        </w:rPr>
        <w:t xml:space="preserve"> interim evaluation, in September 2018 the Commission tasked the Centre for European Policy Studies (CEPS) with delivering an independent evaluation study by May 2019. The ISSG members closely monitored the work of CEPS. They discussed the consultant’s various deliverables at the ISSG meetings and also commented on the documents in writing. The ISSG accepted CEPS final evaluation study by written procedure on 24 May 2019. This final ‘sign off’ by the ISSG also built on the quality assessment results, which concluded that the external contractor's study and work met the required quality standards.</w:t>
      </w:r>
    </w:p>
    <w:p>
      <w:pPr>
        <w:pStyle w:val="Text1"/>
        <w:rPr>
          <w:noProof/>
        </w:rPr>
      </w:pPr>
    </w:p>
    <w:p>
      <w:pPr>
        <w:rPr>
          <w:rFonts w:cs="Times New Roman"/>
          <w:noProof/>
          <w:lang w:val="en-GB"/>
        </w:rPr>
        <w:sectPr>
          <w:headerReference w:type="even" r:id="rId136"/>
          <w:headerReference w:type="default" r:id="rId137"/>
          <w:footerReference w:type="even" r:id="rId138"/>
          <w:footerReference w:type="default" r:id="rId139"/>
          <w:headerReference w:type="first" r:id="rId140"/>
          <w:footerReference w:type="first" r:id="rId141"/>
          <w:pgSz w:w="11906" w:h="16838"/>
          <w:pgMar w:top="1020" w:right="1701" w:bottom="1020" w:left="1587" w:header="601" w:footer="1077" w:gutter="0"/>
          <w:cols w:space="720"/>
          <w:titlePg/>
        </w:sectPr>
      </w:pPr>
    </w:p>
    <w:p>
      <w:pPr>
        <w:pStyle w:val="AnnexTitle"/>
        <w:rPr>
          <w:noProof/>
        </w:rPr>
      </w:pPr>
      <w:bookmarkStart w:id="27" w:name="_Toc14708150"/>
      <w:r>
        <w:rPr>
          <w:noProof/>
        </w:rPr>
        <w:t xml:space="preserve">Annex </w:t>
      </w:r>
      <w:r>
        <w:rPr>
          <w:noProof/>
        </w:rPr>
        <w:fldChar w:fldCharType="begin"/>
      </w:r>
      <w:r>
        <w:rPr>
          <w:noProof/>
        </w:rPr>
        <w:instrText xml:space="preserve"> SEQ Annex \* ARABIC </w:instrText>
      </w:r>
      <w:r>
        <w:rPr>
          <w:noProof/>
        </w:rPr>
        <w:fldChar w:fldCharType="separate"/>
      </w:r>
      <w:r>
        <w:rPr>
          <w:noProof/>
        </w:rPr>
        <w:t>2</w:t>
      </w:r>
      <w:r>
        <w:rPr>
          <w:noProof/>
        </w:rPr>
        <w:fldChar w:fldCharType="end"/>
      </w:r>
      <w:r>
        <w:rPr>
          <w:noProof/>
        </w:rPr>
        <w:t>: Synopsis report of the consultation activities</w:t>
      </w:r>
      <w:bookmarkEnd w:id="27"/>
    </w:p>
    <w:p>
      <w:pPr>
        <w:jc w:val="both"/>
        <w:rPr>
          <w:rFonts w:cs="Times New Roman"/>
          <w:b/>
          <w:bCs/>
          <w:noProof/>
          <w:szCs w:val="24"/>
          <w:u w:val="single"/>
          <w:lang w:val="en-GB"/>
        </w:rPr>
      </w:pPr>
      <w:r>
        <w:rPr>
          <w:rFonts w:cs="Times New Roman"/>
          <w:b/>
          <w:bCs/>
          <w:noProof/>
          <w:szCs w:val="24"/>
          <w:u w:val="single"/>
          <w:lang w:val="en-GB"/>
        </w:rPr>
        <w:t>Introduction</w:t>
      </w:r>
    </w:p>
    <w:p>
      <w:pPr>
        <w:jc w:val="both"/>
        <w:rPr>
          <w:rFonts w:cs="Times New Roman"/>
          <w:noProof/>
          <w:szCs w:val="24"/>
          <w:lang w:val="en-GB"/>
        </w:rPr>
      </w:pPr>
      <w:r>
        <w:rPr>
          <w:rFonts w:cs="Times New Roman"/>
          <w:noProof/>
          <w:szCs w:val="24"/>
          <w:lang w:val="en-GB"/>
        </w:rPr>
        <w:t xml:space="preserve">In line with the </w:t>
      </w:r>
      <w:hyperlink r:id="rId142" w:history="1">
        <w:r>
          <w:rPr>
            <w:rStyle w:val="Hyperlink"/>
            <w:rFonts w:cs="Times New Roman"/>
            <w:noProof/>
            <w:szCs w:val="24"/>
            <w:lang w:val="en-GB"/>
          </w:rPr>
          <w:t>consultation strategy</w:t>
        </w:r>
      </w:hyperlink>
      <w:r>
        <w:rPr>
          <w:rStyle w:val="FootnoteReference"/>
          <w:noProof/>
          <w:szCs w:val="24"/>
        </w:rPr>
        <w:footnoteReference w:id="99"/>
      </w:r>
      <w:r>
        <w:rPr>
          <w:rFonts w:cs="Times New Roman"/>
          <w:noProof/>
          <w:szCs w:val="24"/>
          <w:lang w:val="en-GB"/>
        </w:rPr>
        <w:t>, consultation activities were carried out to collect stakeholders’ views and opinions, thus contributing to the evidence base needed to achieve the two main objectives of the interim evaluation of the ISA</w:t>
      </w:r>
      <w:r>
        <w:rPr>
          <w:rFonts w:cs="Times New Roman"/>
          <w:noProof/>
          <w:szCs w:val="24"/>
          <w:vertAlign w:val="superscript"/>
          <w:lang w:val="en-GB"/>
        </w:rPr>
        <w:t>2</w:t>
      </w:r>
      <w:r>
        <w:rPr>
          <w:rFonts w:cs="Times New Roman"/>
          <w:noProof/>
          <w:szCs w:val="24"/>
          <w:lang w:val="en-GB"/>
        </w:rPr>
        <w:t xml:space="preserve"> programme:</w:t>
      </w:r>
    </w:p>
    <w:p>
      <w:pPr>
        <w:pStyle w:val="Firstlevellist"/>
        <w:rPr>
          <w:noProof/>
        </w:rPr>
      </w:pPr>
      <w:r>
        <w:rPr>
          <w:noProof/>
        </w:rPr>
        <w:t>Evaluating the implementation of the programme by considering seven evaluation criteria:</w:t>
      </w:r>
    </w:p>
    <w:p>
      <w:pPr>
        <w:numPr>
          <w:ilvl w:val="1"/>
          <w:numId w:val="4"/>
        </w:numPr>
        <w:spacing w:after="120"/>
        <w:ind w:left="1434" w:hanging="357"/>
        <w:jc w:val="both"/>
        <w:rPr>
          <w:rFonts w:cs="Times New Roman"/>
          <w:noProof/>
          <w:szCs w:val="24"/>
          <w:lang w:val="en-GB"/>
        </w:rPr>
      </w:pPr>
      <w:r>
        <w:rPr>
          <w:rFonts w:cs="Times New Roman"/>
          <w:b/>
          <w:bCs/>
          <w:noProof/>
          <w:szCs w:val="24"/>
          <w:lang w:val="en-GB"/>
        </w:rPr>
        <w:t xml:space="preserve">Relevance </w:t>
      </w:r>
      <w:r>
        <w:rPr>
          <w:rFonts w:cs="Times New Roman"/>
          <w:noProof/>
          <w:szCs w:val="24"/>
          <w:lang w:val="en-GB"/>
        </w:rPr>
        <w:t>‒ the alignment between the programme’s objectives and the current needs and problems experienced by stakeholders;</w:t>
      </w:r>
    </w:p>
    <w:p>
      <w:pPr>
        <w:numPr>
          <w:ilvl w:val="1"/>
          <w:numId w:val="4"/>
        </w:numPr>
        <w:spacing w:after="120"/>
        <w:ind w:left="1434" w:hanging="357"/>
        <w:jc w:val="both"/>
        <w:rPr>
          <w:rFonts w:cs="Times New Roman"/>
          <w:noProof/>
          <w:szCs w:val="24"/>
          <w:lang w:val="en-GB"/>
        </w:rPr>
      </w:pPr>
      <w:r>
        <w:rPr>
          <w:rFonts w:cs="Times New Roman"/>
          <w:b/>
          <w:bCs/>
          <w:noProof/>
          <w:szCs w:val="24"/>
          <w:lang w:val="en-GB"/>
        </w:rPr>
        <w:t xml:space="preserve">Effectiveness </w:t>
      </w:r>
      <w:r>
        <w:rPr>
          <w:rFonts w:cs="Times New Roman"/>
          <w:noProof/>
          <w:szCs w:val="24"/>
          <w:lang w:val="en-GB"/>
        </w:rPr>
        <w:t>‒ the extent to which the programme has achieved its objectives;</w:t>
      </w:r>
    </w:p>
    <w:p>
      <w:pPr>
        <w:numPr>
          <w:ilvl w:val="1"/>
          <w:numId w:val="4"/>
        </w:numPr>
        <w:spacing w:after="120"/>
        <w:ind w:left="1434" w:hanging="357"/>
        <w:jc w:val="both"/>
        <w:rPr>
          <w:rFonts w:cs="Times New Roman"/>
          <w:noProof/>
          <w:szCs w:val="24"/>
          <w:lang w:val="en-GB"/>
        </w:rPr>
      </w:pPr>
      <w:r>
        <w:rPr>
          <w:rFonts w:cs="Times New Roman"/>
          <w:b/>
          <w:bCs/>
          <w:noProof/>
          <w:szCs w:val="24"/>
          <w:lang w:val="en-GB"/>
        </w:rPr>
        <w:t>Efficiency</w:t>
      </w:r>
      <w:r>
        <w:rPr>
          <w:rFonts w:cs="Times New Roman"/>
          <w:noProof/>
          <w:szCs w:val="24"/>
          <w:lang w:val="en-GB"/>
        </w:rPr>
        <w:t xml:space="preserve"> ‒ the extent to which the programme’s objectives are achieved at a minimum cost;</w:t>
      </w:r>
    </w:p>
    <w:p>
      <w:pPr>
        <w:numPr>
          <w:ilvl w:val="1"/>
          <w:numId w:val="4"/>
        </w:numPr>
        <w:spacing w:after="120"/>
        <w:ind w:left="1434" w:hanging="357"/>
        <w:jc w:val="both"/>
        <w:rPr>
          <w:rFonts w:cs="Times New Roman"/>
          <w:noProof/>
          <w:szCs w:val="24"/>
          <w:lang w:val="en-GB"/>
        </w:rPr>
      </w:pPr>
      <w:r>
        <w:rPr>
          <w:rFonts w:cs="Times New Roman"/>
          <w:b/>
          <w:bCs/>
          <w:noProof/>
          <w:szCs w:val="24"/>
          <w:lang w:val="en-GB"/>
        </w:rPr>
        <w:t>Coherence</w:t>
      </w:r>
      <w:r>
        <w:rPr>
          <w:rFonts w:cs="Times New Roman"/>
          <w:noProof/>
          <w:szCs w:val="24"/>
          <w:lang w:val="en-GB"/>
        </w:rPr>
        <w:t xml:space="preserve"> ‒ the alignment between the programme and comparable EU initiatives as well as the overall EU policy framework;</w:t>
      </w:r>
    </w:p>
    <w:p>
      <w:pPr>
        <w:numPr>
          <w:ilvl w:val="1"/>
          <w:numId w:val="4"/>
        </w:numPr>
        <w:spacing w:after="120"/>
        <w:ind w:left="1434" w:hanging="357"/>
        <w:jc w:val="both"/>
        <w:rPr>
          <w:rFonts w:cs="Times New Roman"/>
          <w:noProof/>
          <w:szCs w:val="24"/>
          <w:lang w:val="en-GB"/>
        </w:rPr>
      </w:pPr>
      <w:r>
        <w:rPr>
          <w:rFonts w:cs="Times New Roman"/>
          <w:b/>
          <w:bCs/>
          <w:noProof/>
          <w:szCs w:val="24"/>
          <w:lang w:val="en-GB"/>
        </w:rPr>
        <w:t xml:space="preserve">EU added value </w:t>
      </w:r>
      <w:r>
        <w:rPr>
          <w:rFonts w:cs="Times New Roman"/>
          <w:noProof/>
          <w:szCs w:val="24"/>
          <w:lang w:val="en-GB"/>
        </w:rPr>
        <w:t>- the additional impacts generated by the programme, as opposed to leaving the subject matter in the hands of Member States;</w:t>
      </w:r>
    </w:p>
    <w:p>
      <w:pPr>
        <w:numPr>
          <w:ilvl w:val="1"/>
          <w:numId w:val="4"/>
        </w:numPr>
        <w:spacing w:after="120"/>
        <w:ind w:left="1434" w:hanging="357"/>
        <w:jc w:val="both"/>
        <w:rPr>
          <w:rFonts w:cs="Times New Roman"/>
          <w:noProof/>
          <w:szCs w:val="24"/>
          <w:lang w:val="en-GB"/>
        </w:rPr>
      </w:pPr>
      <w:r>
        <w:rPr>
          <w:rFonts w:cs="Times New Roman"/>
          <w:b/>
          <w:bCs/>
          <w:noProof/>
          <w:szCs w:val="24"/>
          <w:lang w:val="en-GB"/>
        </w:rPr>
        <w:t>Utility</w:t>
      </w:r>
      <w:r>
        <w:rPr>
          <w:rFonts w:cs="Times New Roman"/>
          <w:noProof/>
          <w:szCs w:val="24"/>
          <w:lang w:val="en-GB"/>
        </w:rPr>
        <w:t xml:space="preserve"> ‒ the extent to which the programme meets stakeholders’ needs; and</w:t>
      </w:r>
    </w:p>
    <w:p>
      <w:pPr>
        <w:numPr>
          <w:ilvl w:val="1"/>
          <w:numId w:val="4"/>
        </w:numPr>
        <w:spacing w:after="120"/>
        <w:jc w:val="both"/>
        <w:rPr>
          <w:rFonts w:cs="Times New Roman"/>
          <w:noProof/>
          <w:szCs w:val="24"/>
          <w:lang w:val="en-GB"/>
        </w:rPr>
      </w:pPr>
      <w:r>
        <w:rPr>
          <w:rFonts w:cs="Times New Roman"/>
          <w:b/>
          <w:bCs/>
          <w:noProof/>
          <w:szCs w:val="24"/>
          <w:lang w:val="en-GB"/>
        </w:rPr>
        <w:t xml:space="preserve">Sustainability </w:t>
      </w:r>
      <w:r>
        <w:rPr>
          <w:rFonts w:cs="Times New Roman"/>
          <w:noProof/>
          <w:szCs w:val="24"/>
          <w:lang w:val="en-GB"/>
        </w:rPr>
        <w:t>‒ the likelihood that the programme’s results will last beyond its completion.</w:t>
      </w:r>
    </w:p>
    <w:p>
      <w:pPr>
        <w:pStyle w:val="FirstlevellistLAST"/>
        <w:rPr>
          <w:noProof/>
        </w:rPr>
      </w:pPr>
      <w:r>
        <w:rPr>
          <w:b/>
          <w:noProof/>
        </w:rPr>
        <w:t>Identifying</w:t>
      </w:r>
      <w:r>
        <w:rPr>
          <w:noProof/>
        </w:rPr>
        <w:t xml:space="preserve"> </w:t>
      </w:r>
      <w:r>
        <w:rPr>
          <w:b/>
          <w:bCs/>
          <w:noProof/>
        </w:rPr>
        <w:t>areas of potential improvement</w:t>
      </w:r>
      <w:r>
        <w:rPr>
          <w:noProof/>
        </w:rPr>
        <w:t xml:space="preserve"> and devising recommendations to improve the programme’s performance and </w:t>
      </w:r>
      <w:r>
        <w:rPr>
          <w:b/>
          <w:bCs/>
          <w:noProof/>
        </w:rPr>
        <w:t>bring more value to its stakeholders</w:t>
      </w:r>
      <w:r>
        <w:rPr>
          <w:noProof/>
        </w:rPr>
        <w:t>.</w:t>
      </w:r>
    </w:p>
    <w:p>
      <w:pPr>
        <w:jc w:val="both"/>
        <w:rPr>
          <w:rFonts w:cs="Times New Roman"/>
          <w:b/>
          <w:bCs/>
          <w:noProof/>
          <w:szCs w:val="24"/>
          <w:u w:val="single"/>
          <w:lang w:val="en-GB"/>
        </w:rPr>
      </w:pPr>
      <w:r>
        <w:rPr>
          <w:rFonts w:cs="Times New Roman"/>
          <w:b/>
          <w:bCs/>
          <w:noProof/>
          <w:szCs w:val="24"/>
          <w:u w:val="single"/>
          <w:lang w:val="en-GB"/>
        </w:rPr>
        <w:t>Feedback received on the evaluation roadmap</w:t>
      </w:r>
    </w:p>
    <w:p>
      <w:pPr>
        <w:jc w:val="both"/>
        <w:rPr>
          <w:rFonts w:cs="Times New Roman"/>
          <w:noProof/>
          <w:szCs w:val="24"/>
          <w:lang w:val="en-GB"/>
        </w:rPr>
      </w:pPr>
      <w:r>
        <w:rPr>
          <w:rFonts w:cs="Times New Roman"/>
          <w:noProof/>
          <w:szCs w:val="24"/>
          <w:lang w:val="en-GB"/>
        </w:rPr>
        <w:t>Before the interim evaluation was launched, one stakeholder provided feedback on the ISA</w:t>
      </w:r>
      <w:r>
        <w:rPr>
          <w:rFonts w:cs="Times New Roman"/>
          <w:noProof/>
          <w:szCs w:val="24"/>
          <w:vertAlign w:val="superscript"/>
          <w:lang w:val="en-GB"/>
        </w:rPr>
        <w:t>2</w:t>
      </w:r>
      <w:r>
        <w:rPr>
          <w:rFonts w:cs="Times New Roman"/>
          <w:noProof/>
          <w:szCs w:val="24"/>
          <w:lang w:val="en-GB"/>
        </w:rPr>
        <w:t xml:space="preserve"> evaluation roadmap</w:t>
      </w:r>
      <w:r>
        <w:rPr>
          <w:rFonts w:cs="Times New Roman"/>
          <w:noProof/>
          <w:szCs w:val="24"/>
        </w:rPr>
        <w:fldChar w:fldCharType="begin"/>
      </w:r>
      <w:r>
        <w:rPr>
          <w:rFonts w:cs="Times New Roman"/>
          <w:noProof/>
          <w:szCs w:val="24"/>
          <w:lang w:val="en-GB"/>
        </w:rPr>
        <w:instrText xml:space="preserve"> NOTEREF _Ref9262206 \f \h  \* MERGEFORMAT </w:instrText>
      </w:r>
      <w:r>
        <w:rPr>
          <w:rFonts w:cs="Times New Roman"/>
          <w:noProof/>
          <w:szCs w:val="24"/>
        </w:rPr>
      </w:r>
      <w:r>
        <w:rPr>
          <w:rFonts w:cs="Times New Roman"/>
          <w:noProof/>
          <w:szCs w:val="24"/>
        </w:rPr>
        <w:fldChar w:fldCharType="separate"/>
      </w:r>
      <w:r>
        <w:rPr>
          <w:rStyle w:val="FootnoteReference"/>
          <w:noProof/>
          <w:lang w:val="en-GB"/>
        </w:rPr>
        <w:t>93</w:t>
      </w:r>
      <w:r>
        <w:rPr>
          <w:rFonts w:cs="Times New Roman"/>
          <w:noProof/>
          <w:szCs w:val="24"/>
        </w:rPr>
        <w:fldChar w:fldCharType="end"/>
      </w:r>
      <w:r>
        <w:rPr>
          <w:rFonts w:cs="Times New Roman"/>
          <w:noProof/>
          <w:szCs w:val="24"/>
          <w:lang w:val="en-GB"/>
        </w:rPr>
        <w:t>, noting that the ‘initiative is good, well planned, and funded’, but also that ‘it could have benefitted from more advertising’</w:t>
      </w:r>
      <w:r>
        <w:rPr>
          <w:rFonts w:cs="Times New Roman"/>
          <w:noProof/>
          <w:szCs w:val="24"/>
          <w:vertAlign w:val="superscript"/>
        </w:rPr>
        <w:footnoteReference w:id="100"/>
      </w:r>
      <w:r>
        <w:rPr>
          <w:rFonts w:cs="Times New Roman"/>
          <w:noProof/>
          <w:szCs w:val="24"/>
          <w:lang w:val="en-GB"/>
        </w:rPr>
        <w:t>. This input was received in June 2018.</w:t>
      </w:r>
    </w:p>
    <w:p>
      <w:pPr>
        <w:rPr>
          <w:rFonts w:cs="Times New Roman"/>
          <w:b/>
          <w:bCs/>
          <w:noProof/>
          <w:szCs w:val="24"/>
          <w:u w:val="single"/>
          <w:lang w:val="en-GB"/>
        </w:rPr>
      </w:pPr>
      <w:r>
        <w:rPr>
          <w:rFonts w:cs="Times New Roman"/>
          <w:b/>
          <w:bCs/>
          <w:noProof/>
          <w:szCs w:val="24"/>
          <w:u w:val="single"/>
          <w:lang w:val="en-GB"/>
        </w:rPr>
        <w:br w:type="page"/>
      </w:r>
    </w:p>
    <w:p>
      <w:pPr>
        <w:jc w:val="both"/>
        <w:rPr>
          <w:rFonts w:cs="Times New Roman"/>
          <w:b/>
          <w:bCs/>
          <w:noProof/>
          <w:szCs w:val="24"/>
          <w:u w:val="single"/>
          <w:lang w:val="en-GB"/>
        </w:rPr>
      </w:pPr>
      <w:r>
        <w:rPr>
          <w:rFonts w:cs="Times New Roman"/>
          <w:b/>
          <w:bCs/>
          <w:noProof/>
          <w:szCs w:val="24"/>
          <w:u w:val="single"/>
          <w:lang w:val="en-GB"/>
        </w:rPr>
        <w:t>Types of consultation activities conducted</w:t>
      </w:r>
    </w:p>
    <w:p>
      <w:pPr>
        <w:rPr>
          <w:rFonts w:cs="Times New Roman"/>
          <w:noProof/>
          <w:lang w:val="en-GB"/>
        </w:rPr>
      </w:pPr>
      <w:r>
        <w:rPr>
          <w:rFonts w:cs="Times New Roman"/>
          <w:noProof/>
          <w:lang w:val="en-GB"/>
        </w:rPr>
        <w:t>A mix of consultation activities was organised during the evaluation process to reach a variety of the programme's stakeholders. The following seven stakeholder groups were targeted:</w:t>
      </w:r>
    </w:p>
    <w:p>
      <w:pPr>
        <w:pStyle w:val="Firstlevellist"/>
        <w:rPr>
          <w:noProof/>
        </w:rPr>
      </w:pPr>
      <w:r>
        <w:rPr>
          <w:b/>
          <w:noProof/>
        </w:rPr>
        <w:t>Programme governance</w:t>
      </w:r>
      <w:r>
        <w:rPr>
          <w:noProof/>
        </w:rPr>
        <w:t>: Commission representatives from DIGIT’s Interoperability unit and members of the ISA</w:t>
      </w:r>
      <w:r>
        <w:rPr>
          <w:noProof/>
          <w:vertAlign w:val="superscript"/>
        </w:rPr>
        <w:t>2</w:t>
      </w:r>
      <w:r>
        <w:rPr>
          <w:noProof/>
        </w:rPr>
        <w:t xml:space="preserve"> Committee and Coordination Group;</w:t>
      </w:r>
    </w:p>
    <w:p>
      <w:pPr>
        <w:pStyle w:val="Firstlevellist"/>
        <w:rPr>
          <w:noProof/>
        </w:rPr>
      </w:pPr>
      <w:r>
        <w:rPr>
          <w:b/>
          <w:noProof/>
        </w:rPr>
        <w:t>Action owners</w:t>
      </w:r>
      <w:r>
        <w:rPr>
          <w:noProof/>
        </w:rPr>
        <w:t>: Commission representatives in charge of specific actions defined under ISA</w:t>
      </w:r>
      <w:r>
        <w:rPr>
          <w:noProof/>
          <w:vertAlign w:val="superscript"/>
        </w:rPr>
        <w:t>2</w:t>
      </w:r>
      <w:r>
        <w:rPr>
          <w:noProof/>
        </w:rPr>
        <w:t>;</w:t>
      </w:r>
    </w:p>
    <w:p>
      <w:pPr>
        <w:pStyle w:val="Firstlevellist"/>
        <w:rPr>
          <w:noProof/>
        </w:rPr>
      </w:pPr>
      <w:r>
        <w:rPr>
          <w:b/>
          <w:noProof/>
        </w:rPr>
        <w:t>Solution users</w:t>
      </w:r>
      <w:r>
        <w:rPr>
          <w:noProof/>
        </w:rPr>
        <w:t>: Commission and Member State representatives who are using/reusing ISA</w:t>
      </w:r>
      <w:r>
        <w:rPr>
          <w:noProof/>
          <w:vertAlign w:val="superscript"/>
        </w:rPr>
        <w:t xml:space="preserve">2 </w:t>
      </w:r>
      <w:r>
        <w:rPr>
          <w:noProof/>
        </w:rPr>
        <w:t>solutions;</w:t>
      </w:r>
    </w:p>
    <w:p>
      <w:pPr>
        <w:pStyle w:val="Firstlevellist"/>
        <w:rPr>
          <w:noProof/>
        </w:rPr>
      </w:pPr>
      <w:r>
        <w:rPr>
          <w:b/>
          <w:noProof/>
        </w:rPr>
        <w:t>Stakeholders responsible for linked EU policies/initiatives</w:t>
      </w:r>
      <w:r>
        <w:rPr>
          <w:noProof/>
        </w:rPr>
        <w:t>: Commission representatives who are in charge of EU initiatives linked to ISA</w:t>
      </w:r>
      <w:r>
        <w:rPr>
          <w:noProof/>
          <w:vertAlign w:val="superscript"/>
        </w:rPr>
        <w:t>2</w:t>
      </w:r>
      <w:r>
        <w:rPr>
          <w:noProof/>
        </w:rPr>
        <w:t>, and who are thus in a position to provide feedback, on the external coherence of the programme among other things;</w:t>
      </w:r>
    </w:p>
    <w:p>
      <w:pPr>
        <w:numPr>
          <w:ilvl w:val="0"/>
          <w:numId w:val="5"/>
        </w:numPr>
        <w:spacing w:after="120"/>
        <w:ind w:left="714" w:hanging="357"/>
        <w:jc w:val="both"/>
        <w:rPr>
          <w:rFonts w:cs="Times New Roman"/>
          <w:noProof/>
          <w:szCs w:val="24"/>
          <w:lang w:val="en-GB"/>
        </w:rPr>
      </w:pPr>
      <w:r>
        <w:rPr>
          <w:rFonts w:cs="Times New Roman"/>
          <w:b/>
          <w:noProof/>
          <w:szCs w:val="24"/>
          <w:lang w:val="en-GB"/>
        </w:rPr>
        <w:t>Experts</w:t>
      </w:r>
      <w:r>
        <w:rPr>
          <w:rFonts w:cs="Times New Roman"/>
          <w:noProof/>
          <w:szCs w:val="24"/>
          <w:lang w:val="en-GB"/>
        </w:rPr>
        <w:t>: experts in IT and eGovernment able to perform an expert assessment of the programme and of the issues and developments in the field of interoperability;</w:t>
      </w:r>
    </w:p>
    <w:p>
      <w:pPr>
        <w:pStyle w:val="Firstlevellist"/>
        <w:rPr>
          <w:noProof/>
        </w:rPr>
      </w:pPr>
      <w:r>
        <w:rPr>
          <w:b/>
          <w:noProof/>
        </w:rPr>
        <w:t>Standardisation organisations</w:t>
      </w:r>
      <w:r>
        <w:rPr>
          <w:noProof/>
        </w:rPr>
        <w:t>: Representatives of standardisation organisations who can provide feedback on ISA</w:t>
      </w:r>
      <w:r>
        <w:rPr>
          <w:noProof/>
          <w:vertAlign w:val="superscript"/>
        </w:rPr>
        <w:t>2</w:t>
      </w:r>
      <w:r>
        <w:rPr>
          <w:noProof/>
        </w:rPr>
        <w:t xml:space="preserve"> activities related to standards and technical specifications; and</w:t>
      </w:r>
    </w:p>
    <w:p>
      <w:pPr>
        <w:pStyle w:val="FirstlevellistLAST"/>
        <w:rPr>
          <w:noProof/>
        </w:rPr>
      </w:pPr>
      <w:r>
        <w:rPr>
          <w:b/>
          <w:noProof/>
        </w:rPr>
        <w:t>Indirect beneficiaries and the wider public</w:t>
      </w:r>
      <w:r>
        <w:rPr>
          <w:noProof/>
        </w:rPr>
        <w:t>: Other programme beneficiaries or parties who are involved in or affected by the ISA</w:t>
      </w:r>
      <w:r>
        <w:rPr>
          <w:noProof/>
          <w:vertAlign w:val="superscript"/>
        </w:rPr>
        <w:t>2</w:t>
      </w:r>
      <w:r>
        <w:rPr>
          <w:noProof/>
        </w:rPr>
        <w:t xml:space="preserve"> programme in any way, including the private sector and the general public.</w:t>
      </w:r>
    </w:p>
    <w:p>
      <w:pPr>
        <w:jc w:val="both"/>
        <w:rPr>
          <w:rFonts w:cs="Times New Roman"/>
          <w:noProof/>
          <w:szCs w:val="24"/>
          <w:lang w:val="en-GB"/>
        </w:rPr>
      </w:pPr>
      <w:r>
        <w:rPr>
          <w:rFonts w:cs="Times New Roman"/>
          <w:noProof/>
          <w:szCs w:val="24"/>
          <w:lang w:val="en-GB"/>
        </w:rPr>
        <w:t>Between 29 November 2018 and 1 March 2019, five consultation activities were carried out in accordance with the Commission’s better regulation requirements:</w:t>
      </w:r>
    </w:p>
    <w:p>
      <w:pPr>
        <w:jc w:val="both"/>
        <w:rPr>
          <w:rFonts w:cs="Times New Roman"/>
          <w:noProof/>
          <w:szCs w:val="24"/>
          <w:lang w:val="en-GB"/>
        </w:rPr>
      </w:pPr>
      <w:r>
        <w:rPr>
          <w:rFonts w:cs="Times New Roman"/>
          <w:b/>
          <w:noProof/>
          <w:szCs w:val="24"/>
          <w:lang w:val="en-GB"/>
        </w:rPr>
        <w:t xml:space="preserve">Targeted online surveys </w:t>
      </w:r>
      <w:r>
        <w:rPr>
          <w:rFonts w:cs="Times New Roman"/>
          <w:noProof/>
          <w:szCs w:val="24"/>
          <w:lang w:val="en-GB"/>
        </w:rPr>
        <w:t>(14.12.2018 – 23.1.2019)</w:t>
      </w:r>
    </w:p>
    <w:p>
      <w:pPr>
        <w:jc w:val="both"/>
        <w:rPr>
          <w:rFonts w:cs="Times New Roman"/>
          <w:noProof/>
          <w:szCs w:val="24"/>
          <w:lang w:val="en-GB"/>
        </w:rPr>
      </w:pPr>
      <w:r>
        <w:rPr>
          <w:rFonts w:cs="Times New Roman"/>
          <w:noProof/>
          <w:szCs w:val="24"/>
          <w:lang w:val="en-GB"/>
        </w:rPr>
        <w:t xml:space="preserve">Five online surveys were made available on EUSurvey, targeting the following stakeholder groups: programme governance, action owners, solution users, stakeholders responsible for linked EU policies/initiatives, and standardisation organisations. </w:t>
      </w:r>
    </w:p>
    <w:p>
      <w:pPr>
        <w:jc w:val="both"/>
        <w:rPr>
          <w:rFonts w:cs="Times New Roman"/>
          <w:noProof/>
          <w:szCs w:val="24"/>
          <w:lang w:val="en-GB"/>
        </w:rPr>
      </w:pPr>
      <w:r>
        <w:rPr>
          <w:rFonts w:cs="Times New Roman"/>
          <w:noProof/>
          <w:szCs w:val="24"/>
          <w:lang w:val="en-GB"/>
        </w:rPr>
        <w:t>The online surveys were initially set to close on 18 January 2019, but the deadline was extended to 23 January in order to accommodate some last-minute participants. Altogether 80 responses were collected through these surveys.</w:t>
      </w:r>
    </w:p>
    <w:p>
      <w:pPr>
        <w:jc w:val="both"/>
        <w:rPr>
          <w:rFonts w:cs="Times New Roman"/>
          <w:noProof/>
          <w:szCs w:val="24"/>
          <w:lang w:val="en-GB"/>
        </w:rPr>
      </w:pPr>
      <w:r>
        <w:rPr>
          <w:rFonts w:cs="Times New Roman"/>
          <w:b/>
          <w:noProof/>
          <w:szCs w:val="24"/>
          <w:lang w:val="en-GB"/>
        </w:rPr>
        <w:t>Targeted in-depth interviews</w:t>
      </w:r>
      <w:r>
        <w:rPr>
          <w:rFonts w:cs="Times New Roman"/>
          <w:noProof/>
          <w:szCs w:val="24"/>
          <w:lang w:val="en-GB"/>
        </w:rPr>
        <w:t xml:space="preserve"> (12.12.2018 – 23.1.2019)</w:t>
      </w:r>
    </w:p>
    <w:p>
      <w:pPr>
        <w:jc w:val="both"/>
        <w:rPr>
          <w:rFonts w:cs="Times New Roman"/>
          <w:noProof/>
          <w:szCs w:val="24"/>
          <w:lang w:val="en-GB"/>
        </w:rPr>
      </w:pPr>
      <w:r>
        <w:rPr>
          <w:rFonts w:cs="Times New Roman"/>
          <w:noProof/>
          <w:szCs w:val="24"/>
          <w:lang w:val="en-GB"/>
        </w:rPr>
        <w:t xml:space="preserve">Interviews were held with the same five stakeholder groups as the online surveys: programme governance, action owners, solution users, stakeholders responsible for linked EU policies/initiatives, and a standardisation expert. The interviews were based on questionnaires that were very similar to those used for the online surveys. They helped collect additional qualitative data from 20 stakeholders complementing the data collected from the surveys. </w:t>
      </w:r>
    </w:p>
    <w:p>
      <w:pPr>
        <w:jc w:val="both"/>
        <w:rPr>
          <w:rFonts w:cs="Times New Roman"/>
          <w:noProof/>
          <w:szCs w:val="24"/>
          <w:lang w:val="en-GB"/>
        </w:rPr>
      </w:pPr>
      <w:r>
        <w:rPr>
          <w:rFonts w:cs="Times New Roman"/>
          <w:noProof/>
          <w:szCs w:val="24"/>
          <w:lang w:val="en-GB"/>
        </w:rPr>
        <w:t>The in-depth interviews were initially supposed to run until 18 January 2019. However, as some stakeholders were not available in the original time-frame interviews continued until 23 January 2019.</w:t>
      </w:r>
    </w:p>
    <w:p>
      <w:pPr>
        <w:jc w:val="both"/>
        <w:rPr>
          <w:rFonts w:cs="Times New Roman"/>
          <w:noProof/>
          <w:szCs w:val="24"/>
          <w:lang w:val="en-GB"/>
        </w:rPr>
      </w:pPr>
      <w:r>
        <w:rPr>
          <w:rFonts w:cs="Times New Roman"/>
          <w:b/>
          <w:noProof/>
          <w:szCs w:val="24"/>
          <w:lang w:val="en-GB"/>
        </w:rPr>
        <w:t xml:space="preserve">Public consultation </w:t>
      </w:r>
      <w:r>
        <w:rPr>
          <w:rFonts w:cs="Times New Roman"/>
          <w:noProof/>
          <w:szCs w:val="24"/>
          <w:lang w:val="en-GB"/>
        </w:rPr>
        <w:t>(7.12.2018 – 1.3.2019)</w:t>
      </w:r>
    </w:p>
    <w:p>
      <w:pPr>
        <w:jc w:val="both"/>
        <w:rPr>
          <w:rFonts w:cs="Times New Roman"/>
          <w:noProof/>
          <w:szCs w:val="24"/>
          <w:lang w:val="en-GB"/>
        </w:rPr>
      </w:pPr>
      <w:r>
        <w:rPr>
          <w:rFonts w:cs="Times New Roman"/>
          <w:noProof/>
          <w:szCs w:val="24"/>
          <w:lang w:val="en-GB"/>
        </w:rPr>
        <w:t>This activity gave all relevant parties — mainly the public, businesses, stakeholders' associations and public administrations, the opportunity to express their views on the ISA</w:t>
      </w:r>
      <w:r>
        <w:rPr>
          <w:rFonts w:cs="Times New Roman"/>
          <w:noProof/>
          <w:szCs w:val="24"/>
          <w:vertAlign w:val="superscript"/>
          <w:lang w:val="en-GB"/>
        </w:rPr>
        <w:t>2</w:t>
      </w:r>
      <w:r>
        <w:rPr>
          <w:rFonts w:cs="Times New Roman"/>
          <w:noProof/>
          <w:szCs w:val="24"/>
          <w:lang w:val="en-GB"/>
        </w:rPr>
        <w:t xml:space="preserve"> programme's achievements. Experts could participate in the public consultation and state their level of expertise in the programme and in the interoperability of digital public services. The public consultation</w:t>
      </w:r>
      <w:r>
        <w:rPr>
          <w:rFonts w:cs="Times New Roman"/>
          <w:noProof/>
          <w:szCs w:val="24"/>
          <w:vertAlign w:val="superscript"/>
        </w:rPr>
        <w:footnoteReference w:id="101"/>
      </w:r>
      <w:r>
        <w:rPr>
          <w:rFonts w:cs="Times New Roman"/>
          <w:noProof/>
          <w:szCs w:val="24"/>
          <w:lang w:val="en-GB"/>
        </w:rPr>
        <w:t xml:space="preserve"> was available on EUSurvey in 23 EU languages and yielded 14 replies.</w:t>
      </w:r>
      <w:r>
        <w:rPr>
          <w:rFonts w:cs="Times New Roman"/>
          <w:noProof/>
          <w:lang w:val="en-GB"/>
        </w:rPr>
        <w:t xml:space="preserve"> This</w:t>
      </w:r>
      <w:r>
        <w:rPr>
          <w:rFonts w:cs="Times New Roman"/>
          <w:noProof/>
          <w:szCs w:val="24"/>
          <w:lang w:val="en-GB"/>
        </w:rPr>
        <w:t xml:space="preserve"> low response rate is due to two main reasons. First, ISA</w:t>
      </w:r>
      <w:r>
        <w:rPr>
          <w:rFonts w:cs="Times New Roman"/>
          <w:noProof/>
          <w:szCs w:val="24"/>
          <w:vertAlign w:val="superscript"/>
          <w:lang w:val="en-GB"/>
        </w:rPr>
        <w:t>2</w:t>
      </w:r>
      <w:r>
        <w:rPr>
          <w:rFonts w:cs="Times New Roman"/>
          <w:noProof/>
          <w:szCs w:val="24"/>
          <w:lang w:val="en-GB"/>
        </w:rPr>
        <w:t xml:space="preserve"> is a technical programme producing solutions addressed mainly to European public administrations; therefore, the direct contact between the average citizen/business and the programme is limited. Second, stakeholder groups that are in direct contact with the programme (e.g. solution users, action owners, etc.) were consulted via targeted online surveys and interviews.</w:t>
      </w:r>
    </w:p>
    <w:p>
      <w:pPr>
        <w:jc w:val="both"/>
        <w:rPr>
          <w:rFonts w:cs="Times New Roman"/>
          <w:noProof/>
          <w:szCs w:val="24"/>
          <w:lang w:val="en-GB"/>
        </w:rPr>
      </w:pPr>
      <w:r>
        <w:rPr>
          <w:rFonts w:cs="Times New Roman"/>
          <w:b/>
          <w:noProof/>
          <w:szCs w:val="24"/>
          <w:lang w:val="en-GB"/>
        </w:rPr>
        <w:t>ISA</w:t>
      </w:r>
      <w:r>
        <w:rPr>
          <w:rFonts w:cs="Times New Roman"/>
          <w:b/>
          <w:noProof/>
          <w:szCs w:val="24"/>
          <w:vertAlign w:val="superscript"/>
          <w:lang w:val="en-GB"/>
        </w:rPr>
        <w:t>2</w:t>
      </w:r>
      <w:r>
        <w:rPr>
          <w:rFonts w:cs="Times New Roman"/>
          <w:b/>
          <w:noProof/>
          <w:szCs w:val="24"/>
          <w:lang w:val="en-GB"/>
        </w:rPr>
        <w:t xml:space="preserve"> Mid-Term Conference short questionnaire</w:t>
      </w:r>
      <w:r>
        <w:rPr>
          <w:rFonts w:cs="Times New Roman"/>
          <w:noProof/>
          <w:szCs w:val="24"/>
          <w:lang w:val="en-GB"/>
        </w:rPr>
        <w:t xml:space="preserve"> (29 – 30.11.2018)</w:t>
      </w:r>
    </w:p>
    <w:p>
      <w:pPr>
        <w:jc w:val="both"/>
        <w:rPr>
          <w:rFonts w:cs="Times New Roman"/>
          <w:noProof/>
          <w:szCs w:val="24"/>
          <w:lang w:val="en-GB"/>
        </w:rPr>
      </w:pPr>
      <w:r>
        <w:rPr>
          <w:rFonts w:cs="Times New Roman"/>
          <w:noProof/>
          <w:szCs w:val="24"/>
          <w:lang w:val="en-GB"/>
        </w:rPr>
        <w:t>A short questionnaire based on the public consultation questionnaire was distributed during the ISA</w:t>
      </w:r>
      <w:r>
        <w:rPr>
          <w:rFonts w:cs="Times New Roman"/>
          <w:noProof/>
          <w:szCs w:val="24"/>
          <w:vertAlign w:val="superscript"/>
          <w:lang w:val="en-GB"/>
        </w:rPr>
        <w:t>2</w:t>
      </w:r>
      <w:r>
        <w:rPr>
          <w:rFonts w:cs="Times New Roman"/>
          <w:noProof/>
          <w:szCs w:val="24"/>
          <w:lang w:val="en-GB"/>
        </w:rPr>
        <w:t xml:space="preserve"> Mid-Term Conference (29 November 2018)</w:t>
      </w:r>
      <w:r>
        <w:rPr>
          <w:rFonts w:cs="Times New Roman"/>
          <w:noProof/>
          <w:szCs w:val="24"/>
          <w:vertAlign w:val="superscript"/>
        </w:rPr>
        <w:footnoteReference w:id="102"/>
      </w:r>
      <w:r>
        <w:rPr>
          <w:rFonts w:cs="Times New Roman"/>
          <w:noProof/>
          <w:szCs w:val="24"/>
          <w:lang w:val="en-GB"/>
        </w:rPr>
        <w:t xml:space="preserve"> and during the Kick-off workshop (30 November 2018) of the interim evaluation. 15 stakeholders shared their views on the programme through this channel.</w:t>
      </w:r>
    </w:p>
    <w:p>
      <w:pPr>
        <w:jc w:val="both"/>
        <w:rPr>
          <w:rFonts w:cs="Times New Roman"/>
          <w:b/>
          <w:noProof/>
          <w:szCs w:val="24"/>
          <w:lang w:val="en-GB"/>
        </w:rPr>
      </w:pPr>
      <w:r>
        <w:rPr>
          <w:rFonts w:cs="Times New Roman"/>
          <w:b/>
          <w:noProof/>
          <w:szCs w:val="24"/>
          <w:lang w:val="en-GB"/>
        </w:rPr>
        <w:t xml:space="preserve">Kick-off workshop </w:t>
      </w:r>
    </w:p>
    <w:p>
      <w:pPr>
        <w:jc w:val="both"/>
        <w:rPr>
          <w:rFonts w:cs="Times New Roman"/>
          <w:noProof/>
          <w:szCs w:val="24"/>
          <w:lang w:val="en-GB"/>
        </w:rPr>
      </w:pPr>
      <w:r>
        <w:rPr>
          <w:rFonts w:cs="Times New Roman"/>
          <w:noProof/>
          <w:szCs w:val="24"/>
          <w:lang w:val="en-GB"/>
        </w:rPr>
        <w:t>The purpose of the kick-off workshop of 30 November 2018 was to present the interim evaluation and the planned consultation activities to the ISA</w:t>
      </w:r>
      <w:r>
        <w:rPr>
          <w:rFonts w:cs="Times New Roman"/>
          <w:noProof/>
          <w:szCs w:val="24"/>
          <w:vertAlign w:val="superscript"/>
          <w:lang w:val="en-GB"/>
        </w:rPr>
        <w:t>2</w:t>
      </w:r>
      <w:r>
        <w:rPr>
          <w:rFonts w:cs="Times New Roman"/>
          <w:noProof/>
          <w:szCs w:val="24"/>
          <w:lang w:val="en-GB"/>
        </w:rPr>
        <w:t xml:space="preserve"> programme’s stakeholder groups</w:t>
      </w:r>
      <w:r>
        <w:rPr>
          <w:rFonts w:cs="Times New Roman"/>
          <w:noProof/>
          <w:szCs w:val="24"/>
          <w:vertAlign w:val="superscript"/>
        </w:rPr>
        <w:footnoteReference w:id="103"/>
      </w:r>
      <w:r>
        <w:rPr>
          <w:rFonts w:cs="Times New Roman"/>
          <w:noProof/>
          <w:szCs w:val="24"/>
          <w:lang w:val="en-GB"/>
        </w:rPr>
        <w:t>. There were 40 participants in the workshop.</w:t>
      </w:r>
    </w:p>
    <w:p>
      <w:pPr>
        <w:jc w:val="both"/>
        <w:rPr>
          <w:rFonts w:cs="Times New Roman"/>
          <w:b/>
          <w:bCs/>
          <w:noProof/>
          <w:szCs w:val="24"/>
          <w:u w:val="single"/>
          <w:lang w:val="en-GB"/>
        </w:rPr>
      </w:pPr>
      <w:r>
        <w:rPr>
          <w:rFonts w:cs="Times New Roman"/>
          <w:b/>
          <w:bCs/>
          <w:noProof/>
          <w:szCs w:val="24"/>
          <w:u w:val="single"/>
          <w:lang w:val="en-GB"/>
        </w:rPr>
        <w:t>Methodology and tools used to process data</w:t>
      </w:r>
    </w:p>
    <w:p>
      <w:pPr>
        <w:jc w:val="both"/>
        <w:rPr>
          <w:rFonts w:cs="Times New Roman"/>
          <w:noProof/>
          <w:szCs w:val="24"/>
          <w:lang w:val="en-GB"/>
        </w:rPr>
      </w:pPr>
      <w:r>
        <w:rPr>
          <w:rFonts w:cs="Times New Roman"/>
          <w:noProof/>
          <w:szCs w:val="24"/>
          <w:lang w:val="en-GB"/>
        </w:rPr>
        <w:t>The consultation questionnaires were mainly based on ‘Likert scale’ questions, meaning that respondents were asked to give their opinion on a scale from (1) to (5) or from (1) to (4), depending on the type of question:</w:t>
      </w:r>
    </w:p>
    <w:p>
      <w:pPr>
        <w:pStyle w:val="Firstlevellist"/>
        <w:rPr>
          <w:noProof/>
        </w:rPr>
      </w:pPr>
      <w:r>
        <w:rPr>
          <w:noProof/>
        </w:rPr>
        <w:t>1 - not at all; 2 - to a limited extent; 3 - to some extent; 4 - to a high extent; 5 - to the fullest extent; or</w:t>
      </w:r>
    </w:p>
    <w:p>
      <w:pPr>
        <w:pStyle w:val="FirstlevellistLAST"/>
        <w:rPr>
          <w:noProof/>
        </w:rPr>
      </w:pPr>
      <w:r>
        <w:rPr>
          <w:noProof/>
        </w:rPr>
        <w:t>1 – definitely would not; 2 – probably would not; 3 – probably would; 4 – definitely would.</w:t>
      </w:r>
    </w:p>
    <w:p>
      <w:pPr>
        <w:jc w:val="both"/>
        <w:rPr>
          <w:rFonts w:cs="Times New Roman"/>
          <w:noProof/>
          <w:szCs w:val="24"/>
          <w:lang w:val="en-GB"/>
        </w:rPr>
      </w:pPr>
      <w:r>
        <w:rPr>
          <w:rFonts w:cs="Times New Roman"/>
          <w:noProof/>
          <w:szCs w:val="24"/>
          <w:lang w:val="en-US"/>
        </w:rPr>
        <w:t xml:space="preserve">This approach helped the comparison of answers between respondents. In addition to the Likert scale questions, a number of open-ended questions were included to gather more in-depth information from consulted stakeholders. In addition, the interviews allowed more detailed feedback to be collected. </w:t>
      </w:r>
    </w:p>
    <w:p>
      <w:pPr>
        <w:jc w:val="both"/>
        <w:rPr>
          <w:rFonts w:cs="Times New Roman"/>
          <w:b/>
          <w:bCs/>
          <w:noProof/>
          <w:szCs w:val="24"/>
          <w:u w:val="single"/>
          <w:lang w:val="en-GB"/>
        </w:rPr>
      </w:pPr>
      <w:r>
        <w:rPr>
          <w:rFonts w:cs="Times New Roman"/>
          <w:b/>
          <w:bCs/>
          <w:noProof/>
          <w:szCs w:val="24"/>
          <w:u w:val="single"/>
          <w:lang w:val="en-GB"/>
        </w:rPr>
        <w:t>Characteristics of respondents</w:t>
      </w:r>
    </w:p>
    <w:p>
      <w:pPr>
        <w:jc w:val="both"/>
        <w:rPr>
          <w:rFonts w:cs="Times New Roman"/>
          <w:noProof/>
          <w:szCs w:val="24"/>
          <w:lang w:val="en-GB"/>
        </w:rPr>
      </w:pPr>
      <w:r>
        <w:rPr>
          <w:rFonts w:cs="Times New Roman"/>
          <w:noProof/>
          <w:szCs w:val="24"/>
          <w:lang w:val="en-GB"/>
        </w:rPr>
        <w:t xml:space="preserve">With </w:t>
      </w:r>
      <w:r>
        <w:rPr>
          <w:rFonts w:cs="Times New Roman"/>
          <w:b/>
          <w:noProof/>
          <w:szCs w:val="24"/>
          <w:lang w:val="en-GB"/>
        </w:rPr>
        <w:t>a total of 129 respondents</w:t>
      </w:r>
      <w:r>
        <w:rPr>
          <w:rFonts w:cs="Times New Roman"/>
          <w:noProof/>
          <w:szCs w:val="24"/>
          <w:lang w:val="en-GB"/>
        </w:rPr>
        <w:t>, the various consultations reached all of the following groups: programme governance, action owners, solution users, stakeholders responsible for linked EU policies / initiatives, standardisation organisations and the wider public (</w:t>
      </w:r>
      <w:r>
        <w:rPr>
          <w:rFonts w:cs="Times New Roman"/>
          <w:noProof/>
          <w:szCs w:val="24"/>
        </w:rPr>
        <w:fldChar w:fldCharType="begin"/>
      </w:r>
      <w:r>
        <w:rPr>
          <w:rFonts w:cs="Times New Roman"/>
          <w:noProof/>
          <w:szCs w:val="24"/>
          <w:lang w:val="en-GB"/>
        </w:rPr>
        <w:instrText xml:space="preserve"> REF _Ref9324386 \h  \* MERGEFORMAT </w:instrText>
      </w:r>
      <w:r>
        <w:rPr>
          <w:rFonts w:cs="Times New Roman"/>
          <w:noProof/>
          <w:szCs w:val="24"/>
        </w:rPr>
      </w:r>
      <w:r>
        <w:rPr>
          <w:rFonts w:cs="Times New Roman"/>
          <w:noProof/>
          <w:szCs w:val="24"/>
        </w:rPr>
        <w:fldChar w:fldCharType="separate"/>
      </w:r>
      <w:r>
        <w:rPr>
          <w:rFonts w:cs="Times New Roman"/>
          <w:bCs/>
          <w:noProof/>
          <w:szCs w:val="24"/>
          <w:lang w:val="en-GB"/>
        </w:rPr>
        <w:t>Table 5</w:t>
      </w:r>
      <w:r>
        <w:rPr>
          <w:rFonts w:cs="Times New Roman"/>
          <w:noProof/>
          <w:szCs w:val="24"/>
        </w:rPr>
        <w:fldChar w:fldCharType="end"/>
      </w:r>
      <w:r>
        <w:rPr>
          <w:rFonts w:cs="Times New Roman"/>
          <w:noProof/>
          <w:szCs w:val="24"/>
          <w:lang w:val="en-GB"/>
        </w:rPr>
        <w:t xml:space="preserve">). In addition, a </w:t>
      </w:r>
      <w:r>
        <w:rPr>
          <w:rFonts w:cs="Times New Roman"/>
          <w:b/>
          <w:noProof/>
          <w:szCs w:val="24"/>
          <w:lang w:val="en-GB"/>
        </w:rPr>
        <w:t>team of technical experts</w:t>
      </w:r>
      <w:r>
        <w:rPr>
          <w:rFonts w:cs="Times New Roman"/>
          <w:noProof/>
          <w:szCs w:val="24"/>
          <w:lang w:val="en-GB"/>
        </w:rPr>
        <w:t xml:space="preserve"> assessed the programme and their conclusions are presented throughout the evaluation report.</w:t>
      </w:r>
    </w:p>
    <w:p>
      <w:pPr>
        <w:jc w:val="both"/>
        <w:rPr>
          <w:rFonts w:cs="Times New Roman"/>
          <w:noProof/>
          <w:szCs w:val="24"/>
          <w:lang w:val="en-GB"/>
        </w:rPr>
      </w:pPr>
      <w:r>
        <w:rPr>
          <w:rFonts w:cs="Times New Roman"/>
          <w:noProof/>
          <w:szCs w:val="24"/>
          <w:lang w:val="en-GB"/>
        </w:rPr>
        <w:t>Note that the results of the public and targeted consultation activities have been combined and analysed jointly in this report.</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5</w:t>
      </w:r>
      <w:r>
        <w:rPr>
          <w:rFonts w:cs="Times New Roman"/>
          <w:noProof/>
        </w:rPr>
        <w:fldChar w:fldCharType="end"/>
      </w:r>
      <w:r>
        <w:rPr>
          <w:rFonts w:cs="Times New Roman"/>
          <w:noProof/>
        </w:rPr>
        <w:t>: Number of consulted stakeholders by consultation activity and stakeholder category</w:t>
      </w:r>
    </w:p>
    <w:tbl>
      <w:tblPr>
        <w:tblStyle w:val="GridTable5DarkAccent1"/>
        <w:tblW w:w="0" w:type="dxa"/>
        <w:tblLayout w:type="fixed"/>
        <w:tblLook w:val="04A0" w:firstRow="1" w:lastRow="0" w:firstColumn="1" w:lastColumn="0" w:noHBand="0" w:noVBand="1"/>
      </w:tblPr>
      <w:tblGrid>
        <w:gridCol w:w="1980"/>
        <w:gridCol w:w="1421"/>
        <w:gridCol w:w="1421"/>
        <w:gridCol w:w="1421"/>
        <w:gridCol w:w="1421"/>
        <w:gridCol w:w="142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pPr>
              <w:spacing w:before="20" w:after="20"/>
              <w:jc w:val="center"/>
              <w:rPr>
                <w:rFonts w:cs="Times New Roman"/>
                <w:b w:val="0"/>
                <w:bCs w:val="0"/>
                <w:noProof/>
                <w:lang w:val="en-GB"/>
              </w:rPr>
            </w:pPr>
            <w:r>
              <w:rPr>
                <w:rFonts w:cs="Times New Roman"/>
                <w:b w:val="0"/>
                <w:bCs w:val="0"/>
                <w:noProof/>
                <w:lang w:val="en-GB"/>
              </w:rPr>
              <w:t>Stakeholder</w:t>
            </w:r>
          </w:p>
          <w:p>
            <w:pPr>
              <w:spacing w:before="20" w:after="20"/>
              <w:jc w:val="center"/>
              <w:rPr>
                <w:rFonts w:cs="Times New Roman"/>
                <w:b w:val="0"/>
                <w:bCs w:val="0"/>
                <w:noProof/>
                <w:lang w:val="en-GB"/>
              </w:rPr>
            </w:pPr>
            <w:r>
              <w:rPr>
                <w:rFonts w:cs="Times New Roman"/>
                <w:b w:val="0"/>
                <w:bCs w:val="0"/>
                <w:noProof/>
                <w:lang w:val="en-GB"/>
              </w:rPr>
              <w:t>category</w:t>
            </w:r>
          </w:p>
        </w:tc>
        <w:tc>
          <w:tcPr>
            <w:tcW w:w="1421" w:type="dxa"/>
            <w:hideMark/>
          </w:tcPr>
          <w:p>
            <w:pPr>
              <w:spacing w:before="20" w:after="20"/>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lang w:val="en-GB"/>
              </w:rPr>
            </w:pPr>
            <w:r>
              <w:rPr>
                <w:rFonts w:cs="Times New Roman"/>
                <w:b w:val="0"/>
                <w:bCs w:val="0"/>
                <w:noProof/>
                <w:lang w:val="en-GB"/>
              </w:rPr>
              <w:t>In-depth interview</w:t>
            </w:r>
          </w:p>
        </w:tc>
        <w:tc>
          <w:tcPr>
            <w:tcW w:w="1421" w:type="dxa"/>
            <w:hideMark/>
          </w:tcPr>
          <w:p>
            <w:pPr>
              <w:spacing w:before="20" w:after="20"/>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lang w:val="en-GB"/>
              </w:rPr>
            </w:pPr>
            <w:r>
              <w:rPr>
                <w:rFonts w:cs="Times New Roman"/>
                <w:b w:val="0"/>
                <w:bCs w:val="0"/>
                <w:noProof/>
                <w:lang w:val="en-GB"/>
              </w:rPr>
              <w:t>Online survey</w:t>
            </w:r>
          </w:p>
        </w:tc>
        <w:tc>
          <w:tcPr>
            <w:tcW w:w="1421" w:type="dxa"/>
            <w:hideMark/>
          </w:tcPr>
          <w:p>
            <w:pPr>
              <w:spacing w:before="20" w:after="20"/>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lang w:val="en-GB"/>
              </w:rPr>
            </w:pPr>
            <w:r>
              <w:rPr>
                <w:rFonts w:cs="Times New Roman"/>
                <w:b w:val="0"/>
                <w:bCs w:val="0"/>
                <w:noProof/>
                <w:lang w:val="en-GB"/>
              </w:rPr>
              <w:t>Public consultation</w:t>
            </w:r>
          </w:p>
        </w:tc>
        <w:tc>
          <w:tcPr>
            <w:tcW w:w="1421" w:type="dxa"/>
            <w:hideMark/>
          </w:tcPr>
          <w:p>
            <w:pPr>
              <w:spacing w:before="20" w:after="20"/>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lang w:val="en-GB"/>
              </w:rPr>
            </w:pPr>
            <w:r>
              <w:rPr>
                <w:rFonts w:cs="Times New Roman"/>
                <w:b w:val="0"/>
                <w:bCs w:val="0"/>
                <w:noProof/>
                <w:lang w:val="en-GB"/>
              </w:rPr>
              <w:t>Short question-naire</w:t>
            </w:r>
          </w:p>
        </w:tc>
        <w:tc>
          <w:tcPr>
            <w:tcW w:w="1421" w:type="dxa"/>
            <w:hideMark/>
          </w:tcPr>
          <w:p>
            <w:pPr>
              <w:spacing w:before="20" w:after="20"/>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lang w:val="en-GB"/>
              </w:rPr>
            </w:pPr>
            <w:r>
              <w:rPr>
                <w:rFonts w:cs="Times New Roman"/>
                <w:b w:val="0"/>
                <w:bCs w:val="0"/>
                <w:noProof/>
                <w:lang w:val="en-GB"/>
              </w:rPr>
              <w:t>TOTAL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pPr>
              <w:spacing w:before="20" w:after="20"/>
              <w:rPr>
                <w:rFonts w:cs="Times New Roman"/>
                <w:b w:val="0"/>
                <w:bCs w:val="0"/>
                <w:noProof/>
                <w:lang w:val="en-GB"/>
              </w:rPr>
            </w:pPr>
            <w:r>
              <w:rPr>
                <w:rFonts w:cs="Times New Roman"/>
                <w:b w:val="0"/>
                <w:bCs w:val="0"/>
                <w:noProof/>
                <w:lang w:val="en-GB"/>
              </w:rPr>
              <w:t>Programme Governance</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4</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15</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19</w:t>
            </w:r>
          </w:p>
        </w:tc>
      </w:tr>
      <w:tr>
        <w:tc>
          <w:tcPr>
            <w:cnfStyle w:val="001000000000" w:firstRow="0" w:lastRow="0" w:firstColumn="1" w:lastColumn="0" w:oddVBand="0" w:evenVBand="0" w:oddHBand="0" w:evenHBand="0" w:firstRowFirstColumn="0" w:firstRowLastColumn="0" w:lastRowFirstColumn="0" w:lastRowLastColumn="0"/>
            <w:tcW w:w="1980" w:type="dxa"/>
            <w:hideMark/>
          </w:tcPr>
          <w:p>
            <w:pPr>
              <w:spacing w:before="20" w:after="20"/>
              <w:rPr>
                <w:rFonts w:cs="Times New Roman"/>
                <w:noProof/>
                <w:lang w:val="en-GB"/>
              </w:rPr>
            </w:pPr>
            <w:r>
              <w:rPr>
                <w:rFonts w:cs="Times New Roman"/>
                <w:b w:val="0"/>
                <w:bCs w:val="0"/>
                <w:noProof/>
                <w:lang w:val="en-GB"/>
              </w:rPr>
              <w:t>Action owners</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3</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20</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23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pPr>
              <w:spacing w:before="20" w:after="20"/>
              <w:rPr>
                <w:rFonts w:cs="Times New Roman"/>
                <w:noProof/>
                <w:lang w:val="en-GB"/>
              </w:rPr>
            </w:pPr>
            <w:r>
              <w:rPr>
                <w:rFonts w:cs="Times New Roman"/>
                <w:b w:val="0"/>
                <w:bCs w:val="0"/>
                <w:noProof/>
                <w:lang w:val="en-GB"/>
              </w:rPr>
              <w:t xml:space="preserve">Solution users </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6</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37</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43</w:t>
            </w:r>
          </w:p>
        </w:tc>
      </w:tr>
      <w:tr>
        <w:tc>
          <w:tcPr>
            <w:cnfStyle w:val="001000000000" w:firstRow="0" w:lastRow="0" w:firstColumn="1" w:lastColumn="0" w:oddVBand="0" w:evenVBand="0" w:oddHBand="0" w:evenHBand="0" w:firstRowFirstColumn="0" w:firstRowLastColumn="0" w:lastRowFirstColumn="0" w:lastRowLastColumn="0"/>
            <w:tcW w:w="1980" w:type="dxa"/>
            <w:hideMark/>
          </w:tcPr>
          <w:p>
            <w:pPr>
              <w:spacing w:before="20" w:after="20"/>
              <w:rPr>
                <w:rFonts w:cs="Times New Roman"/>
                <w:noProof/>
                <w:lang w:val="en-GB"/>
              </w:rPr>
            </w:pPr>
            <w:r>
              <w:rPr>
                <w:rFonts w:cs="Times New Roman"/>
                <w:b w:val="0"/>
                <w:bCs w:val="0"/>
                <w:noProof/>
                <w:lang w:val="en-GB"/>
              </w:rPr>
              <w:t>Stakeholders related to linked EU policies/ programmes/ initiatives</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6</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4</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10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pPr>
              <w:spacing w:before="20" w:after="20"/>
              <w:rPr>
                <w:rFonts w:cs="Times New Roman"/>
                <w:noProof/>
                <w:lang w:val="en-GB"/>
              </w:rPr>
            </w:pPr>
            <w:r>
              <w:rPr>
                <w:rFonts w:cs="Times New Roman"/>
                <w:b w:val="0"/>
                <w:bCs w:val="0"/>
                <w:noProof/>
                <w:lang w:val="en-GB"/>
              </w:rPr>
              <w:t>Standardisation organisations</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1</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4</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5</w:t>
            </w:r>
          </w:p>
        </w:tc>
      </w:tr>
      <w:tr>
        <w:tc>
          <w:tcPr>
            <w:cnfStyle w:val="001000000000" w:firstRow="0" w:lastRow="0" w:firstColumn="1" w:lastColumn="0" w:oddVBand="0" w:evenVBand="0" w:oddHBand="0" w:evenHBand="0" w:firstRowFirstColumn="0" w:firstRowLastColumn="0" w:lastRowFirstColumn="0" w:lastRowLastColumn="0"/>
            <w:tcW w:w="1980" w:type="dxa"/>
            <w:hideMark/>
          </w:tcPr>
          <w:p>
            <w:pPr>
              <w:spacing w:before="20" w:after="20"/>
              <w:rPr>
                <w:rFonts w:cs="Times New Roman"/>
                <w:noProof/>
                <w:lang w:val="en-GB"/>
              </w:rPr>
            </w:pPr>
            <w:r>
              <w:rPr>
                <w:rFonts w:cs="Times New Roman"/>
                <w:b w:val="0"/>
                <w:bCs w:val="0"/>
                <w:noProof/>
                <w:lang w:val="en-GB"/>
              </w:rPr>
              <w:t>Wider public</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14</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15</w:t>
            </w:r>
          </w:p>
        </w:tc>
        <w:tc>
          <w:tcPr>
            <w:tcW w:w="1421" w:type="dxa"/>
            <w:hideMark/>
          </w:tcPr>
          <w:p>
            <w:pPr>
              <w:spacing w:before="20" w:after="20"/>
              <w:jc w:val="center"/>
              <w:cnfStyle w:val="000000000000" w:firstRow="0" w:lastRow="0" w:firstColumn="0" w:lastColumn="0" w:oddVBand="0" w:evenVBand="0" w:oddHBand="0" w:evenHBand="0" w:firstRowFirstColumn="0" w:firstRowLastColumn="0" w:lastRowFirstColumn="0" w:lastRowLastColumn="0"/>
              <w:rPr>
                <w:rFonts w:cs="Times New Roman"/>
                <w:noProof/>
                <w:lang w:val="en-GB"/>
              </w:rPr>
            </w:pPr>
            <w:r>
              <w:rPr>
                <w:rFonts w:cs="Times New Roman"/>
                <w:noProof/>
                <w:lang w:val="en-GB"/>
              </w:rPr>
              <w:t>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pPr>
              <w:spacing w:before="20" w:after="20"/>
              <w:rPr>
                <w:rFonts w:cs="Times New Roman"/>
                <w:b w:val="0"/>
                <w:bCs w:val="0"/>
                <w:noProof/>
                <w:lang w:val="en-GB"/>
              </w:rPr>
            </w:pPr>
            <w:r>
              <w:rPr>
                <w:rFonts w:cs="Times New Roman"/>
                <w:b w:val="0"/>
                <w:bCs w:val="0"/>
                <w:noProof/>
                <w:lang w:val="en-GB"/>
              </w:rPr>
              <w:t>TOTAL</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20</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80</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14</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15</w:t>
            </w:r>
          </w:p>
        </w:tc>
        <w:tc>
          <w:tcPr>
            <w:tcW w:w="1421" w:type="dxa"/>
            <w:hideMark/>
          </w:tcPr>
          <w:p>
            <w:pPr>
              <w:spacing w:before="20" w:after="20"/>
              <w:jc w:val="center"/>
              <w:cnfStyle w:val="000000100000" w:firstRow="0" w:lastRow="0" w:firstColumn="0" w:lastColumn="0" w:oddVBand="0" w:evenVBand="0" w:oddHBand="1" w:evenHBand="0" w:firstRowFirstColumn="0" w:firstRowLastColumn="0" w:lastRowFirstColumn="0" w:lastRowLastColumn="0"/>
              <w:rPr>
                <w:rFonts w:cs="Times New Roman"/>
                <w:noProof/>
                <w:lang w:val="en-GB"/>
              </w:rPr>
            </w:pPr>
            <w:r>
              <w:rPr>
                <w:rFonts w:cs="Times New Roman"/>
                <w:noProof/>
                <w:lang w:val="en-GB"/>
              </w:rPr>
              <w:t>129</w:t>
            </w:r>
          </w:p>
        </w:tc>
      </w:tr>
    </w:tbl>
    <w:p>
      <w:pPr>
        <w:spacing w:before="60" w:after="0"/>
        <w:jc w:val="both"/>
        <w:rPr>
          <w:rFonts w:cs="Times New Roman"/>
          <w:i/>
          <w:noProof/>
          <w:sz w:val="20"/>
          <w:szCs w:val="24"/>
          <w:lang w:val="en-GB"/>
        </w:rPr>
      </w:pPr>
      <w:r>
        <w:rPr>
          <w:rFonts w:cs="Times New Roman"/>
          <w:i/>
          <w:noProof/>
          <w:sz w:val="20"/>
          <w:szCs w:val="24"/>
          <w:lang w:val="en-GB"/>
        </w:rPr>
        <w:t>Note: Regarding the ‘Expert’ stakeholder group, four technical experts independently assessed the programme. In addition, most of the respondents from the consulted stakeholder groups are experts in interoperability and ISA</w:t>
      </w:r>
      <w:r>
        <w:rPr>
          <w:rFonts w:cs="Times New Roman"/>
          <w:i/>
          <w:noProof/>
          <w:sz w:val="20"/>
          <w:szCs w:val="24"/>
          <w:vertAlign w:val="superscript"/>
          <w:lang w:val="en-GB"/>
        </w:rPr>
        <w:t>2</w:t>
      </w:r>
      <w:r>
        <w:rPr>
          <w:rFonts w:cs="Times New Roman"/>
          <w:i/>
          <w:noProof/>
          <w:sz w:val="20"/>
          <w:szCs w:val="24"/>
          <w:lang w:val="en-GB"/>
        </w:rPr>
        <w:t xml:space="preserve">, as shown in </w:t>
      </w:r>
      <w:r>
        <w:rPr>
          <w:rFonts w:cs="Times New Roman"/>
          <w:i/>
          <w:noProof/>
          <w:sz w:val="20"/>
          <w:szCs w:val="24"/>
        </w:rPr>
        <w:fldChar w:fldCharType="begin"/>
      </w:r>
      <w:r>
        <w:rPr>
          <w:rFonts w:cs="Times New Roman"/>
          <w:i/>
          <w:noProof/>
          <w:sz w:val="20"/>
          <w:szCs w:val="24"/>
          <w:lang w:val="en-GB"/>
        </w:rPr>
        <w:instrText xml:space="preserve"> REF _Ref9325154 \h  \* MERGEFORMAT </w:instrText>
      </w:r>
      <w:r>
        <w:rPr>
          <w:rFonts w:cs="Times New Roman"/>
          <w:i/>
          <w:noProof/>
          <w:sz w:val="20"/>
          <w:szCs w:val="24"/>
        </w:rPr>
      </w:r>
      <w:r>
        <w:rPr>
          <w:rFonts w:cs="Times New Roman"/>
          <w:i/>
          <w:noProof/>
          <w:sz w:val="20"/>
          <w:szCs w:val="24"/>
        </w:rPr>
        <w:fldChar w:fldCharType="separate"/>
      </w:r>
      <w:r>
        <w:rPr>
          <w:rFonts w:cs="Times New Roman"/>
          <w:i/>
          <w:noProof/>
          <w:sz w:val="20"/>
          <w:szCs w:val="24"/>
          <w:lang w:val="en-GB"/>
        </w:rPr>
        <w:t>Figure 30</w:t>
      </w:r>
      <w:r>
        <w:rPr>
          <w:rFonts w:cs="Times New Roman"/>
          <w:i/>
          <w:noProof/>
          <w:sz w:val="20"/>
          <w:szCs w:val="24"/>
        </w:rPr>
        <w:fldChar w:fldCharType="end"/>
      </w:r>
      <w:r>
        <w:rPr>
          <w:rFonts w:cs="Times New Roman"/>
          <w:i/>
          <w:noProof/>
          <w:sz w:val="20"/>
          <w:szCs w:val="24"/>
          <w:lang w:val="en-GB"/>
        </w:rPr>
        <w:t xml:space="preserve"> and </w:t>
      </w:r>
      <w:r>
        <w:rPr>
          <w:rFonts w:cs="Times New Roman"/>
          <w:i/>
          <w:noProof/>
          <w:sz w:val="20"/>
          <w:szCs w:val="24"/>
        </w:rPr>
        <w:fldChar w:fldCharType="begin"/>
      </w:r>
      <w:r>
        <w:rPr>
          <w:rFonts w:cs="Times New Roman"/>
          <w:i/>
          <w:noProof/>
          <w:sz w:val="20"/>
          <w:szCs w:val="24"/>
          <w:lang w:val="en-GB"/>
        </w:rPr>
        <w:instrText xml:space="preserve"> REF _Ref9325186 \h  \* MERGEFORMAT </w:instrText>
      </w:r>
      <w:r>
        <w:rPr>
          <w:rFonts w:cs="Times New Roman"/>
          <w:i/>
          <w:noProof/>
          <w:sz w:val="20"/>
          <w:szCs w:val="24"/>
        </w:rPr>
      </w:r>
      <w:r>
        <w:rPr>
          <w:rFonts w:cs="Times New Roman"/>
          <w:i/>
          <w:noProof/>
          <w:sz w:val="20"/>
          <w:szCs w:val="24"/>
        </w:rPr>
        <w:fldChar w:fldCharType="separate"/>
      </w:r>
      <w:r>
        <w:rPr>
          <w:rFonts w:cs="Times New Roman"/>
          <w:i/>
          <w:noProof/>
          <w:sz w:val="20"/>
          <w:szCs w:val="24"/>
          <w:lang w:val="en-GB"/>
        </w:rPr>
        <w:t>Figure 31</w:t>
      </w:r>
      <w:r>
        <w:rPr>
          <w:rFonts w:cs="Times New Roman"/>
          <w:i/>
          <w:noProof/>
          <w:sz w:val="20"/>
          <w:szCs w:val="24"/>
        </w:rPr>
        <w:fldChar w:fldCharType="end"/>
      </w:r>
      <w:r>
        <w:rPr>
          <w:rFonts w:cs="Times New Roman"/>
          <w:i/>
          <w:noProof/>
          <w:sz w:val="20"/>
          <w:szCs w:val="24"/>
          <w:lang w:val="en-GB"/>
        </w:rPr>
        <w:t>.</w:t>
      </w:r>
    </w:p>
    <w:p>
      <w:pPr>
        <w:spacing w:after="240"/>
        <w:jc w:val="both"/>
        <w:rPr>
          <w:rFonts w:cs="Times New Roman"/>
          <w:i/>
          <w:noProof/>
          <w:sz w:val="20"/>
          <w:szCs w:val="24"/>
          <w:lang w:val="en-GB"/>
        </w:rPr>
      </w:pPr>
      <w:r>
        <w:rPr>
          <w:rFonts w:cs="Times New Roman"/>
          <w:i/>
          <w:noProof/>
          <w:sz w:val="20"/>
          <w:szCs w:val="20"/>
          <w:lang w:val="en-GB"/>
        </w:rPr>
        <w:t xml:space="preserve">Source: </w:t>
      </w:r>
      <w:hyperlink r:id="rId143" w:history="1">
        <w:r>
          <w:rPr>
            <w:rStyle w:val="Hyperlink"/>
            <w:rFonts w:cs="Times New Roman"/>
            <w:i/>
            <w:noProof/>
            <w:sz w:val="20"/>
            <w:lang w:val="en-GB"/>
          </w:rPr>
          <w:t>CEPS final study</w:t>
        </w:r>
      </w:hyperlink>
    </w:p>
    <w:p>
      <w:pPr>
        <w:rPr>
          <w:rFonts w:cs="Times New Roman"/>
          <w:noProof/>
          <w:szCs w:val="24"/>
          <w:lang w:val="en-GB"/>
        </w:rPr>
      </w:pPr>
      <w:r>
        <w:rPr>
          <w:rFonts w:cs="Times New Roman"/>
          <w:noProof/>
          <w:szCs w:val="24"/>
          <w:lang w:val="en-GB"/>
        </w:rPr>
        <w:br w:type="page"/>
      </w:r>
    </w:p>
    <w:p>
      <w:pPr>
        <w:jc w:val="both"/>
        <w:rPr>
          <w:rFonts w:cs="Times New Roman"/>
          <w:noProof/>
          <w:szCs w:val="24"/>
          <w:lang w:val="en-GB"/>
        </w:rPr>
      </w:pPr>
      <w:r>
        <w:rPr>
          <w:rFonts w:cs="Times New Roman"/>
          <w:noProof/>
          <w:szCs w:val="24"/>
          <w:lang w:val="en-GB"/>
        </w:rPr>
        <w:t xml:space="preserve">The consulted stakeholders claimed to have </w:t>
      </w:r>
      <w:r>
        <w:rPr>
          <w:rFonts w:cs="Times New Roman"/>
          <w:b/>
          <w:noProof/>
          <w:szCs w:val="24"/>
          <w:lang w:val="en-GB"/>
        </w:rPr>
        <w:t>high levels of expertise</w:t>
      </w:r>
      <w:r>
        <w:rPr>
          <w:rFonts w:cs="Times New Roman"/>
          <w:noProof/>
          <w:szCs w:val="24"/>
          <w:lang w:val="en-GB"/>
        </w:rPr>
        <w:t xml:space="preserve"> both on the interoperability of public services (</w:t>
      </w:r>
      <w:r>
        <w:rPr>
          <w:rFonts w:cs="Times New Roman"/>
          <w:noProof/>
          <w:szCs w:val="24"/>
        </w:rPr>
        <w:fldChar w:fldCharType="begin"/>
      </w:r>
      <w:r>
        <w:rPr>
          <w:rFonts w:cs="Times New Roman"/>
          <w:noProof/>
          <w:szCs w:val="24"/>
          <w:lang w:val="en-GB"/>
        </w:rPr>
        <w:instrText xml:space="preserve"> REF _Ref9325154 \h  \* MERGEFORMAT </w:instrText>
      </w:r>
      <w:r>
        <w:rPr>
          <w:rFonts w:cs="Times New Roman"/>
          <w:noProof/>
          <w:szCs w:val="24"/>
        </w:rPr>
      </w:r>
      <w:r>
        <w:rPr>
          <w:rFonts w:cs="Times New Roman"/>
          <w:noProof/>
          <w:szCs w:val="24"/>
        </w:rPr>
        <w:fldChar w:fldCharType="separate"/>
      </w:r>
      <w:r>
        <w:rPr>
          <w:rFonts w:cs="Times New Roman"/>
          <w:noProof/>
          <w:lang w:val="en-GB"/>
        </w:rPr>
        <w:t>Figure 30</w:t>
      </w:r>
      <w:r>
        <w:rPr>
          <w:rFonts w:cs="Times New Roman"/>
          <w:noProof/>
          <w:szCs w:val="24"/>
        </w:rPr>
        <w:fldChar w:fldCharType="end"/>
      </w:r>
      <w:r>
        <w:rPr>
          <w:rFonts w:cs="Times New Roman"/>
          <w:noProof/>
          <w:szCs w:val="24"/>
          <w:lang w:val="en-GB"/>
        </w:rPr>
        <w:t>) and on the ISA</w:t>
      </w:r>
      <w:r>
        <w:rPr>
          <w:rFonts w:cs="Times New Roman"/>
          <w:noProof/>
          <w:szCs w:val="24"/>
          <w:vertAlign w:val="superscript"/>
          <w:lang w:val="en-GB"/>
        </w:rPr>
        <w:t>2</w:t>
      </w:r>
      <w:r>
        <w:rPr>
          <w:rFonts w:cs="Times New Roman"/>
          <w:noProof/>
          <w:szCs w:val="24"/>
          <w:lang w:val="en-GB"/>
        </w:rPr>
        <w:t xml:space="preserve"> programme as a whole (</w:t>
      </w:r>
      <w:r>
        <w:rPr>
          <w:rFonts w:cs="Times New Roman"/>
          <w:noProof/>
          <w:szCs w:val="24"/>
        </w:rPr>
        <w:fldChar w:fldCharType="begin"/>
      </w:r>
      <w:r>
        <w:rPr>
          <w:rFonts w:cs="Times New Roman"/>
          <w:noProof/>
          <w:szCs w:val="24"/>
          <w:lang w:val="en-GB"/>
        </w:rPr>
        <w:instrText xml:space="preserve"> REF _Ref9325186 \h  \* MERGEFORMAT </w:instrText>
      </w:r>
      <w:r>
        <w:rPr>
          <w:rFonts w:cs="Times New Roman"/>
          <w:noProof/>
          <w:szCs w:val="24"/>
        </w:rPr>
      </w:r>
      <w:r>
        <w:rPr>
          <w:rFonts w:cs="Times New Roman"/>
          <w:noProof/>
          <w:szCs w:val="24"/>
        </w:rPr>
        <w:fldChar w:fldCharType="separate"/>
      </w:r>
      <w:r>
        <w:rPr>
          <w:rFonts w:cs="Times New Roman"/>
          <w:noProof/>
          <w:lang w:val="en-GB"/>
        </w:rPr>
        <w:t>Figure 31</w:t>
      </w:r>
      <w:r>
        <w:rPr>
          <w:rFonts w:cs="Times New Roman"/>
          <w:noProof/>
          <w:szCs w:val="24"/>
        </w:rPr>
        <w:fldChar w:fldCharType="end"/>
      </w:r>
      <w:r>
        <w:rPr>
          <w:rFonts w:cs="Times New Roman"/>
          <w:noProof/>
          <w:szCs w:val="24"/>
          <w:lang w:val="en-GB"/>
        </w:rPr>
        <w:t>).</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30</w:t>
      </w:r>
      <w:r>
        <w:rPr>
          <w:rFonts w:cs="Times New Roman"/>
          <w:noProof/>
        </w:rPr>
        <w:fldChar w:fldCharType="end"/>
      </w:r>
      <w:r>
        <w:rPr>
          <w:rFonts w:cs="Times New Roman"/>
          <w:noProof/>
        </w:rPr>
        <w:t xml:space="preserve"> Knowledge of digital public services and interoperability (average score of answers, number of respondents)</w:t>
      </w:r>
    </w:p>
    <w:p>
      <w:pPr>
        <w:pStyle w:val="VISUAL"/>
        <w:rPr>
          <w:rFonts w:cs="Times New Roman"/>
          <w:noProof/>
        </w:rPr>
      </w:pPr>
      <w:r>
        <w:rPr>
          <w:rFonts w:cs="Times New Roman"/>
          <w:noProof/>
          <w:lang w:eastAsia="en-GB"/>
        </w:rPr>
        <w:drawing>
          <wp:inline distT="0" distB="0" distL="0" distR="0">
            <wp:extent cx="5181600" cy="219583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spacing w:after="0"/>
        <w:rPr>
          <w:rFonts w:cs="Times New Roman"/>
          <w:i/>
          <w:noProof/>
          <w:sz w:val="20"/>
          <w:szCs w:val="24"/>
          <w:lang w:val="en-GB"/>
        </w:rPr>
      </w:pPr>
      <w:r>
        <w:rPr>
          <w:rFonts w:cs="Times New Roman"/>
          <w:i/>
          <w:noProof/>
          <w:sz w:val="20"/>
          <w:szCs w:val="24"/>
          <w:lang w:val="en-GB"/>
        </w:rPr>
        <w:t>Score: (1) not at all; (2) to a limited extent; (3) to some extent; (4) to a high extent; or (5) to the fullest extent.</w:t>
      </w:r>
    </w:p>
    <w:p>
      <w:pPr>
        <w:spacing w:after="0"/>
        <w:rPr>
          <w:rFonts w:cs="Times New Roman"/>
          <w:i/>
          <w:noProof/>
          <w:sz w:val="20"/>
          <w:szCs w:val="24"/>
          <w:lang w:val="en-GB"/>
        </w:rPr>
      </w:pPr>
      <w:r>
        <w:rPr>
          <w:rFonts w:cs="Times New Roman"/>
          <w:i/>
          <w:noProof/>
          <w:sz w:val="20"/>
          <w:szCs w:val="24"/>
          <w:lang w:val="en-GB"/>
        </w:rPr>
        <w:t xml:space="preserve">Note: Averages do not account for respondents answering ‘don’t know/no opinion’ (DK/NO). </w:t>
      </w:r>
    </w:p>
    <w:p>
      <w:pPr>
        <w:spacing w:after="240"/>
        <w:jc w:val="both"/>
        <w:rPr>
          <w:rFonts w:cs="Times New Roman"/>
          <w:i/>
          <w:noProof/>
          <w:sz w:val="20"/>
          <w:szCs w:val="24"/>
          <w:highlight w:val="yellow"/>
          <w:lang w:val="en-GB"/>
        </w:rPr>
      </w:pPr>
      <w:r>
        <w:rPr>
          <w:rFonts w:cs="Times New Roman"/>
          <w:i/>
          <w:noProof/>
          <w:sz w:val="20"/>
          <w:szCs w:val="20"/>
          <w:lang w:val="en-GB"/>
        </w:rPr>
        <w:t xml:space="preserve">Source: </w:t>
      </w:r>
      <w:hyperlink r:id="rId145" w:history="1">
        <w:r>
          <w:rPr>
            <w:rStyle w:val="Hyperlink"/>
            <w:rFonts w:cs="Times New Roman"/>
            <w:i/>
            <w:noProof/>
            <w:sz w:val="20"/>
            <w:lang w:val="en-GB"/>
          </w:rPr>
          <w:t>CEPS final study</w:t>
        </w:r>
      </w:hyperlink>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31</w:t>
      </w:r>
      <w:r>
        <w:rPr>
          <w:rFonts w:cs="Times New Roman"/>
          <w:noProof/>
        </w:rPr>
        <w:fldChar w:fldCharType="end"/>
      </w:r>
      <w:r>
        <w:rPr>
          <w:rFonts w:cs="Times New Roman"/>
          <w:noProof/>
        </w:rPr>
        <w:t xml:space="preserve"> Knowledge of ISA</w:t>
      </w:r>
      <w:r>
        <w:rPr>
          <w:rFonts w:cs="Times New Roman"/>
          <w:noProof/>
          <w:vertAlign w:val="superscript"/>
        </w:rPr>
        <w:t>2</w:t>
      </w:r>
      <w:r>
        <w:rPr>
          <w:rFonts w:cs="Times New Roman"/>
          <w:noProof/>
        </w:rPr>
        <w:t xml:space="preserve"> (average score of answers, number of respondents)</w:t>
      </w:r>
    </w:p>
    <w:p>
      <w:pPr>
        <w:pStyle w:val="VISUAL"/>
        <w:rPr>
          <w:rFonts w:cs="Times New Roman"/>
          <w:noProof/>
        </w:rPr>
      </w:pPr>
      <w:r>
        <w:rPr>
          <w:rFonts w:cs="Times New Roman"/>
          <w:noProof/>
          <w:lang w:eastAsia="en-GB"/>
        </w:rPr>
        <w:drawing>
          <wp:inline distT="0" distB="0" distL="0" distR="0">
            <wp:extent cx="5222875" cy="246634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spacing w:after="0"/>
        <w:rPr>
          <w:rFonts w:cs="Times New Roman"/>
          <w:i/>
          <w:noProof/>
          <w:sz w:val="20"/>
          <w:szCs w:val="24"/>
          <w:lang w:val="en-GB"/>
        </w:rPr>
      </w:pPr>
      <w:r>
        <w:rPr>
          <w:rFonts w:cs="Times New Roman"/>
          <w:i/>
          <w:noProof/>
          <w:sz w:val="20"/>
          <w:szCs w:val="24"/>
          <w:lang w:val="en-GB"/>
        </w:rPr>
        <w:t xml:space="preserve">Score: (1) not at all; (2) to a limited extent; (3) to some extent; (4) to a high extent; or (5) to the fullest extent. </w:t>
      </w:r>
    </w:p>
    <w:p>
      <w:pPr>
        <w:spacing w:after="0"/>
        <w:rPr>
          <w:rFonts w:cs="Times New Roman"/>
          <w:i/>
          <w:noProof/>
          <w:sz w:val="20"/>
          <w:szCs w:val="24"/>
          <w:lang w:val="en-GB"/>
        </w:rPr>
      </w:pPr>
      <w:r>
        <w:rPr>
          <w:rFonts w:cs="Times New Roman"/>
          <w:i/>
          <w:noProof/>
          <w:sz w:val="20"/>
          <w:szCs w:val="24"/>
          <w:lang w:val="en-GB"/>
        </w:rPr>
        <w:t xml:space="preserve">Note: Averages do not account for respondents answering ‘don’t know/no opinion’ (DK/NO). </w:t>
      </w:r>
    </w:p>
    <w:p>
      <w:pPr>
        <w:spacing w:after="240"/>
        <w:jc w:val="both"/>
        <w:rPr>
          <w:rFonts w:cs="Times New Roman"/>
          <w:i/>
          <w:noProof/>
          <w:sz w:val="20"/>
          <w:szCs w:val="24"/>
          <w:highlight w:val="yellow"/>
          <w:lang w:val="en-GB"/>
        </w:rPr>
      </w:pPr>
      <w:r>
        <w:rPr>
          <w:rFonts w:cs="Times New Roman"/>
          <w:i/>
          <w:noProof/>
          <w:sz w:val="20"/>
          <w:szCs w:val="20"/>
          <w:lang w:val="en-GB"/>
        </w:rPr>
        <w:t xml:space="preserve">Source: </w:t>
      </w:r>
      <w:hyperlink r:id="rId147" w:history="1">
        <w:r>
          <w:rPr>
            <w:rStyle w:val="Hyperlink"/>
            <w:rFonts w:cs="Times New Roman"/>
            <w:i/>
            <w:noProof/>
            <w:sz w:val="20"/>
            <w:lang w:val="en-GB"/>
          </w:rPr>
          <w:t>CEPS final study</w:t>
        </w:r>
      </w:hyperlink>
    </w:p>
    <w:p>
      <w:pPr>
        <w:jc w:val="both"/>
        <w:rPr>
          <w:rFonts w:cs="Times New Roman"/>
          <w:noProof/>
          <w:szCs w:val="24"/>
          <w:lang w:val="en-GB"/>
        </w:rPr>
      </w:pPr>
      <w:r>
        <w:rPr>
          <w:rFonts w:cs="Times New Roman"/>
          <w:noProof/>
          <w:szCs w:val="24"/>
          <w:lang w:val="en-GB"/>
        </w:rPr>
        <w:t>One slight exception is solution users who reported a relatively more limited knowledge of the entire programme compared to the other stakeholder groups consulted. Even so, most respondents are familiar with at least 5 packages of the 9 ISA</w:t>
      </w:r>
      <w:r>
        <w:rPr>
          <w:rFonts w:cs="Times New Roman"/>
          <w:noProof/>
          <w:szCs w:val="24"/>
          <w:vertAlign w:val="superscript"/>
          <w:lang w:val="en-GB"/>
        </w:rPr>
        <w:t>2</w:t>
      </w:r>
      <w:r>
        <w:rPr>
          <w:rFonts w:cs="Times New Roman"/>
          <w:noProof/>
          <w:szCs w:val="24"/>
          <w:lang w:val="en-GB"/>
        </w:rPr>
        <w:t xml:space="preserve"> packages of actions (</w:t>
      </w:r>
      <w:r>
        <w:rPr>
          <w:rFonts w:cs="Times New Roman"/>
          <w:noProof/>
          <w:szCs w:val="24"/>
        </w:rPr>
        <w:fldChar w:fldCharType="begin"/>
      </w:r>
      <w:r>
        <w:rPr>
          <w:rFonts w:cs="Times New Roman"/>
          <w:noProof/>
          <w:szCs w:val="24"/>
          <w:lang w:val="en-GB"/>
        </w:rPr>
        <w:instrText xml:space="preserve"> REF _Ref9325258 \h  \* MERGEFORMAT </w:instrText>
      </w:r>
      <w:r>
        <w:rPr>
          <w:rFonts w:cs="Times New Roman"/>
          <w:noProof/>
          <w:szCs w:val="24"/>
        </w:rPr>
      </w:r>
      <w:r>
        <w:rPr>
          <w:rFonts w:cs="Times New Roman"/>
          <w:noProof/>
          <w:szCs w:val="24"/>
        </w:rPr>
        <w:fldChar w:fldCharType="separate"/>
      </w:r>
      <w:r>
        <w:rPr>
          <w:rFonts w:cs="Times New Roman"/>
          <w:noProof/>
          <w:lang w:val="en-GB"/>
        </w:rPr>
        <w:t>Figure 32</w:t>
      </w:r>
      <w:r>
        <w:rPr>
          <w:rFonts w:cs="Times New Roman"/>
          <w:noProof/>
          <w:szCs w:val="24"/>
        </w:rPr>
        <w:fldChar w:fldCharType="end"/>
      </w:r>
      <w:r>
        <w:rPr>
          <w:rFonts w:cs="Times New Roman"/>
          <w:noProof/>
          <w:szCs w:val="24"/>
          <w:lang w:val="en-GB"/>
        </w:rPr>
        <w:t>).</w:t>
      </w:r>
    </w:p>
    <w:p>
      <w:pPr>
        <w:pStyle w:val="caption2"/>
        <w:rPr>
          <w:rFonts w:cs="Times New Roman"/>
          <w:noProof/>
        </w:rPr>
      </w:pPr>
      <w:r>
        <w:rPr>
          <w:rFonts w:cs="Times New Roman"/>
          <w:noProof/>
        </w:rPr>
        <w:t xml:space="preserve">Figure </w:t>
      </w:r>
      <w:r>
        <w:rPr>
          <w:rFonts w:cs="Times New Roman"/>
          <w:noProof/>
        </w:rPr>
        <w:fldChar w:fldCharType="begin"/>
      </w:r>
      <w:r>
        <w:rPr>
          <w:rFonts w:cs="Times New Roman"/>
          <w:noProof/>
        </w:rPr>
        <w:instrText xml:space="preserve"> SEQ Figure \* ARABIC </w:instrText>
      </w:r>
      <w:r>
        <w:rPr>
          <w:rFonts w:cs="Times New Roman"/>
          <w:noProof/>
        </w:rPr>
        <w:fldChar w:fldCharType="separate"/>
      </w:r>
      <w:r>
        <w:rPr>
          <w:rFonts w:cs="Times New Roman"/>
          <w:noProof/>
        </w:rPr>
        <w:t>32</w:t>
      </w:r>
      <w:r>
        <w:rPr>
          <w:rFonts w:cs="Times New Roman"/>
          <w:noProof/>
        </w:rPr>
        <w:fldChar w:fldCharType="end"/>
      </w:r>
      <w:r>
        <w:rPr>
          <w:rFonts w:cs="Times New Roman"/>
          <w:noProof/>
        </w:rPr>
        <w:t xml:space="preserve"> Knowledge of ISA</w:t>
      </w:r>
      <w:r>
        <w:rPr>
          <w:rFonts w:cs="Times New Roman"/>
          <w:noProof/>
          <w:vertAlign w:val="superscript"/>
        </w:rPr>
        <w:t>2</w:t>
      </w:r>
      <w:r>
        <w:rPr>
          <w:rFonts w:cs="Times New Roman"/>
          <w:noProof/>
        </w:rPr>
        <w:t xml:space="preserve"> action packages (number of respondents familiar with a given number of packages)</w:t>
      </w:r>
      <w:r>
        <w:rPr>
          <w:rFonts w:cs="Times New Roman"/>
          <w:noProof/>
          <w:vertAlign w:val="superscript"/>
        </w:rPr>
        <w:footnoteReference w:id="104"/>
      </w:r>
      <w:r>
        <w:rPr>
          <w:rFonts w:cs="Times New Roman"/>
          <w:noProof/>
        </w:rPr>
        <w:t xml:space="preserve"> </w:t>
      </w:r>
    </w:p>
    <w:p>
      <w:pPr>
        <w:pStyle w:val="VISUAL"/>
        <w:rPr>
          <w:rFonts w:cs="Times New Roman"/>
          <w:noProof/>
        </w:rPr>
      </w:pPr>
      <w:r>
        <w:rPr>
          <w:rFonts w:cs="Times New Roman"/>
          <w:noProof/>
          <w:lang w:eastAsia="en-GB"/>
        </w:rPr>
        <w:drawing>
          <wp:inline distT="0" distB="0" distL="0" distR="0">
            <wp:extent cx="5167630" cy="2992755"/>
            <wp:effectExtent l="0" t="0" r="0" b="0"/>
            <wp:docPr id="21" name="Chart 2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spacing w:after="240"/>
        <w:jc w:val="both"/>
        <w:rPr>
          <w:rFonts w:cs="Times New Roman"/>
          <w:i/>
          <w:noProof/>
          <w:sz w:val="20"/>
          <w:szCs w:val="24"/>
          <w:highlight w:val="yellow"/>
          <w:lang w:val="en-GB"/>
        </w:rPr>
      </w:pPr>
      <w:r>
        <w:rPr>
          <w:rFonts w:cs="Times New Roman"/>
          <w:i/>
          <w:noProof/>
          <w:sz w:val="20"/>
          <w:szCs w:val="20"/>
          <w:lang w:val="en-GB"/>
        </w:rPr>
        <w:t xml:space="preserve">Source: </w:t>
      </w:r>
      <w:hyperlink r:id="rId149" w:history="1">
        <w:r>
          <w:rPr>
            <w:rStyle w:val="Hyperlink"/>
            <w:rFonts w:cs="Times New Roman"/>
            <w:i/>
            <w:noProof/>
            <w:sz w:val="20"/>
            <w:lang w:val="en-GB"/>
          </w:rPr>
          <w:t>CEPS final study</w:t>
        </w:r>
      </w:hyperlink>
    </w:p>
    <w:p>
      <w:pPr>
        <w:jc w:val="both"/>
        <w:rPr>
          <w:rFonts w:cs="Times New Roman"/>
          <w:noProof/>
          <w:szCs w:val="24"/>
          <w:lang w:val="en-GB"/>
        </w:rPr>
      </w:pPr>
      <w:r>
        <w:rPr>
          <w:rFonts w:cs="Times New Roman"/>
          <w:noProof/>
          <w:szCs w:val="24"/>
          <w:lang w:val="en-GB"/>
        </w:rPr>
        <w:t>Regarding geographical distribution, solution users from various Member States provided input in the in-depth interviews and the online surveys:</w:t>
      </w:r>
    </w:p>
    <w:p>
      <w:pPr>
        <w:pStyle w:val="Firstlevellist"/>
        <w:rPr>
          <w:noProof/>
        </w:rPr>
      </w:pPr>
      <w:r>
        <w:rPr>
          <w:noProof/>
        </w:rPr>
        <w:t>At EU level, solution users who participated in the consultations work in EU institutions located in a number of EU countries: Belgium, Czechia, France, Hungary, Italy, Luxembourg, Poland, Portugal, and Sweden;</w:t>
      </w:r>
    </w:p>
    <w:p>
      <w:pPr>
        <w:pStyle w:val="FirstlevellistLAST"/>
        <w:rPr>
          <w:noProof/>
        </w:rPr>
      </w:pPr>
      <w:r>
        <w:rPr>
          <w:noProof/>
        </w:rPr>
        <w:t>At national and regional levels, solution users (including respondents who answered as individuals) who provided feedback come from the following 13 countries: Belgium, Bulgaria, Croatia, Czechia, France, Germany, Greece, Hungary, Italy, Luxembourg, the Netherlands, Portugal, and Sweden.</w:t>
      </w:r>
    </w:p>
    <w:p>
      <w:pPr>
        <w:jc w:val="both"/>
        <w:rPr>
          <w:rFonts w:cs="Times New Roman"/>
          <w:noProof/>
          <w:szCs w:val="24"/>
          <w:lang w:val="en-GB"/>
        </w:rPr>
      </w:pPr>
      <w:r>
        <w:rPr>
          <w:rFonts w:cs="Times New Roman"/>
          <w:noProof/>
          <w:szCs w:val="24"/>
          <w:lang w:val="en-GB"/>
        </w:rPr>
        <w:t xml:space="preserve">Feedback on the public consultation was provided by individuals in </w:t>
      </w:r>
      <w:r>
        <w:rPr>
          <w:rFonts w:cs="Times New Roman"/>
          <w:b/>
          <w:noProof/>
          <w:szCs w:val="24"/>
          <w:lang w:val="en-GB"/>
        </w:rPr>
        <w:t xml:space="preserve">six Member States </w:t>
      </w:r>
      <w:r>
        <w:rPr>
          <w:rFonts w:cs="Times New Roman"/>
          <w:noProof/>
          <w:szCs w:val="24"/>
          <w:lang w:val="en-GB"/>
        </w:rPr>
        <w:t xml:space="preserve">(Belgium, France, Germany, Greece, Spain, and the United Kingdom) and by public administrations from </w:t>
      </w:r>
      <w:r>
        <w:rPr>
          <w:rFonts w:cs="Times New Roman"/>
          <w:b/>
          <w:noProof/>
          <w:szCs w:val="24"/>
          <w:lang w:val="en-GB"/>
        </w:rPr>
        <w:t>three Member States</w:t>
      </w:r>
      <w:r>
        <w:rPr>
          <w:rFonts w:cs="Times New Roman"/>
          <w:noProof/>
          <w:szCs w:val="24"/>
          <w:lang w:val="en-GB"/>
        </w:rPr>
        <w:t xml:space="preserve"> (Czechia, Greece, and Spain).</w:t>
      </w:r>
    </w:p>
    <w:p>
      <w:pPr>
        <w:rPr>
          <w:rFonts w:cs="Times New Roman"/>
          <w:b/>
          <w:bCs/>
          <w:noProof/>
          <w:szCs w:val="24"/>
          <w:u w:val="single"/>
          <w:lang w:val="en-GB"/>
        </w:rPr>
      </w:pPr>
      <w:r>
        <w:rPr>
          <w:rFonts w:cs="Times New Roman"/>
          <w:b/>
          <w:bCs/>
          <w:noProof/>
          <w:szCs w:val="24"/>
          <w:u w:val="single"/>
          <w:lang w:val="en-GB"/>
        </w:rPr>
        <w:br w:type="page"/>
      </w:r>
    </w:p>
    <w:p>
      <w:pPr>
        <w:jc w:val="both"/>
        <w:rPr>
          <w:rFonts w:cs="Times New Roman"/>
          <w:b/>
          <w:bCs/>
          <w:noProof/>
          <w:szCs w:val="24"/>
          <w:u w:val="single"/>
          <w:lang w:val="en-GB"/>
        </w:rPr>
      </w:pPr>
      <w:r>
        <w:rPr>
          <w:rFonts w:cs="Times New Roman"/>
          <w:b/>
          <w:bCs/>
          <w:noProof/>
          <w:szCs w:val="24"/>
          <w:u w:val="single"/>
          <w:lang w:val="en-GB"/>
        </w:rPr>
        <w:t>Results</w:t>
      </w:r>
    </w:p>
    <w:p>
      <w:pPr>
        <w:jc w:val="both"/>
        <w:rPr>
          <w:rFonts w:cs="Times New Roman"/>
          <w:noProof/>
          <w:szCs w:val="24"/>
          <w:lang w:val="en-GB"/>
        </w:rPr>
      </w:pPr>
      <w:r>
        <w:rPr>
          <w:rFonts w:cs="Times New Roman"/>
          <w:noProof/>
          <w:szCs w:val="24"/>
          <w:lang w:val="en-GB"/>
        </w:rPr>
        <w:t xml:space="preserve">The consultation activities revealed a </w:t>
      </w:r>
      <w:r>
        <w:rPr>
          <w:rFonts w:cs="Times New Roman"/>
          <w:b/>
          <w:noProof/>
          <w:szCs w:val="24"/>
          <w:lang w:val="en-GB"/>
        </w:rPr>
        <w:t>general consensus among the different stakeholder groups</w:t>
      </w:r>
      <w:r>
        <w:rPr>
          <w:rFonts w:cs="Times New Roman"/>
          <w:noProof/>
          <w:szCs w:val="24"/>
          <w:lang w:val="en-GB"/>
        </w:rPr>
        <w:t xml:space="preserve"> consulted and confirmed that</w:t>
      </w:r>
      <w:r>
        <w:rPr>
          <w:rFonts w:cs="Times New Roman"/>
          <w:bCs/>
          <w:noProof/>
          <w:szCs w:val="24"/>
          <w:lang w:val="en-GB"/>
        </w:rPr>
        <w:t xml:space="preserve"> </w:t>
      </w:r>
      <w:r>
        <w:rPr>
          <w:rFonts w:cs="Times New Roman"/>
          <w:b/>
          <w:bCs/>
          <w:noProof/>
          <w:szCs w:val="24"/>
          <w:lang w:val="en-GB"/>
        </w:rPr>
        <w:t>ISA</w:t>
      </w:r>
      <w:r>
        <w:rPr>
          <w:rFonts w:cs="Times New Roman"/>
          <w:b/>
          <w:bCs/>
          <w:noProof/>
          <w:szCs w:val="24"/>
          <w:vertAlign w:val="superscript"/>
          <w:lang w:val="en-GB"/>
        </w:rPr>
        <w:t>2</w:t>
      </w:r>
      <w:r>
        <w:rPr>
          <w:rFonts w:cs="Times New Roman"/>
          <w:b/>
          <w:bCs/>
          <w:noProof/>
          <w:szCs w:val="24"/>
          <w:lang w:val="en-GB"/>
        </w:rPr>
        <w:t xml:space="preserve"> performs well in all the seven evaluation criteria under investigation</w:t>
      </w:r>
      <w:r>
        <w:rPr>
          <w:rFonts w:cs="Times New Roman"/>
          <w:noProof/>
          <w:szCs w:val="24"/>
          <w:lang w:val="en-GB"/>
        </w:rPr>
        <w:t xml:space="preserve">. The feedback from the consultation activities is summarised as follows: </w:t>
      </w:r>
    </w:p>
    <w:p>
      <w:pPr>
        <w:jc w:val="both"/>
        <w:rPr>
          <w:rFonts w:cs="Times New Roman"/>
          <w:i/>
          <w:iCs/>
          <w:noProof/>
          <w:szCs w:val="24"/>
          <w:lang w:val="en-GB"/>
        </w:rPr>
      </w:pPr>
      <w:r>
        <w:rPr>
          <w:rFonts w:cs="Times New Roman"/>
          <w:b/>
          <w:iCs/>
          <w:noProof/>
          <w:szCs w:val="24"/>
          <w:lang w:val="en-GB"/>
        </w:rPr>
        <w:t>Relevance</w:t>
      </w:r>
    </w:p>
    <w:p>
      <w:pPr>
        <w:jc w:val="both"/>
        <w:rPr>
          <w:rFonts w:cs="Times New Roman"/>
          <w:noProof/>
          <w:szCs w:val="24"/>
          <w:lang w:val="en-GB"/>
        </w:rPr>
      </w:pPr>
      <w:r>
        <w:rPr>
          <w:rFonts w:cs="Times New Roman"/>
          <w:noProof/>
          <w:szCs w:val="24"/>
          <w:lang w:val="en-GB"/>
        </w:rPr>
        <w:t xml:space="preserve">The respondents to the consultation activities emphasised that </w:t>
      </w:r>
      <w:r>
        <w:rPr>
          <w:rFonts w:cs="Times New Roman"/>
          <w:b/>
          <w:noProof/>
          <w:szCs w:val="24"/>
          <w:lang w:val="en-GB"/>
        </w:rPr>
        <w:t>ISA</w:t>
      </w:r>
      <w:r>
        <w:rPr>
          <w:rFonts w:cs="Times New Roman"/>
          <w:b/>
          <w:noProof/>
          <w:szCs w:val="24"/>
          <w:vertAlign w:val="superscript"/>
          <w:lang w:val="en-GB"/>
        </w:rPr>
        <w:t>2</w:t>
      </w:r>
      <w:r>
        <w:rPr>
          <w:rFonts w:cs="Times New Roman"/>
          <w:b/>
          <w:noProof/>
          <w:szCs w:val="24"/>
          <w:lang w:val="en-GB"/>
        </w:rPr>
        <w:t xml:space="preserve"> is fully relevant with respect to the evolving needs and problems in the field of interoperability</w:t>
      </w:r>
      <w:r>
        <w:rPr>
          <w:rFonts w:cs="Times New Roman"/>
          <w:noProof/>
          <w:szCs w:val="24"/>
          <w:lang w:val="en-GB"/>
        </w:rPr>
        <w:t>.</w:t>
      </w:r>
    </w:p>
    <w:p>
      <w:pPr>
        <w:jc w:val="both"/>
        <w:rPr>
          <w:rFonts w:cs="Times New Roman"/>
          <w:noProof/>
          <w:szCs w:val="24"/>
          <w:lang w:val="en-GB"/>
        </w:rPr>
      </w:pPr>
      <w:r>
        <w:rPr>
          <w:rFonts w:cs="Times New Roman"/>
          <w:noProof/>
          <w:szCs w:val="24"/>
          <w:lang w:val="en-GB"/>
        </w:rPr>
        <w:t xml:space="preserve">The majority of respondents indicate that: i) the </w:t>
      </w:r>
      <w:r>
        <w:rPr>
          <w:rFonts w:cs="Times New Roman"/>
          <w:b/>
          <w:noProof/>
          <w:szCs w:val="24"/>
          <w:lang w:val="en-GB"/>
        </w:rPr>
        <w:t>needs and problems originally addressed by the programme</w:t>
      </w:r>
      <w:r>
        <w:rPr>
          <w:rFonts w:cs="Times New Roman"/>
          <w:noProof/>
          <w:szCs w:val="24"/>
          <w:lang w:val="en-GB"/>
        </w:rPr>
        <w:t xml:space="preserve"> are still experienced by European public administrations, businesses and/or the wider public; and ii) by achieving its general objective, ISA</w:t>
      </w:r>
      <w:r>
        <w:rPr>
          <w:rFonts w:cs="Times New Roman"/>
          <w:noProof/>
          <w:szCs w:val="24"/>
          <w:vertAlign w:val="superscript"/>
          <w:lang w:val="en-GB"/>
        </w:rPr>
        <w:t>2</w:t>
      </w:r>
      <w:r>
        <w:rPr>
          <w:rFonts w:cs="Times New Roman"/>
          <w:noProof/>
          <w:szCs w:val="24"/>
          <w:lang w:val="en-GB"/>
        </w:rPr>
        <w:t xml:space="preserve"> can address the</w:t>
      </w:r>
      <w:r>
        <w:rPr>
          <w:rFonts w:cs="Times New Roman"/>
          <w:b/>
          <w:noProof/>
          <w:szCs w:val="24"/>
          <w:lang w:val="en-GB"/>
        </w:rPr>
        <w:t xml:space="preserve"> </w:t>
      </w:r>
      <w:r>
        <w:rPr>
          <w:rFonts w:cs="Times New Roman"/>
          <w:noProof/>
          <w:szCs w:val="24"/>
          <w:lang w:val="en-GB"/>
        </w:rPr>
        <w:t>needs and problems identified when the programme was established.</w:t>
      </w:r>
    </w:p>
    <w:p>
      <w:pPr>
        <w:jc w:val="both"/>
        <w:rPr>
          <w:rFonts w:cs="Times New Roman"/>
          <w:noProof/>
          <w:szCs w:val="24"/>
          <w:lang w:val="en-GB"/>
        </w:rPr>
      </w:pPr>
      <w:r>
        <w:rPr>
          <w:rFonts w:cs="Times New Roman"/>
          <w:bCs/>
          <w:noProof/>
          <w:szCs w:val="24"/>
          <w:lang w:val="en-GB"/>
        </w:rPr>
        <w:t xml:space="preserve">Respondents pointed out that there are </w:t>
      </w:r>
      <w:r>
        <w:rPr>
          <w:rFonts w:cs="Times New Roman"/>
          <w:b/>
          <w:bCs/>
          <w:noProof/>
          <w:szCs w:val="24"/>
          <w:lang w:val="en-GB"/>
        </w:rPr>
        <w:t xml:space="preserve">other needs and problems currently experienced </w:t>
      </w:r>
      <w:r>
        <w:rPr>
          <w:rFonts w:cs="Times New Roman"/>
          <w:noProof/>
          <w:szCs w:val="24"/>
          <w:lang w:val="en-GB"/>
        </w:rPr>
        <w:t xml:space="preserve">by stakeholders </w:t>
      </w:r>
      <w:r>
        <w:rPr>
          <w:rFonts w:cs="Times New Roman"/>
          <w:bCs/>
          <w:noProof/>
          <w:szCs w:val="24"/>
          <w:lang w:val="en-GB"/>
        </w:rPr>
        <w:t>in the field, namely</w:t>
      </w:r>
      <w:r>
        <w:rPr>
          <w:rFonts w:cs="Times New Roman"/>
          <w:noProof/>
          <w:szCs w:val="24"/>
          <w:lang w:val="en-GB"/>
        </w:rPr>
        <w:t>:</w:t>
      </w:r>
    </w:p>
    <w:p>
      <w:pPr>
        <w:pStyle w:val="Firstlevellist"/>
        <w:rPr>
          <w:noProof/>
        </w:rPr>
      </w:pPr>
      <w:r>
        <w:rPr>
          <w:noProof/>
        </w:rPr>
        <w:t>the need for a more binding legal framework for interoperability and a more prescriptive approach to designing interoperable public services;</w:t>
      </w:r>
    </w:p>
    <w:p>
      <w:pPr>
        <w:pStyle w:val="Firstlevellist"/>
        <w:rPr>
          <w:noProof/>
        </w:rPr>
      </w:pPr>
      <w:r>
        <w:rPr>
          <w:noProof/>
        </w:rPr>
        <w:t>the need to improve the way administrations communicate with one another;</w:t>
      </w:r>
    </w:p>
    <w:p>
      <w:pPr>
        <w:pStyle w:val="Firstlevellist"/>
        <w:rPr>
          <w:noProof/>
        </w:rPr>
      </w:pPr>
      <w:r>
        <w:rPr>
          <w:noProof/>
        </w:rPr>
        <w:t>the need to share best practices;</w:t>
      </w:r>
    </w:p>
    <w:p>
      <w:pPr>
        <w:pStyle w:val="Firstlevellist"/>
        <w:rPr>
          <w:noProof/>
        </w:rPr>
      </w:pPr>
      <w:r>
        <w:rPr>
          <w:noProof/>
        </w:rPr>
        <w:t>the resource constraints experienced by national and local public administrations;</w:t>
      </w:r>
    </w:p>
    <w:p>
      <w:pPr>
        <w:pStyle w:val="Firstlevellist"/>
        <w:rPr>
          <w:noProof/>
        </w:rPr>
      </w:pPr>
      <w:r>
        <w:rPr>
          <w:noProof/>
        </w:rPr>
        <w:t>the different political priorities of Member States that prevent a consistent approach to interoperability in the EU; and</w:t>
      </w:r>
    </w:p>
    <w:p>
      <w:pPr>
        <w:pStyle w:val="FirstlevellistLAST"/>
        <w:rPr>
          <w:noProof/>
        </w:rPr>
      </w:pPr>
      <w:r>
        <w:rPr>
          <w:noProof/>
        </w:rPr>
        <w:t>the limited awareness of ISA</w:t>
      </w:r>
      <w:r>
        <w:rPr>
          <w:noProof/>
          <w:vertAlign w:val="superscript"/>
        </w:rPr>
        <w:t>2</w:t>
      </w:r>
      <w:r>
        <w:rPr>
          <w:noProof/>
        </w:rPr>
        <w:t xml:space="preserve"> and other interoperability-related initiatives, especially at regional and local level.</w:t>
      </w:r>
    </w:p>
    <w:p>
      <w:pPr>
        <w:jc w:val="both"/>
        <w:rPr>
          <w:rFonts w:cs="Times New Roman"/>
          <w:noProof/>
          <w:szCs w:val="24"/>
          <w:lang w:val="en-GB"/>
        </w:rPr>
      </w:pPr>
      <w:r>
        <w:rPr>
          <w:rFonts w:cs="Times New Roman"/>
          <w:noProof/>
          <w:szCs w:val="24"/>
          <w:lang w:val="en-GB"/>
        </w:rPr>
        <w:t xml:space="preserve">In general, respondents to the consultation activities believe that the programme, through its general objective, the programme could </w:t>
      </w:r>
      <w:r>
        <w:rPr>
          <w:rFonts w:cs="Times New Roman"/>
          <w:b/>
          <w:noProof/>
          <w:szCs w:val="24"/>
          <w:lang w:val="en-GB"/>
        </w:rPr>
        <w:t>address these new needs and problems to some extent</w:t>
      </w:r>
      <w:r>
        <w:rPr>
          <w:rFonts w:cs="Times New Roman"/>
          <w:noProof/>
          <w:szCs w:val="24"/>
          <w:lang w:val="en-GB"/>
        </w:rPr>
        <w:t xml:space="preserve">, as </w:t>
      </w:r>
      <w:r>
        <w:rPr>
          <w:rFonts w:cs="Times New Roman"/>
          <w:bCs/>
          <w:noProof/>
          <w:szCs w:val="24"/>
          <w:lang w:val="en-GB"/>
        </w:rPr>
        <w:t>some of the issues mentioned fall outside the scope of the programme.</w:t>
      </w:r>
    </w:p>
    <w:p>
      <w:pPr>
        <w:jc w:val="both"/>
        <w:rPr>
          <w:rFonts w:cs="Times New Roman"/>
          <w:b/>
          <w:noProof/>
          <w:szCs w:val="24"/>
          <w:lang w:val="en-GB"/>
        </w:rPr>
      </w:pPr>
      <w:r>
        <w:rPr>
          <w:rFonts w:cs="Times New Roman"/>
          <w:b/>
          <w:noProof/>
          <w:szCs w:val="24"/>
          <w:lang w:val="en-GB"/>
        </w:rPr>
        <w:t>Effectiveness</w:t>
      </w:r>
    </w:p>
    <w:p>
      <w:pPr>
        <w:jc w:val="both"/>
        <w:rPr>
          <w:rFonts w:cs="Times New Roman"/>
          <w:noProof/>
          <w:szCs w:val="24"/>
          <w:lang w:val="en-GB"/>
        </w:rPr>
      </w:pPr>
      <w:r>
        <w:rPr>
          <w:rFonts w:cs="Times New Roman"/>
          <w:b/>
          <w:noProof/>
          <w:szCs w:val="24"/>
          <w:lang w:val="en-GB"/>
        </w:rPr>
        <w:t>The results achieved so far by ISA</w:t>
      </w:r>
      <w:r>
        <w:rPr>
          <w:rFonts w:cs="Times New Roman"/>
          <w:b/>
          <w:noProof/>
          <w:szCs w:val="24"/>
          <w:vertAlign w:val="superscript"/>
          <w:lang w:val="en-GB"/>
        </w:rPr>
        <w:t xml:space="preserve">2 </w:t>
      </w:r>
      <w:r>
        <w:rPr>
          <w:rFonts w:cs="Times New Roman"/>
          <w:b/>
          <w:noProof/>
          <w:szCs w:val="24"/>
          <w:lang w:val="en-GB"/>
        </w:rPr>
        <w:t>are aligned with the programme’s objectives</w:t>
      </w:r>
      <w:r>
        <w:rPr>
          <w:rFonts w:cs="Times New Roman"/>
          <w:noProof/>
          <w:szCs w:val="24"/>
          <w:lang w:val="en-GB"/>
        </w:rPr>
        <w:t xml:space="preserve"> according to the consulted stakeholders, in particular when it comes to:</w:t>
      </w:r>
    </w:p>
    <w:p>
      <w:pPr>
        <w:pStyle w:val="Firstlevellist"/>
        <w:rPr>
          <w:noProof/>
        </w:rPr>
      </w:pPr>
      <w:r>
        <w:rPr>
          <w:noProof/>
        </w:rPr>
        <w:t>developing, maintaining and promoting a holistic approach to interoperability in the EU; and</w:t>
      </w:r>
    </w:p>
    <w:p>
      <w:pPr>
        <w:pStyle w:val="FirstlevellistLAST"/>
        <w:rPr>
          <w:noProof/>
        </w:rPr>
      </w:pPr>
      <w:r>
        <w:rPr>
          <w:noProof/>
        </w:rPr>
        <w:t>facilitating the reuse of interoperability solutions by European public administrations.</w:t>
      </w:r>
    </w:p>
    <w:p>
      <w:pPr>
        <w:jc w:val="both"/>
        <w:rPr>
          <w:rFonts w:cs="Times New Roman"/>
          <w:noProof/>
          <w:szCs w:val="24"/>
          <w:lang w:val="en-GB"/>
        </w:rPr>
      </w:pPr>
      <w:r>
        <w:rPr>
          <w:rFonts w:cs="Times New Roman"/>
          <w:noProof/>
          <w:szCs w:val="24"/>
          <w:lang w:val="en-GB"/>
        </w:rPr>
        <w:t>However, the results to date still fall short of the expected results, as most of the actions are ongoing and solutions are still being developed. For instance, respondents emphasised that relatively more could be done to achieve the expected result of improved efficiency and productivity of the European public administrations.</w:t>
      </w:r>
    </w:p>
    <w:p>
      <w:pPr>
        <w:jc w:val="both"/>
        <w:rPr>
          <w:rFonts w:cs="Times New Roman"/>
          <w:noProof/>
          <w:szCs w:val="24"/>
          <w:lang w:val="en-GB"/>
        </w:rPr>
      </w:pPr>
      <w:r>
        <w:rPr>
          <w:rFonts w:cs="Times New Roman"/>
          <w:b/>
          <w:noProof/>
          <w:szCs w:val="24"/>
          <w:lang w:val="en-GB"/>
        </w:rPr>
        <w:t>External factors</w:t>
      </w:r>
      <w:r>
        <w:rPr>
          <w:rFonts w:cs="Times New Roman"/>
          <w:noProof/>
          <w:szCs w:val="24"/>
          <w:lang w:val="en-GB"/>
        </w:rPr>
        <w:t xml:space="preserve"> could improve but also jeopardise the way in which the programme achieves its objectives and delivers its results. The vast majority of respondents confirmed that the </w:t>
      </w:r>
      <w:r>
        <w:rPr>
          <w:rFonts w:cs="Times New Roman"/>
          <w:b/>
          <w:noProof/>
          <w:szCs w:val="24"/>
          <w:lang w:val="en-GB"/>
        </w:rPr>
        <w:t xml:space="preserve">calls for common standards and frameworks from public administrations </w:t>
      </w:r>
      <w:r>
        <w:rPr>
          <w:rFonts w:cs="Times New Roman"/>
          <w:noProof/>
          <w:szCs w:val="24"/>
          <w:lang w:val="en-GB"/>
        </w:rPr>
        <w:t xml:space="preserve">are important external factors contributing to the performance of the programme. In contrast, </w:t>
      </w:r>
      <w:r>
        <w:rPr>
          <w:rFonts w:cs="Times New Roman"/>
          <w:b/>
          <w:noProof/>
          <w:szCs w:val="24"/>
          <w:lang w:val="en-GB"/>
        </w:rPr>
        <w:t>institutional complexity</w:t>
      </w:r>
      <w:r>
        <w:rPr>
          <w:rFonts w:cs="Times New Roman"/>
          <w:noProof/>
          <w:szCs w:val="24"/>
          <w:lang w:val="en-GB"/>
        </w:rPr>
        <w:t xml:space="preserve"> in the form of multiple layers of governance and differences between national public administrations from various Member States and local public administrations within Member States could lead to coordination issues that hamper cross-border and cross-sectoral interoperability.</w:t>
      </w:r>
    </w:p>
    <w:p>
      <w:pPr>
        <w:jc w:val="both"/>
        <w:rPr>
          <w:rFonts w:cs="Times New Roman"/>
          <w:noProof/>
          <w:szCs w:val="24"/>
          <w:lang w:val="en-GB"/>
        </w:rPr>
      </w:pPr>
      <w:r>
        <w:rPr>
          <w:rFonts w:cs="Times New Roman"/>
          <w:b/>
          <w:noProof/>
          <w:szCs w:val="24"/>
          <w:lang w:val="en-GB"/>
        </w:rPr>
        <w:t>Efficiency</w:t>
      </w:r>
    </w:p>
    <w:p>
      <w:pPr>
        <w:jc w:val="both"/>
        <w:rPr>
          <w:rFonts w:cs="Times New Roman"/>
          <w:noProof/>
          <w:szCs w:val="24"/>
          <w:lang w:val="en-GB"/>
        </w:rPr>
      </w:pPr>
      <w:r>
        <w:rPr>
          <w:rFonts w:cs="Times New Roman"/>
          <w:noProof/>
          <w:szCs w:val="24"/>
          <w:lang w:val="en-GB"/>
        </w:rPr>
        <w:t>Respondents from the programme governance and action owners gave feedback on the efficiency of the process for selecting actions funded by ISA</w:t>
      </w:r>
      <w:r>
        <w:rPr>
          <w:rFonts w:cs="Times New Roman"/>
          <w:noProof/>
          <w:szCs w:val="24"/>
          <w:vertAlign w:val="superscript"/>
          <w:lang w:val="en-GB"/>
        </w:rPr>
        <w:t>2</w:t>
      </w:r>
      <w:r>
        <w:rPr>
          <w:rFonts w:cs="Times New Roman"/>
          <w:noProof/>
          <w:szCs w:val="24"/>
          <w:lang w:val="en-GB"/>
        </w:rPr>
        <w:t xml:space="preserve">. </w:t>
      </w:r>
      <w:r>
        <w:rPr>
          <w:rFonts w:cs="Times New Roman"/>
          <w:bCs/>
          <w:noProof/>
          <w:szCs w:val="24"/>
          <w:lang w:val="en-GB"/>
        </w:rPr>
        <w:t xml:space="preserve">The process is considered </w:t>
      </w:r>
      <w:r>
        <w:rPr>
          <w:rFonts w:cs="Times New Roman"/>
          <w:b/>
          <w:bCs/>
          <w:noProof/>
          <w:szCs w:val="24"/>
          <w:lang w:val="en-GB"/>
        </w:rPr>
        <w:t>relatively efficient</w:t>
      </w:r>
      <w:r>
        <w:rPr>
          <w:rFonts w:cs="Times New Roman"/>
          <w:bCs/>
          <w:noProof/>
          <w:szCs w:val="24"/>
          <w:lang w:val="en-GB"/>
        </w:rPr>
        <w:t xml:space="preserve"> and </w:t>
      </w:r>
      <w:r>
        <w:rPr>
          <w:rFonts w:cs="Times New Roman"/>
          <w:b/>
          <w:bCs/>
          <w:noProof/>
          <w:szCs w:val="24"/>
          <w:lang w:val="en-GB"/>
        </w:rPr>
        <w:t>fit-for-purpose</w:t>
      </w:r>
      <w:r>
        <w:rPr>
          <w:rFonts w:cs="Times New Roman"/>
          <w:bCs/>
          <w:noProof/>
          <w:szCs w:val="24"/>
          <w:lang w:val="en-GB"/>
        </w:rPr>
        <w:t xml:space="preserve"> by the respondents from these two stakeholder groups</w:t>
      </w:r>
      <w:r>
        <w:rPr>
          <w:rFonts w:cs="Times New Roman"/>
          <w:noProof/>
          <w:szCs w:val="24"/>
          <w:lang w:val="en-GB"/>
        </w:rPr>
        <w:t xml:space="preserve">. However, some measures </w:t>
      </w:r>
      <w:r>
        <w:rPr>
          <w:rFonts w:cs="Times New Roman"/>
          <w:bCs/>
          <w:noProof/>
          <w:szCs w:val="24"/>
          <w:lang w:val="en-GB"/>
        </w:rPr>
        <w:t>could be taken to further streamline the selection process, such as</w:t>
      </w:r>
      <w:r>
        <w:rPr>
          <w:rFonts w:cs="Times New Roman"/>
          <w:noProof/>
          <w:szCs w:val="24"/>
          <w:lang w:val="en-GB"/>
        </w:rPr>
        <w:t>:</w:t>
      </w:r>
    </w:p>
    <w:p>
      <w:pPr>
        <w:pStyle w:val="Firstlevellist"/>
        <w:rPr>
          <w:noProof/>
        </w:rPr>
      </w:pPr>
      <w:r>
        <w:rPr>
          <w:noProof/>
        </w:rPr>
        <w:t>simplifying the rolling work programme; and</w:t>
      </w:r>
    </w:p>
    <w:p>
      <w:pPr>
        <w:pStyle w:val="FirstlevellistLAST"/>
        <w:rPr>
          <w:noProof/>
        </w:rPr>
      </w:pPr>
      <w:r>
        <w:rPr>
          <w:noProof/>
        </w:rPr>
        <w:t>simplifying the overall process by launching thematic calls for actions.</w:t>
      </w:r>
    </w:p>
    <w:p>
      <w:pPr>
        <w:jc w:val="both"/>
        <w:rPr>
          <w:rFonts w:cs="Times New Roman"/>
          <w:noProof/>
          <w:szCs w:val="24"/>
          <w:lang w:val="en-GB"/>
        </w:rPr>
      </w:pPr>
      <w:r>
        <w:rPr>
          <w:rFonts w:cs="Times New Roman"/>
          <w:noProof/>
          <w:szCs w:val="24"/>
          <w:lang w:val="en-GB"/>
        </w:rPr>
        <w:t xml:space="preserve">Respondents from the same two groups also provided information about the amount of </w:t>
      </w:r>
      <w:r>
        <w:rPr>
          <w:rFonts w:cs="Times New Roman"/>
          <w:b/>
          <w:noProof/>
          <w:szCs w:val="24"/>
          <w:lang w:val="en-GB"/>
        </w:rPr>
        <w:t>time they spent on preparing and submitting a proposal</w:t>
      </w:r>
      <w:r>
        <w:rPr>
          <w:rFonts w:cs="Times New Roman"/>
          <w:noProof/>
          <w:szCs w:val="24"/>
          <w:lang w:val="en-GB"/>
        </w:rPr>
        <w:t xml:space="preserve"> for an action to be considered by the ISA</w:t>
      </w:r>
      <w:r>
        <w:rPr>
          <w:rFonts w:cs="Times New Roman"/>
          <w:noProof/>
          <w:szCs w:val="24"/>
          <w:vertAlign w:val="superscript"/>
          <w:lang w:val="en-GB"/>
        </w:rPr>
        <w:t>2</w:t>
      </w:r>
      <w:r>
        <w:rPr>
          <w:rFonts w:cs="Times New Roman"/>
          <w:noProof/>
          <w:szCs w:val="24"/>
          <w:lang w:val="en-GB"/>
        </w:rPr>
        <w:t xml:space="preserve"> programme. On average, six person-days are required to renew a proposal for actions already included in previous rolling work programme. In contrast, between 10 and 30 person-days are required to prepare and submit a proposal for a new action. </w:t>
      </w:r>
    </w:p>
    <w:p>
      <w:pPr>
        <w:jc w:val="both"/>
        <w:rPr>
          <w:rFonts w:cs="Times New Roman"/>
          <w:b/>
          <w:noProof/>
          <w:szCs w:val="24"/>
          <w:lang w:val="en-GB"/>
        </w:rPr>
      </w:pPr>
      <w:r>
        <w:rPr>
          <w:rFonts w:cs="Times New Roman"/>
          <w:b/>
          <w:noProof/>
          <w:szCs w:val="24"/>
          <w:lang w:val="en-GB"/>
        </w:rPr>
        <w:t>Coherence</w:t>
      </w:r>
    </w:p>
    <w:p>
      <w:pPr>
        <w:jc w:val="both"/>
        <w:rPr>
          <w:rFonts w:cs="Times New Roman"/>
          <w:noProof/>
          <w:szCs w:val="24"/>
          <w:lang w:val="en-GB"/>
        </w:rPr>
      </w:pPr>
      <w:r>
        <w:rPr>
          <w:rFonts w:cs="Times New Roman"/>
          <w:noProof/>
          <w:szCs w:val="24"/>
          <w:lang w:val="en-GB"/>
        </w:rPr>
        <w:t xml:space="preserve">The consultation activities focused on both the </w:t>
      </w:r>
      <w:r>
        <w:rPr>
          <w:rFonts w:cs="Times New Roman"/>
          <w:b/>
          <w:noProof/>
          <w:szCs w:val="24"/>
          <w:lang w:val="en-GB"/>
        </w:rPr>
        <w:t>internal coherence</w:t>
      </w:r>
      <w:r>
        <w:rPr>
          <w:rFonts w:cs="Times New Roman"/>
          <w:noProof/>
          <w:szCs w:val="24"/>
          <w:lang w:val="en-GB"/>
        </w:rPr>
        <w:t xml:space="preserve"> of the programme, i.e. the synergies or overlaps existing between the ISA</w:t>
      </w:r>
      <w:r>
        <w:rPr>
          <w:rFonts w:cs="Times New Roman"/>
          <w:noProof/>
          <w:szCs w:val="24"/>
          <w:vertAlign w:val="superscript"/>
          <w:lang w:val="en-GB"/>
        </w:rPr>
        <w:t>2</w:t>
      </w:r>
      <w:r>
        <w:rPr>
          <w:rFonts w:cs="Times New Roman"/>
          <w:noProof/>
          <w:szCs w:val="24"/>
          <w:lang w:val="en-GB"/>
        </w:rPr>
        <w:t xml:space="preserve"> actions, and its </w:t>
      </w:r>
      <w:r>
        <w:rPr>
          <w:rFonts w:cs="Times New Roman"/>
          <w:b/>
          <w:noProof/>
          <w:szCs w:val="24"/>
          <w:lang w:val="en-GB"/>
        </w:rPr>
        <w:t>external coherence</w:t>
      </w:r>
      <w:r>
        <w:rPr>
          <w:rFonts w:cs="Times New Roman"/>
          <w:noProof/>
          <w:szCs w:val="24"/>
          <w:lang w:val="en-GB"/>
        </w:rPr>
        <w:t>, namely the synergies or overlaps between ISA</w:t>
      </w:r>
      <w:r>
        <w:rPr>
          <w:rFonts w:cs="Times New Roman"/>
          <w:noProof/>
          <w:szCs w:val="24"/>
          <w:vertAlign w:val="superscript"/>
          <w:lang w:val="en-GB"/>
        </w:rPr>
        <w:t>2</w:t>
      </w:r>
      <w:r>
        <w:rPr>
          <w:rFonts w:cs="Times New Roman"/>
          <w:noProof/>
          <w:szCs w:val="24"/>
          <w:lang w:val="en-GB"/>
        </w:rPr>
        <w:t xml:space="preserve"> and other EU initiatives, policies, or programmes.</w:t>
      </w:r>
    </w:p>
    <w:p>
      <w:pPr>
        <w:jc w:val="both"/>
        <w:rPr>
          <w:rFonts w:cs="Times New Roman"/>
          <w:noProof/>
          <w:szCs w:val="24"/>
          <w:u w:val="single"/>
          <w:lang w:val="en-GB"/>
        </w:rPr>
      </w:pPr>
      <w:r>
        <w:rPr>
          <w:rFonts w:cs="Times New Roman"/>
          <w:noProof/>
          <w:szCs w:val="24"/>
          <w:u w:val="single"/>
          <w:lang w:val="en-GB"/>
        </w:rPr>
        <w:t>Internal coherence</w:t>
      </w:r>
    </w:p>
    <w:p>
      <w:pPr>
        <w:jc w:val="both"/>
        <w:rPr>
          <w:rFonts w:cs="Times New Roman"/>
          <w:noProof/>
          <w:szCs w:val="24"/>
        </w:rPr>
      </w:pPr>
      <w:r>
        <w:rPr>
          <w:rFonts w:cs="Times New Roman"/>
          <w:noProof/>
          <w:szCs w:val="24"/>
          <w:lang w:val="en-GB"/>
        </w:rPr>
        <w:t>ISA</w:t>
      </w:r>
      <w:r>
        <w:rPr>
          <w:rFonts w:cs="Times New Roman"/>
          <w:noProof/>
          <w:szCs w:val="24"/>
          <w:vertAlign w:val="superscript"/>
          <w:lang w:val="en-GB"/>
        </w:rPr>
        <w:t>2</w:t>
      </w:r>
      <w:r>
        <w:rPr>
          <w:rFonts w:cs="Times New Roman"/>
          <w:noProof/>
          <w:szCs w:val="24"/>
          <w:lang w:val="en-GB"/>
        </w:rPr>
        <w:t xml:space="preserve"> actions are characterised by </w:t>
      </w:r>
      <w:r>
        <w:rPr>
          <w:rFonts w:cs="Times New Roman"/>
          <w:b/>
          <w:noProof/>
          <w:szCs w:val="24"/>
          <w:lang w:val="en-GB"/>
        </w:rPr>
        <w:t>substantial synergies with each other and limited overlaps</w:t>
      </w:r>
      <w:r>
        <w:rPr>
          <w:rFonts w:cs="Times New Roman"/>
          <w:noProof/>
          <w:szCs w:val="24"/>
          <w:lang w:val="en-GB"/>
        </w:rPr>
        <w:t>. During the consultation activities, respondents provided examples of synergies to support their assessment. Examples mentioned include:</w:t>
      </w:r>
    </w:p>
    <w:p>
      <w:pPr>
        <w:pStyle w:val="Firstlevellist"/>
        <w:rPr>
          <w:noProof/>
        </w:rPr>
      </w:pPr>
      <w:r>
        <w:rPr>
          <w:noProof/>
        </w:rPr>
        <w:t>solutions developed under the ‘SEMIC’ actions are reused by the ‘Catalogue of Services’ and the ‘Access to Base Registries’ actions;</w:t>
      </w:r>
    </w:p>
    <w:p>
      <w:pPr>
        <w:pStyle w:val="Firstlevellist"/>
        <w:rPr>
          <w:noProof/>
        </w:rPr>
      </w:pPr>
      <w:r>
        <w:rPr>
          <w:noProof/>
        </w:rPr>
        <w:t>the ‘Re3gistry’ solution, part of the ‘ELISE’ action, is used to share the codes for the ‘Core Vocabularies’, part of the ‘SEMIC’ action; and</w:t>
      </w:r>
    </w:p>
    <w:p>
      <w:pPr>
        <w:pStyle w:val="FirstlevellistLAST"/>
        <w:rPr>
          <w:noProof/>
        </w:rPr>
      </w:pPr>
      <w:r>
        <w:rPr>
          <w:noProof/>
        </w:rPr>
        <w:t>The solutions developed as part of the ‘e-TrustEx’ actions are reused by the action ‘European Public Procurement Interoperability Initiative’.</w:t>
      </w:r>
    </w:p>
    <w:p>
      <w:pPr>
        <w:jc w:val="both"/>
        <w:rPr>
          <w:rFonts w:cs="Times New Roman"/>
          <w:noProof/>
          <w:szCs w:val="24"/>
          <w:u w:val="single"/>
          <w:lang w:val="en-GB"/>
        </w:rPr>
      </w:pPr>
      <w:r>
        <w:rPr>
          <w:rFonts w:cs="Times New Roman"/>
          <w:noProof/>
          <w:szCs w:val="24"/>
          <w:u w:val="single"/>
          <w:lang w:val="en-GB"/>
        </w:rPr>
        <w:t>External coherence</w:t>
      </w:r>
    </w:p>
    <w:p>
      <w:pPr>
        <w:jc w:val="both"/>
        <w:rPr>
          <w:rFonts w:cs="Times New Roman"/>
          <w:noProof/>
          <w:szCs w:val="24"/>
          <w:lang w:val="en-GB"/>
        </w:rPr>
      </w:pPr>
      <w:r>
        <w:rPr>
          <w:rFonts w:cs="Times New Roman"/>
          <w:noProof/>
          <w:szCs w:val="24"/>
          <w:lang w:val="en-GB"/>
        </w:rPr>
        <w:t>On external coherence, respondents to the consultation activities identified most synergy between ISA</w:t>
      </w:r>
      <w:r>
        <w:rPr>
          <w:rFonts w:cs="Times New Roman"/>
          <w:noProof/>
          <w:szCs w:val="24"/>
          <w:vertAlign w:val="superscript"/>
          <w:lang w:val="en-GB"/>
        </w:rPr>
        <w:t>2</w:t>
      </w:r>
      <w:r>
        <w:rPr>
          <w:rFonts w:cs="Times New Roman"/>
          <w:noProof/>
          <w:szCs w:val="24"/>
          <w:lang w:val="en-GB"/>
        </w:rPr>
        <w:t xml:space="preserve"> and </w:t>
      </w:r>
      <w:r>
        <w:rPr>
          <w:rFonts w:cs="Times New Roman"/>
          <w:b/>
          <w:noProof/>
          <w:szCs w:val="24"/>
          <w:lang w:val="en-GB"/>
        </w:rPr>
        <w:t>CEF</w:t>
      </w:r>
      <w:r>
        <w:rPr>
          <w:rFonts w:cs="Times New Roman"/>
          <w:noProof/>
          <w:szCs w:val="24"/>
          <w:lang w:val="en-GB"/>
        </w:rPr>
        <w:t>. In contrast, of the EU programmes interacting with ISA</w:t>
      </w:r>
      <w:r>
        <w:rPr>
          <w:rFonts w:cs="Times New Roman"/>
          <w:noProof/>
          <w:szCs w:val="24"/>
          <w:vertAlign w:val="superscript"/>
          <w:lang w:val="en-GB"/>
        </w:rPr>
        <w:t>2</w:t>
      </w:r>
      <w:r>
        <w:rPr>
          <w:rFonts w:cs="Times New Roman"/>
          <w:noProof/>
          <w:szCs w:val="24"/>
          <w:lang w:val="en-GB"/>
        </w:rPr>
        <w:t xml:space="preserve">, the </w:t>
      </w:r>
      <w:r>
        <w:rPr>
          <w:rFonts w:cs="Times New Roman"/>
          <w:b/>
          <w:noProof/>
          <w:szCs w:val="24"/>
          <w:lang w:val="en-GB"/>
        </w:rPr>
        <w:t xml:space="preserve">ESF </w:t>
      </w:r>
      <w:r>
        <w:rPr>
          <w:rFonts w:cs="Times New Roman"/>
          <w:noProof/>
          <w:szCs w:val="24"/>
          <w:lang w:val="en-GB"/>
        </w:rPr>
        <w:t xml:space="preserve">tends to have the least synergies. Respondents indicated that </w:t>
      </w:r>
      <w:r>
        <w:rPr>
          <w:rFonts w:cs="Times New Roman"/>
          <w:b/>
          <w:noProof/>
          <w:szCs w:val="24"/>
          <w:lang w:val="en-GB"/>
        </w:rPr>
        <w:t>Horizon 2020</w:t>
      </w:r>
      <w:r>
        <w:rPr>
          <w:rFonts w:cs="Times New Roman"/>
          <w:noProof/>
          <w:szCs w:val="24"/>
          <w:lang w:val="en-GB"/>
        </w:rPr>
        <w:t xml:space="preserve"> (in particular the work related to the once-only principle) and the </w:t>
      </w:r>
      <w:r>
        <w:rPr>
          <w:rFonts w:cs="Times New Roman"/>
          <w:b/>
          <w:noProof/>
          <w:szCs w:val="24"/>
          <w:lang w:val="en-GB"/>
        </w:rPr>
        <w:t>SRSP</w:t>
      </w:r>
      <w:r>
        <w:rPr>
          <w:rFonts w:cs="Times New Roman"/>
          <w:noProof/>
          <w:szCs w:val="24"/>
          <w:lang w:val="en-GB"/>
        </w:rPr>
        <w:t xml:space="preserve"> (through the support given to Member States to align and integrate with cross-border services) also have some synergies with ISA</w:t>
      </w:r>
      <w:r>
        <w:rPr>
          <w:rFonts w:cs="Times New Roman"/>
          <w:noProof/>
          <w:szCs w:val="24"/>
          <w:vertAlign w:val="superscript"/>
          <w:lang w:val="en-GB"/>
        </w:rPr>
        <w:t>2</w:t>
      </w:r>
      <w:r>
        <w:rPr>
          <w:rFonts w:cs="Times New Roman"/>
          <w:noProof/>
          <w:szCs w:val="24"/>
          <w:lang w:val="en-GB"/>
        </w:rPr>
        <w:t>.</w:t>
      </w:r>
    </w:p>
    <w:p>
      <w:pPr>
        <w:jc w:val="both"/>
        <w:rPr>
          <w:rFonts w:cs="Times New Roman"/>
          <w:noProof/>
          <w:szCs w:val="24"/>
          <w:lang w:val="en-GB"/>
        </w:rPr>
      </w:pPr>
      <w:r>
        <w:rPr>
          <w:rFonts w:cs="Times New Roman"/>
          <w:noProof/>
          <w:szCs w:val="24"/>
          <w:lang w:val="en-GB"/>
        </w:rPr>
        <w:t>Respondents also pointed at synergies and overlaps with other EU initiatives such as ERDF, Corporate IT Governance and the Single Digital Gateway.</w:t>
      </w:r>
    </w:p>
    <w:p>
      <w:pPr>
        <w:jc w:val="both"/>
        <w:rPr>
          <w:rFonts w:cs="Times New Roman"/>
          <w:b/>
          <w:noProof/>
          <w:szCs w:val="24"/>
          <w:lang w:val="en-GB"/>
        </w:rPr>
      </w:pPr>
      <w:r>
        <w:rPr>
          <w:rFonts w:cs="Times New Roman"/>
          <w:b/>
          <w:noProof/>
          <w:szCs w:val="24"/>
          <w:lang w:val="en-GB"/>
        </w:rPr>
        <w:t>EU added value</w:t>
      </w:r>
    </w:p>
    <w:p>
      <w:pPr>
        <w:jc w:val="both"/>
        <w:rPr>
          <w:rFonts w:cs="Times New Roman"/>
          <w:noProof/>
          <w:szCs w:val="24"/>
          <w:lang w:val="en-GB"/>
        </w:rPr>
      </w:pPr>
      <w:r>
        <w:rPr>
          <w:rFonts w:cs="Times New Roman"/>
          <w:noProof/>
          <w:szCs w:val="24"/>
          <w:lang w:val="en-GB"/>
        </w:rPr>
        <w:t>Most respondents believe that national or sub-national interventions could not achieve or could only slightly achieve the general and specific interoperability objectives that ISA</w:t>
      </w:r>
      <w:r>
        <w:rPr>
          <w:rFonts w:cs="Times New Roman"/>
          <w:noProof/>
          <w:szCs w:val="24"/>
          <w:vertAlign w:val="superscript"/>
          <w:lang w:val="en-GB"/>
        </w:rPr>
        <w:t>2</w:t>
      </w:r>
      <w:r>
        <w:rPr>
          <w:rFonts w:cs="Times New Roman"/>
          <w:noProof/>
          <w:szCs w:val="24"/>
          <w:lang w:val="en-GB"/>
        </w:rPr>
        <w:t xml:space="preserve"> is pursuing. The consulted stakeholders consider that </w:t>
      </w:r>
      <w:r>
        <w:rPr>
          <w:rFonts w:cs="Times New Roman"/>
          <w:b/>
          <w:noProof/>
          <w:szCs w:val="24"/>
          <w:lang w:val="en-GB"/>
        </w:rPr>
        <w:t>ISA</w:t>
      </w:r>
      <w:r>
        <w:rPr>
          <w:rFonts w:cs="Times New Roman"/>
          <w:b/>
          <w:noProof/>
          <w:szCs w:val="24"/>
          <w:vertAlign w:val="superscript"/>
          <w:lang w:val="en-GB"/>
        </w:rPr>
        <w:t>2</w:t>
      </w:r>
      <w:r>
        <w:rPr>
          <w:rFonts w:cs="Times New Roman"/>
          <w:b/>
          <w:noProof/>
          <w:szCs w:val="24"/>
          <w:lang w:val="en-GB"/>
        </w:rPr>
        <w:t xml:space="preserve"> plays an important role in ensuring a level of coordination that improves interoperability among European public administrations</w:t>
      </w:r>
      <w:r>
        <w:rPr>
          <w:rFonts w:cs="Times New Roman"/>
          <w:noProof/>
          <w:szCs w:val="24"/>
          <w:lang w:val="en-GB"/>
        </w:rPr>
        <w:t>.</w:t>
      </w:r>
    </w:p>
    <w:p>
      <w:pPr>
        <w:jc w:val="both"/>
        <w:rPr>
          <w:rFonts w:cs="Times New Roman"/>
          <w:noProof/>
          <w:szCs w:val="24"/>
          <w:lang w:val="en-GB"/>
        </w:rPr>
      </w:pPr>
      <w:r>
        <w:rPr>
          <w:rFonts w:cs="Times New Roman"/>
          <w:noProof/>
          <w:szCs w:val="24"/>
          <w:lang w:val="en-GB"/>
        </w:rPr>
        <w:t>Respondents also emphasised that ISA</w:t>
      </w:r>
      <w:r>
        <w:rPr>
          <w:rFonts w:cs="Times New Roman"/>
          <w:noProof/>
          <w:szCs w:val="24"/>
          <w:vertAlign w:val="superscript"/>
          <w:lang w:val="en-GB"/>
        </w:rPr>
        <w:t>2</w:t>
      </w:r>
      <w:r>
        <w:rPr>
          <w:rFonts w:cs="Times New Roman"/>
          <w:noProof/>
          <w:szCs w:val="24"/>
          <w:lang w:val="en-GB"/>
        </w:rPr>
        <w:t xml:space="preserve"> can </w:t>
      </w:r>
      <w:r>
        <w:rPr>
          <w:rFonts w:cs="Times New Roman"/>
          <w:b/>
          <w:noProof/>
          <w:szCs w:val="24"/>
          <w:lang w:val="en-GB"/>
        </w:rPr>
        <w:t>achieve its objectives at a lower cost</w:t>
      </w:r>
      <w:r>
        <w:rPr>
          <w:rFonts w:cs="Times New Roman"/>
          <w:noProof/>
          <w:szCs w:val="24"/>
          <w:lang w:val="en-GB"/>
        </w:rPr>
        <w:t xml:space="preserve"> than comparable national or sub-national initiatives. Most also believe that ISA</w:t>
      </w:r>
      <w:r>
        <w:rPr>
          <w:rFonts w:cs="Times New Roman"/>
          <w:noProof/>
          <w:szCs w:val="24"/>
          <w:vertAlign w:val="superscript"/>
          <w:lang w:val="en-GB"/>
        </w:rPr>
        <w:t>2</w:t>
      </w:r>
      <w:r>
        <w:rPr>
          <w:rFonts w:cs="Times New Roman"/>
          <w:noProof/>
          <w:szCs w:val="24"/>
          <w:lang w:val="en-GB"/>
        </w:rPr>
        <w:t xml:space="preserve"> has helped </w:t>
      </w:r>
      <w:r>
        <w:rPr>
          <w:rFonts w:cs="Times New Roman"/>
          <w:b/>
          <w:noProof/>
          <w:szCs w:val="24"/>
          <w:lang w:val="en-GB"/>
        </w:rPr>
        <w:t>improve cross-border interoperability</w:t>
      </w:r>
      <w:r>
        <w:rPr>
          <w:rFonts w:cs="Times New Roman"/>
          <w:noProof/>
          <w:szCs w:val="24"/>
          <w:lang w:val="en-GB"/>
        </w:rPr>
        <w:t xml:space="preserve"> in the EU. Examples frequently mentioned by stakeholders are the work done in the field of semantic interoperability and the fact that ISA</w:t>
      </w:r>
      <w:r>
        <w:rPr>
          <w:rFonts w:cs="Times New Roman"/>
          <w:noProof/>
          <w:szCs w:val="24"/>
          <w:vertAlign w:val="superscript"/>
          <w:lang w:val="en-GB"/>
        </w:rPr>
        <w:t>2</w:t>
      </w:r>
      <w:r>
        <w:rPr>
          <w:rFonts w:cs="Times New Roman"/>
          <w:noProof/>
          <w:szCs w:val="24"/>
          <w:lang w:val="en-GB"/>
        </w:rPr>
        <w:t xml:space="preserve"> raises awareness about interoperability in the EU, without which little progress would be made in the field. </w:t>
      </w:r>
    </w:p>
    <w:p>
      <w:pPr>
        <w:jc w:val="both"/>
        <w:rPr>
          <w:rFonts w:cs="Times New Roman"/>
          <w:b/>
          <w:noProof/>
          <w:szCs w:val="24"/>
          <w:lang w:val="en-GB"/>
        </w:rPr>
      </w:pPr>
      <w:r>
        <w:rPr>
          <w:rFonts w:cs="Times New Roman"/>
          <w:noProof/>
          <w:szCs w:val="24"/>
          <w:lang w:val="en-GB"/>
        </w:rPr>
        <w:t xml:space="preserve">When it comes to </w:t>
      </w:r>
      <w:r>
        <w:rPr>
          <w:rFonts w:cs="Times New Roman"/>
          <w:b/>
          <w:noProof/>
          <w:szCs w:val="24"/>
          <w:lang w:val="en-GB"/>
        </w:rPr>
        <w:t>advancing common EU policies</w:t>
      </w:r>
      <w:r>
        <w:rPr>
          <w:rFonts w:cs="Times New Roman"/>
          <w:noProof/>
          <w:szCs w:val="24"/>
          <w:lang w:val="en-GB"/>
        </w:rPr>
        <w:t>, consulted stakeholders noted that ISA</w:t>
      </w:r>
      <w:r>
        <w:rPr>
          <w:rFonts w:cs="Times New Roman"/>
          <w:noProof/>
          <w:szCs w:val="24"/>
          <w:vertAlign w:val="superscript"/>
          <w:lang w:val="en-GB"/>
        </w:rPr>
        <w:t>2</w:t>
      </w:r>
      <w:r>
        <w:rPr>
          <w:rFonts w:cs="Times New Roman"/>
          <w:noProof/>
          <w:szCs w:val="24"/>
          <w:lang w:val="en-GB"/>
        </w:rPr>
        <w:t xml:space="preserve"> plays a central role in implementing the EIF (including its 2017 revision) by abiding by its principles and tracking its implementation. Stakeholders emphasised that ISA</w:t>
      </w:r>
      <w:r>
        <w:rPr>
          <w:rFonts w:cs="Times New Roman"/>
          <w:noProof/>
          <w:szCs w:val="24"/>
          <w:vertAlign w:val="superscript"/>
          <w:lang w:val="en-GB"/>
        </w:rPr>
        <w:t>2</w:t>
      </w:r>
      <w:r>
        <w:rPr>
          <w:rFonts w:cs="Times New Roman"/>
          <w:noProof/>
          <w:szCs w:val="24"/>
          <w:lang w:val="en-GB"/>
        </w:rPr>
        <w:t xml:space="preserve"> has also contributed to specific areas of broader EU policy, namely the Digital Single Market.</w:t>
      </w:r>
    </w:p>
    <w:p>
      <w:pPr>
        <w:jc w:val="both"/>
        <w:rPr>
          <w:rFonts w:cs="Times New Roman"/>
          <w:b/>
          <w:noProof/>
          <w:szCs w:val="24"/>
          <w:lang w:val="en-GB"/>
        </w:rPr>
      </w:pPr>
      <w:r>
        <w:rPr>
          <w:rFonts w:cs="Times New Roman"/>
          <w:b/>
          <w:noProof/>
          <w:szCs w:val="24"/>
          <w:lang w:val="en-GB"/>
        </w:rPr>
        <w:t>Utility</w:t>
      </w:r>
    </w:p>
    <w:p>
      <w:pPr>
        <w:jc w:val="both"/>
        <w:rPr>
          <w:rFonts w:cs="Times New Roman"/>
          <w:noProof/>
          <w:szCs w:val="24"/>
          <w:lang w:val="en-GB"/>
        </w:rPr>
      </w:pPr>
      <w:r>
        <w:rPr>
          <w:rFonts w:cs="Times New Roman"/>
          <w:noProof/>
          <w:szCs w:val="24"/>
          <w:lang w:val="en-GB"/>
        </w:rPr>
        <w:t>Respondents in both EU-level and national public administrations confirm that the solutions developed or maintained by ISA</w:t>
      </w:r>
      <w:r>
        <w:rPr>
          <w:rFonts w:cs="Times New Roman"/>
          <w:noProof/>
          <w:szCs w:val="24"/>
          <w:vertAlign w:val="superscript"/>
          <w:lang w:val="en-GB"/>
        </w:rPr>
        <w:t>2</w:t>
      </w:r>
      <w:r>
        <w:rPr>
          <w:rFonts w:cs="Times New Roman"/>
          <w:noProof/>
          <w:szCs w:val="24"/>
          <w:lang w:val="en-GB"/>
        </w:rPr>
        <w:t xml:space="preserve"> have </w:t>
      </w:r>
      <w:r>
        <w:rPr>
          <w:rFonts w:cs="Times New Roman"/>
          <w:b/>
          <w:noProof/>
          <w:szCs w:val="24"/>
          <w:lang w:val="en-GB"/>
        </w:rPr>
        <w:t>contributed to addressing the original needs and problems identified in the field of interoperability</w:t>
      </w:r>
      <w:r>
        <w:rPr>
          <w:rFonts w:cs="Times New Roman"/>
          <w:noProof/>
          <w:szCs w:val="24"/>
          <w:lang w:val="en-GB"/>
        </w:rPr>
        <w:t>. Respondents emphasised that while some of the new needs and problems experienced in the field are addressed by the solutions provided by ISA</w:t>
      </w:r>
      <w:r>
        <w:rPr>
          <w:rFonts w:cs="Times New Roman"/>
          <w:noProof/>
          <w:szCs w:val="24"/>
          <w:vertAlign w:val="superscript"/>
          <w:lang w:val="en-GB"/>
        </w:rPr>
        <w:t>2</w:t>
      </w:r>
      <w:r>
        <w:rPr>
          <w:rFonts w:cs="Times New Roman"/>
          <w:noProof/>
          <w:szCs w:val="24"/>
          <w:lang w:val="en-GB"/>
        </w:rPr>
        <w:t xml:space="preserve">, others, such as changing political priorities in the Member States, fall beyond the scope of the programme as it is currently defined. </w:t>
      </w:r>
    </w:p>
    <w:p>
      <w:pPr>
        <w:jc w:val="both"/>
        <w:rPr>
          <w:rFonts w:cs="Times New Roman"/>
          <w:noProof/>
          <w:szCs w:val="24"/>
          <w:lang w:val="en-GB"/>
        </w:rPr>
      </w:pPr>
      <w:r>
        <w:rPr>
          <w:rFonts w:cs="Times New Roman"/>
          <w:b/>
          <w:noProof/>
          <w:szCs w:val="24"/>
          <w:lang w:val="en-GB"/>
        </w:rPr>
        <w:t>The feedback received from respondents in terms of user satisfaction tends to be positive</w:t>
      </w:r>
      <w:r>
        <w:rPr>
          <w:rFonts w:cs="Times New Roman"/>
          <w:noProof/>
          <w:szCs w:val="24"/>
          <w:lang w:val="en-GB"/>
        </w:rPr>
        <w:t>. Nevertheless, a number of measures were identified to increase the utility of the programme, namely:</w:t>
      </w:r>
    </w:p>
    <w:p>
      <w:pPr>
        <w:pStyle w:val="Firstlevellist"/>
        <w:rPr>
          <w:noProof/>
        </w:rPr>
      </w:pPr>
      <w:r>
        <w:rPr>
          <w:noProof/>
        </w:rPr>
        <w:t>placing more emphasis on sharing best practices and providing support to users;</w:t>
      </w:r>
    </w:p>
    <w:p>
      <w:pPr>
        <w:pStyle w:val="Firstlevellist"/>
        <w:rPr>
          <w:noProof/>
        </w:rPr>
      </w:pPr>
      <w:r>
        <w:rPr>
          <w:noProof/>
        </w:rPr>
        <w:t xml:space="preserve">establishing a co-creation process with users; </w:t>
      </w:r>
    </w:p>
    <w:p>
      <w:pPr>
        <w:pStyle w:val="Firstlevellist"/>
        <w:rPr>
          <w:noProof/>
        </w:rPr>
      </w:pPr>
      <w:r>
        <w:rPr>
          <w:noProof/>
        </w:rPr>
        <w:t xml:space="preserve">improving the quality of existing solutions by better considering user needs; </w:t>
      </w:r>
    </w:p>
    <w:p>
      <w:pPr>
        <w:pStyle w:val="Firstlevellist"/>
        <w:rPr>
          <w:noProof/>
        </w:rPr>
      </w:pPr>
      <w:r>
        <w:rPr>
          <w:noProof/>
        </w:rPr>
        <w:t>ensuring the Member States’ commitment to using ISA</w:t>
      </w:r>
      <w:r>
        <w:rPr>
          <w:noProof/>
          <w:vertAlign w:val="superscript"/>
        </w:rPr>
        <w:t>2</w:t>
      </w:r>
      <w:r>
        <w:rPr>
          <w:noProof/>
        </w:rPr>
        <w:t xml:space="preserve"> solutions; and</w:t>
      </w:r>
    </w:p>
    <w:p>
      <w:pPr>
        <w:pStyle w:val="FirstlevellistLAST"/>
        <w:rPr>
          <w:noProof/>
        </w:rPr>
      </w:pPr>
      <w:r>
        <w:rPr>
          <w:noProof/>
        </w:rPr>
        <w:t>strengthening the promotion of ISA</w:t>
      </w:r>
      <w:r>
        <w:rPr>
          <w:noProof/>
          <w:vertAlign w:val="superscript"/>
        </w:rPr>
        <w:t>2</w:t>
      </w:r>
      <w:r>
        <w:rPr>
          <w:noProof/>
        </w:rPr>
        <w:t xml:space="preserve"> solutions at Member State level as well as among specific groups of professionals (e.g. standards development organisations).</w:t>
      </w:r>
    </w:p>
    <w:p>
      <w:pPr>
        <w:jc w:val="both"/>
        <w:rPr>
          <w:rFonts w:cs="Times New Roman"/>
          <w:b/>
          <w:noProof/>
          <w:szCs w:val="24"/>
          <w:lang w:val="en-GB"/>
        </w:rPr>
      </w:pPr>
      <w:r>
        <w:rPr>
          <w:rFonts w:cs="Times New Roman"/>
          <w:b/>
          <w:noProof/>
          <w:szCs w:val="24"/>
          <w:lang w:val="en-GB"/>
        </w:rPr>
        <w:t>Sustainability</w:t>
      </w:r>
    </w:p>
    <w:p>
      <w:pPr>
        <w:jc w:val="both"/>
        <w:rPr>
          <w:rFonts w:cs="Times New Roman"/>
          <w:i/>
          <w:noProof/>
          <w:szCs w:val="24"/>
          <w:lang w:val="en-GB"/>
        </w:rPr>
      </w:pPr>
      <w:r>
        <w:rPr>
          <w:rFonts w:cs="Times New Roman"/>
          <w:noProof/>
          <w:szCs w:val="24"/>
          <w:lang w:val="en-GB"/>
        </w:rPr>
        <w:t xml:space="preserve">Overall, consulted stakeholders have a </w:t>
      </w:r>
      <w:r>
        <w:rPr>
          <w:rFonts w:cs="Times New Roman"/>
          <w:b/>
          <w:noProof/>
          <w:szCs w:val="24"/>
          <w:lang w:val="en-GB"/>
        </w:rPr>
        <w:t>positive view of the sustainability of results</w:t>
      </w:r>
      <w:r>
        <w:rPr>
          <w:rFonts w:cs="Times New Roman"/>
          <w:noProof/>
          <w:szCs w:val="24"/>
          <w:lang w:val="en-GB"/>
        </w:rPr>
        <w:t xml:space="preserve"> achieved so far. Nevertheless, while the programme’s global results are expected to last (as the progress made in the field of interoperability will not be lost), certain issues may arise when considering the specific aspects of different solutions and future steps towards increased interoperability. </w:t>
      </w:r>
      <w:r>
        <w:rPr>
          <w:rFonts w:cs="Times New Roman"/>
          <w:noProof/>
          <w:szCs w:val="24"/>
          <w:lang w:val="en-US"/>
        </w:rPr>
        <w:t xml:space="preserve">In fact, there are solutions requiring both </w:t>
      </w:r>
      <w:r>
        <w:rPr>
          <w:rFonts w:cs="Times New Roman"/>
          <w:b/>
          <w:noProof/>
          <w:szCs w:val="24"/>
          <w:lang w:val="en-US"/>
        </w:rPr>
        <w:t>operations and maintenance costs</w:t>
      </w:r>
      <w:r>
        <w:rPr>
          <w:rFonts w:cs="Times New Roman"/>
          <w:noProof/>
          <w:szCs w:val="24"/>
          <w:lang w:val="en-US"/>
        </w:rPr>
        <w:t xml:space="preserve"> as well as </w:t>
      </w:r>
      <w:r>
        <w:rPr>
          <w:rFonts w:cs="Times New Roman"/>
          <w:b/>
          <w:noProof/>
          <w:szCs w:val="24"/>
          <w:lang w:val="en-US"/>
        </w:rPr>
        <w:t>technical and operational support</w:t>
      </w:r>
      <w:r>
        <w:rPr>
          <w:rFonts w:cs="Times New Roman"/>
          <w:noProof/>
          <w:szCs w:val="24"/>
          <w:lang w:val="en-US"/>
        </w:rPr>
        <w:t xml:space="preserve">, which would be unable to deliver further results if the </w:t>
      </w:r>
      <w:r>
        <w:rPr>
          <w:rFonts w:cs="Times New Roman"/>
          <w:noProof/>
          <w:szCs w:val="24"/>
          <w:lang w:val="en-GB"/>
        </w:rPr>
        <w:t>programme</w:t>
      </w:r>
      <w:r>
        <w:rPr>
          <w:rFonts w:cs="Times New Roman"/>
          <w:noProof/>
          <w:szCs w:val="24"/>
          <w:lang w:val="en-US"/>
        </w:rPr>
        <w:t xml:space="preserve"> terminated</w:t>
      </w:r>
      <w:r>
        <w:rPr>
          <w:rFonts w:cs="Times New Roman"/>
          <w:noProof/>
          <w:szCs w:val="24"/>
          <w:lang w:val="en-GB"/>
        </w:rPr>
        <w:t>. Additional obstacles to the sustainability of the programme include:</w:t>
      </w:r>
    </w:p>
    <w:p>
      <w:pPr>
        <w:pStyle w:val="Firstlevellist"/>
        <w:rPr>
          <w:noProof/>
        </w:rPr>
      </w:pPr>
      <w:r>
        <w:rPr>
          <w:noProof/>
        </w:rPr>
        <w:t>lack of development for existing solutions;</w:t>
      </w:r>
    </w:p>
    <w:p>
      <w:pPr>
        <w:pStyle w:val="Firstlevellist"/>
        <w:rPr>
          <w:noProof/>
        </w:rPr>
      </w:pPr>
      <w:r>
        <w:rPr>
          <w:noProof/>
        </w:rPr>
        <w:t>lack of coordination between European public administrations; and</w:t>
      </w:r>
    </w:p>
    <w:p>
      <w:pPr>
        <w:pStyle w:val="FirstlevellistLAST"/>
        <w:rPr>
          <w:noProof/>
        </w:rPr>
      </w:pPr>
      <w:r>
        <w:rPr>
          <w:noProof/>
        </w:rPr>
        <w:t>limited dissemination and communication related to interoperability.</w:t>
      </w:r>
    </w:p>
    <w:p>
      <w:pPr>
        <w:jc w:val="both"/>
        <w:rPr>
          <w:rFonts w:cs="Times New Roman"/>
          <w:noProof/>
          <w:szCs w:val="24"/>
          <w:lang w:val="en-GB"/>
        </w:rPr>
      </w:pPr>
      <w:r>
        <w:rPr>
          <w:rFonts w:cs="Times New Roman"/>
          <w:noProof/>
          <w:szCs w:val="24"/>
          <w:lang w:val="en-GB"/>
        </w:rPr>
        <w:t xml:space="preserve">Furthermore, </w:t>
      </w:r>
      <w:r>
        <w:rPr>
          <w:rFonts w:cs="Times New Roman"/>
          <w:b/>
          <w:noProof/>
          <w:szCs w:val="24"/>
          <w:lang w:val="en-GB"/>
        </w:rPr>
        <w:t>introducing a fee for users</w:t>
      </w:r>
      <w:r>
        <w:rPr>
          <w:rFonts w:cs="Times New Roman"/>
          <w:noProof/>
          <w:szCs w:val="24"/>
          <w:lang w:val="en-GB"/>
        </w:rPr>
        <w:t xml:space="preserve"> to gain access to ISA</w:t>
      </w:r>
      <w:r>
        <w:rPr>
          <w:rFonts w:cs="Times New Roman"/>
          <w:noProof/>
          <w:szCs w:val="24"/>
          <w:vertAlign w:val="superscript"/>
          <w:lang w:val="en-GB"/>
        </w:rPr>
        <w:t>2</w:t>
      </w:r>
      <w:r>
        <w:rPr>
          <w:rFonts w:cs="Times New Roman"/>
          <w:noProof/>
          <w:szCs w:val="24"/>
          <w:lang w:val="en-GB"/>
        </w:rPr>
        <w:t xml:space="preserve"> solutions is not considered a feasible solution, especially in the event that funding would no longer be provided for the actions currently carried out by ISA</w:t>
      </w:r>
      <w:r>
        <w:rPr>
          <w:rFonts w:cs="Times New Roman"/>
          <w:noProof/>
          <w:szCs w:val="24"/>
          <w:vertAlign w:val="superscript"/>
          <w:lang w:val="en-GB"/>
        </w:rPr>
        <w:t>2</w:t>
      </w:r>
      <w:r>
        <w:rPr>
          <w:rFonts w:cs="Times New Roman"/>
          <w:noProof/>
          <w:szCs w:val="24"/>
          <w:lang w:val="en-GB"/>
        </w:rPr>
        <w:t xml:space="preserve">. Finally, the vast majority of respondents, from all stakeholder groups, stressed that the </w:t>
      </w:r>
      <w:r>
        <w:rPr>
          <w:rFonts w:cs="Times New Roman"/>
          <w:b/>
          <w:noProof/>
          <w:szCs w:val="24"/>
          <w:lang w:val="en-GB"/>
        </w:rPr>
        <w:t>ICT-based modernisation of the public sector in Europe and the possibility to address the needs of businesses and the public via improved interoperability of European public administrations</w:t>
      </w:r>
      <w:r>
        <w:rPr>
          <w:rFonts w:cs="Times New Roman"/>
          <w:noProof/>
          <w:szCs w:val="24"/>
          <w:lang w:val="en-GB"/>
        </w:rPr>
        <w:t xml:space="preserve"> would be jeopardised, if ISA</w:t>
      </w:r>
      <w:r>
        <w:rPr>
          <w:rFonts w:cs="Times New Roman"/>
          <w:noProof/>
          <w:szCs w:val="24"/>
          <w:vertAlign w:val="superscript"/>
          <w:lang w:val="en-GB"/>
        </w:rPr>
        <w:t>2</w:t>
      </w:r>
      <w:r>
        <w:rPr>
          <w:rFonts w:cs="Times New Roman"/>
          <w:noProof/>
          <w:szCs w:val="24"/>
          <w:lang w:val="en-GB"/>
        </w:rPr>
        <w:t xml:space="preserve"> were terminated without any similar EU programme being established in its place.</w:t>
      </w:r>
    </w:p>
    <w:p>
      <w:pPr>
        <w:jc w:val="both"/>
        <w:rPr>
          <w:rFonts w:cs="Times New Roman"/>
          <w:noProof/>
          <w:szCs w:val="24"/>
          <w:lang w:val="en-GB"/>
        </w:rPr>
        <w:sectPr>
          <w:headerReference w:type="even" r:id="rId150"/>
          <w:headerReference w:type="default" r:id="rId151"/>
          <w:footerReference w:type="even" r:id="rId152"/>
          <w:footerReference w:type="default" r:id="rId153"/>
          <w:headerReference w:type="first" r:id="rId154"/>
          <w:footerReference w:type="first" r:id="rId155"/>
          <w:pgSz w:w="11906" w:h="16838"/>
          <w:pgMar w:top="1020" w:right="1701" w:bottom="1020" w:left="1587" w:header="601" w:footer="1077" w:gutter="0"/>
          <w:cols w:space="720"/>
          <w:titlePg/>
        </w:sectPr>
      </w:pPr>
    </w:p>
    <w:p>
      <w:pPr>
        <w:jc w:val="both"/>
        <w:rPr>
          <w:rFonts w:cs="Times New Roman"/>
          <w:b/>
          <w:bCs/>
          <w:noProof/>
          <w:szCs w:val="24"/>
          <w:u w:val="single"/>
          <w:lang w:val="en-GB"/>
        </w:rPr>
      </w:pPr>
      <w:r>
        <w:rPr>
          <w:rFonts w:cs="Times New Roman"/>
          <w:b/>
          <w:bCs/>
          <w:noProof/>
          <w:szCs w:val="24"/>
          <w:u w:val="single"/>
          <w:lang w:val="en-GB"/>
        </w:rPr>
        <w:t>Figures presenting the results of the consultation activities per evaluation criterion</w:t>
      </w:r>
    </w:p>
    <w:p>
      <w:pPr>
        <w:shd w:val="clear" w:color="auto" w:fill="C6D9F1" w:themeFill="text2" w:themeFillTint="33"/>
        <w:jc w:val="both"/>
        <w:rPr>
          <w:rFonts w:cs="Times New Roman"/>
          <w:i/>
          <w:iCs/>
          <w:noProof/>
          <w:szCs w:val="24"/>
          <w:lang w:val="en-GB"/>
        </w:rPr>
      </w:pPr>
      <w:r>
        <w:rPr>
          <w:rFonts w:cs="Times New Roman"/>
          <w:b/>
          <w:iCs/>
          <w:noProof/>
          <w:szCs w:val="24"/>
          <w:lang w:val="en-GB"/>
        </w:rPr>
        <w:t>Relevance</w:t>
      </w:r>
    </w:p>
    <w:p>
      <w:pPr>
        <w:pStyle w:val="caption2"/>
        <w:rPr>
          <w:rFonts w:cs="Times New Roman"/>
          <w:noProof/>
        </w:rPr>
      </w:pPr>
      <w:r>
        <w:rPr>
          <w:rFonts w:cs="Times New Roman"/>
          <w:noProof/>
        </w:rPr>
        <w:fldChar w:fldCharType="begin"/>
      </w:r>
      <w:r>
        <w:rPr>
          <w:rFonts w:cs="Times New Roman"/>
          <w:noProof/>
        </w:rPr>
        <w:instrText xml:space="preserve"> REF _Ref14383468 \h  \* MERGEFORMAT </w:instrText>
      </w:r>
      <w:r>
        <w:rPr>
          <w:rFonts w:cs="Times New Roman"/>
          <w:noProof/>
        </w:rPr>
      </w:r>
      <w:r>
        <w:rPr>
          <w:rFonts w:cs="Times New Roman"/>
          <w:noProof/>
        </w:rPr>
        <w:fldChar w:fldCharType="separate"/>
      </w:r>
      <w:r>
        <w:rPr>
          <w:rFonts w:cs="Times New Roman"/>
          <w:noProof/>
        </w:rPr>
        <w:t>Extent to which needs and problems originally addressed by ISA</w:t>
      </w:r>
      <w:r>
        <w:rPr>
          <w:rFonts w:cs="Times New Roman"/>
          <w:noProof/>
          <w:vertAlign w:val="superscript"/>
        </w:rPr>
        <w:t>2</w:t>
      </w:r>
      <w:r>
        <w:rPr>
          <w:rFonts w:cs="Times New Roman"/>
          <w:noProof/>
        </w:rPr>
        <w:t xml:space="preserve"> are currently experienced by European public administrations, businesses and/or citizens (average score of answers, number of respondents)</w:t>
      </w:r>
      <w:r>
        <w:rPr>
          <w:rFonts w:cs="Times New Roman"/>
          <w:noProof/>
        </w:rPr>
        <w:fldChar w:fldCharType="end"/>
      </w:r>
    </w:p>
    <w:p>
      <w:pPr>
        <w:pStyle w:val="VISUAL"/>
        <w:rPr>
          <w:rFonts w:cs="Times New Roman"/>
          <w:noProof/>
        </w:rPr>
      </w:pPr>
      <w:r>
        <w:rPr>
          <w:rFonts w:cs="Times New Roman"/>
          <w:noProof/>
          <w:lang w:eastAsia="en-GB"/>
        </w:rPr>
        <w:drawing>
          <wp:inline distT="0" distB="0" distL="0" distR="0">
            <wp:extent cx="5521124" cy="4901565"/>
            <wp:effectExtent l="0" t="0" r="3810"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spacing w:after="0" w:line="240" w:lineRule="auto"/>
        <w:jc w:val="both"/>
        <w:rPr>
          <w:rFonts w:cs="Times New Roman"/>
          <w:i/>
          <w:noProof/>
          <w:sz w:val="20"/>
          <w:szCs w:val="20"/>
          <w:lang w:val="en-GB"/>
        </w:rPr>
      </w:pPr>
      <w:r>
        <w:rPr>
          <w:rFonts w:cs="Times New Roman"/>
          <w:i/>
          <w:noProof/>
          <w:sz w:val="20"/>
          <w:szCs w:val="20"/>
          <w:lang w:val="en-GB"/>
        </w:rPr>
        <w:t xml:space="preserve">Score: (1) not at all; (2) to a limited extent; (3) to some extent; (4) to a high extent; or (5) to the fullest extent. </w:t>
      </w:r>
    </w:p>
    <w:p>
      <w:pPr>
        <w:spacing w:after="0" w:line="240" w:lineRule="auto"/>
        <w:jc w:val="both"/>
        <w:rPr>
          <w:rFonts w:cs="Times New Roman"/>
          <w:i/>
          <w:noProof/>
          <w:sz w:val="20"/>
          <w:szCs w:val="20"/>
          <w:lang w:val="en-GB"/>
        </w:rPr>
      </w:pPr>
      <w:r>
        <w:rPr>
          <w:rFonts w:cs="Times New Roman"/>
          <w:i/>
          <w:noProof/>
          <w:sz w:val="20"/>
          <w:szCs w:val="20"/>
          <w:lang w:val="en-GB"/>
        </w:rPr>
        <w:t>Note: Averages do not account for respondents answering ‘don’t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157" w:history="1">
        <w:r>
          <w:rPr>
            <w:rStyle w:val="Hyperlink"/>
            <w:rFonts w:cs="Times New Roman"/>
            <w:i/>
            <w:noProof/>
            <w:sz w:val="20"/>
            <w:szCs w:val="20"/>
            <w:lang w:val="en-GB"/>
          </w:rPr>
          <w:t>CEPS final study</w:t>
        </w:r>
      </w:hyperlink>
    </w:p>
    <w:p>
      <w:pPr>
        <w:rPr>
          <w:rFonts w:cs="Times New Roman"/>
          <w:noProof/>
          <w:lang w:val="en-GB"/>
        </w:rPr>
      </w:pPr>
      <w:r>
        <w:rPr>
          <w:rFonts w:cs="Times New Roman"/>
          <w:noProof/>
          <w:lang w:val="en-GB"/>
        </w:rPr>
        <w:br w:type="page"/>
      </w:r>
    </w:p>
    <w:p>
      <w:pPr>
        <w:pStyle w:val="caption2"/>
        <w:rPr>
          <w:rFonts w:cs="Times New Roman"/>
          <w:noProof/>
        </w:rPr>
      </w:pPr>
      <w:r>
        <w:rPr>
          <w:rFonts w:cs="Times New Roman"/>
          <w:noProof/>
        </w:rPr>
        <w:t>Extent to which achieving ISA</w:t>
      </w:r>
      <w:r>
        <w:rPr>
          <w:rFonts w:cs="Times New Roman"/>
          <w:noProof/>
          <w:vertAlign w:val="superscript"/>
        </w:rPr>
        <w:t>2</w:t>
      </w:r>
      <w:r>
        <w:rPr>
          <w:rFonts w:cs="Times New Roman"/>
          <w:noProof/>
        </w:rPr>
        <w:t xml:space="preserve"> objectives contributes to addressing the needs and problems originally addressed by the programme (average score of answers, number of respondents)</w:t>
      </w:r>
    </w:p>
    <w:p>
      <w:pPr>
        <w:pStyle w:val="VISUAL"/>
        <w:jc w:val="center"/>
        <w:rPr>
          <w:rFonts w:cs="Times New Roman"/>
          <w:noProof/>
        </w:rPr>
      </w:pPr>
      <w:r>
        <w:rPr>
          <w:rFonts w:cs="Times New Roman"/>
          <w:noProof/>
          <w:lang w:eastAsia="en-GB"/>
        </w:rPr>
        <w:drawing>
          <wp:inline distT="0" distB="0" distL="0" distR="0">
            <wp:extent cx="4743450" cy="3771134"/>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745293" cy="3772599"/>
                    </a:xfrm>
                    <a:prstGeom prst="rect">
                      <a:avLst/>
                    </a:prstGeom>
                  </pic:spPr>
                </pic:pic>
              </a:graphicData>
            </a:graphic>
          </wp:inline>
        </w:drawing>
      </w:r>
    </w:p>
    <w:p>
      <w:pPr>
        <w:spacing w:after="0" w:line="240" w:lineRule="auto"/>
        <w:jc w:val="both"/>
        <w:rPr>
          <w:rFonts w:cs="Times New Roman"/>
          <w:i/>
          <w:noProof/>
          <w:sz w:val="20"/>
          <w:szCs w:val="20"/>
          <w:lang w:val="en-GB"/>
        </w:rPr>
      </w:pPr>
      <w:r>
        <w:rPr>
          <w:rFonts w:cs="Times New Roman"/>
          <w:i/>
          <w:noProof/>
          <w:sz w:val="20"/>
          <w:szCs w:val="20"/>
          <w:lang w:val="en-GB"/>
        </w:rPr>
        <w:t xml:space="preserve">Score: (1) not at all; (2) to a limited extent; (3) to some extent; (4) to a high extent; or (5) to the fullest extent. </w:t>
      </w:r>
    </w:p>
    <w:p>
      <w:pPr>
        <w:spacing w:after="0" w:line="240" w:lineRule="auto"/>
        <w:jc w:val="both"/>
        <w:rPr>
          <w:rFonts w:cs="Times New Roman"/>
          <w:i/>
          <w:noProof/>
          <w:sz w:val="20"/>
          <w:szCs w:val="20"/>
          <w:lang w:val="en-GB"/>
        </w:rPr>
      </w:pPr>
      <w:r>
        <w:rPr>
          <w:rFonts w:cs="Times New Roman"/>
          <w:i/>
          <w:noProof/>
          <w:sz w:val="20"/>
          <w:szCs w:val="20"/>
          <w:lang w:val="en-GB"/>
        </w:rPr>
        <w:t>Note: Averages do not account for respondents answering ‘don’t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159" w:history="1">
        <w:r>
          <w:rPr>
            <w:rStyle w:val="Hyperlink"/>
            <w:rFonts w:cs="Times New Roman"/>
            <w:i/>
            <w:noProof/>
            <w:sz w:val="20"/>
            <w:szCs w:val="20"/>
            <w:lang w:val="en-GB"/>
          </w:rPr>
          <w:t>CEPS final study</w:t>
        </w:r>
      </w:hyperlink>
    </w:p>
    <w:p>
      <w:pPr>
        <w:rPr>
          <w:rFonts w:cs="Times New Roman"/>
          <w:noProof/>
          <w:sz w:val="18"/>
          <w:lang w:val="en-GB"/>
        </w:rPr>
      </w:pPr>
    </w:p>
    <w:p>
      <w:pPr>
        <w:pStyle w:val="caption2"/>
        <w:rPr>
          <w:rFonts w:cs="Times New Roman"/>
          <w:noProof/>
        </w:rPr>
      </w:pPr>
      <w:r>
        <w:rPr>
          <w:rFonts w:cs="Times New Roman"/>
          <w:noProof/>
        </w:rPr>
        <w:t>Extent to which achieving ISA</w:t>
      </w:r>
      <w:r>
        <w:rPr>
          <w:rFonts w:cs="Times New Roman"/>
          <w:noProof/>
          <w:vertAlign w:val="superscript"/>
        </w:rPr>
        <w:t>2</w:t>
      </w:r>
      <w:r>
        <w:rPr>
          <w:rFonts w:cs="Times New Roman"/>
          <w:noProof/>
        </w:rPr>
        <w:t xml:space="preserve"> objectives contributes to addressing additional (current) needs and problems identified by consulted stakeholders (number of respondents by stakeholder category)</w:t>
      </w:r>
    </w:p>
    <w:p>
      <w:pPr>
        <w:pStyle w:val="VISUAL"/>
        <w:jc w:val="left"/>
        <w:rPr>
          <w:rFonts w:cs="Times New Roman"/>
          <w:noProof/>
        </w:rPr>
      </w:pPr>
      <w:r>
        <w:rPr>
          <w:rFonts w:cs="Times New Roman"/>
          <w:noProof/>
          <w:lang w:eastAsia="en-GB"/>
        </w:rPr>
        <w:drawing>
          <wp:inline distT="0" distB="0" distL="0" distR="0">
            <wp:extent cx="4786630" cy="24999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788876" cy="2501129"/>
                    </a:xfrm>
                    <a:prstGeom prst="rect">
                      <a:avLst/>
                    </a:prstGeom>
                  </pic:spPr>
                </pic:pic>
              </a:graphicData>
            </a:graphic>
          </wp:inline>
        </w:drawing>
      </w:r>
    </w:p>
    <w:p>
      <w:pPr>
        <w:spacing w:after="0" w:line="240" w:lineRule="auto"/>
        <w:jc w:val="both"/>
        <w:rPr>
          <w:rFonts w:cs="Times New Roman"/>
          <w:i/>
          <w:noProof/>
          <w:sz w:val="20"/>
          <w:lang w:val="en-GB"/>
        </w:rPr>
      </w:pPr>
      <w:r>
        <w:rPr>
          <w:rFonts w:cs="Times New Roman"/>
          <w:i/>
          <w:noProof/>
          <w:sz w:val="20"/>
          <w:lang w:val="en-GB"/>
        </w:rPr>
        <w:t>Score: (1) not at all; (2) to a limited extent; (3) to some extent; (4) to a high extent; or (5) to the fullest extent; (DK/NO) do not know/no opinion.</w:t>
      </w:r>
    </w:p>
    <w:p>
      <w:pPr>
        <w:rPr>
          <w:rStyle w:val="Hyperlink"/>
          <w:rFonts w:cs="Times New Roman"/>
          <w:i/>
          <w:noProof/>
          <w:sz w:val="20"/>
          <w:szCs w:val="20"/>
          <w:lang w:val="en-GB"/>
        </w:rPr>
      </w:pPr>
      <w:r>
        <w:rPr>
          <w:rFonts w:cs="Times New Roman"/>
          <w:i/>
          <w:noProof/>
          <w:sz w:val="20"/>
          <w:szCs w:val="20"/>
          <w:lang w:val="en-GB"/>
        </w:rPr>
        <w:t xml:space="preserve">Source: </w:t>
      </w:r>
      <w:hyperlink r:id="rId161" w:history="1">
        <w:r>
          <w:rPr>
            <w:rStyle w:val="Hyperlink"/>
            <w:rFonts w:cs="Times New Roman"/>
            <w:i/>
            <w:noProof/>
            <w:sz w:val="20"/>
            <w:szCs w:val="20"/>
            <w:lang w:val="en-GB"/>
          </w:rPr>
          <w:t>CEPS final study</w:t>
        </w:r>
      </w:hyperlink>
      <w:r>
        <w:rPr>
          <w:rStyle w:val="Hyperlink"/>
          <w:rFonts w:cs="Times New Roman"/>
          <w:i/>
          <w:noProof/>
          <w:sz w:val="20"/>
          <w:szCs w:val="20"/>
          <w:lang w:val="en-GB"/>
        </w:rPr>
        <w:br w:type="page"/>
      </w:r>
    </w:p>
    <w:p>
      <w:pPr>
        <w:shd w:val="clear" w:color="auto" w:fill="C6D9F1" w:themeFill="text2" w:themeFillTint="33"/>
        <w:jc w:val="both"/>
        <w:rPr>
          <w:rFonts w:cs="Times New Roman"/>
          <w:b/>
          <w:iCs/>
          <w:noProof/>
          <w:szCs w:val="24"/>
          <w:lang w:val="en-GB"/>
        </w:rPr>
      </w:pPr>
      <w:r>
        <w:rPr>
          <w:rFonts w:cs="Times New Roman"/>
          <w:b/>
          <w:iCs/>
          <w:noProof/>
          <w:szCs w:val="24"/>
          <w:lang w:val="en-GB"/>
        </w:rPr>
        <w:t>Effectiveness</w:t>
      </w:r>
    </w:p>
    <w:p>
      <w:pPr>
        <w:pStyle w:val="caption2"/>
        <w:rPr>
          <w:rFonts w:cs="Times New Roman"/>
          <w:noProof/>
        </w:rPr>
      </w:pPr>
      <w:r>
        <w:rPr>
          <w:rFonts w:cs="Times New Roman"/>
          <w:noProof/>
        </w:rPr>
        <w:t>Extent to which ISA</w:t>
      </w:r>
      <w:r>
        <w:rPr>
          <w:rFonts w:cs="Times New Roman"/>
          <w:noProof/>
          <w:vertAlign w:val="superscript"/>
        </w:rPr>
        <w:t>2</w:t>
      </w:r>
      <w:r>
        <w:rPr>
          <w:rFonts w:cs="Times New Roman"/>
          <w:noProof/>
        </w:rPr>
        <w:t xml:space="preserve"> solutions contributed to achieving the programme’s objectives (average score of answers, number of respondents)</w:t>
      </w:r>
    </w:p>
    <w:p>
      <w:pPr>
        <w:pStyle w:val="VISUAL"/>
        <w:rPr>
          <w:rFonts w:cs="Times New Roman"/>
          <w:noProof/>
        </w:rPr>
      </w:pPr>
      <w:r>
        <w:rPr>
          <w:rFonts w:cs="Times New Roman"/>
          <w:noProof/>
          <w:lang w:eastAsia="en-GB"/>
        </w:rPr>
        <w:drawing>
          <wp:inline distT="0" distB="0" distL="0" distR="0">
            <wp:extent cx="5472430" cy="5285084"/>
            <wp:effectExtent l="0" t="0" r="0" b="0"/>
            <wp:docPr id="23" name="Chart 2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2A3D167-057D-44DB-A352-168FD27D4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spacing w:after="0" w:line="240" w:lineRule="auto"/>
        <w:jc w:val="both"/>
        <w:rPr>
          <w:rFonts w:cs="Times New Roman"/>
          <w:i/>
          <w:noProof/>
          <w:sz w:val="20"/>
          <w:lang w:val="en-GB"/>
        </w:rPr>
      </w:pPr>
      <w:r>
        <w:rPr>
          <w:rFonts w:cs="Times New Roman"/>
          <w:i/>
          <w:noProof/>
          <w:sz w:val="20"/>
          <w:lang w:val="en-GB"/>
        </w:rPr>
        <w:t xml:space="preserve">Score: 1 — not at all; 2 — to a limited extent; 3 — to some extent; 4 — to a high extent; 5 — to the fullest extent. </w:t>
      </w:r>
    </w:p>
    <w:p>
      <w:pPr>
        <w:spacing w:after="0" w:line="240" w:lineRule="auto"/>
        <w:jc w:val="both"/>
        <w:rPr>
          <w:rFonts w:cs="Times New Roman"/>
          <w:i/>
          <w:noProof/>
          <w:sz w:val="20"/>
          <w:lang w:val="en-GB"/>
        </w:rPr>
      </w:pPr>
      <w:r>
        <w:rPr>
          <w:rFonts w:cs="Times New Roman"/>
          <w:i/>
          <w:noProof/>
          <w:sz w:val="20"/>
          <w:lang w:val="en-GB"/>
        </w:rPr>
        <w:t>Note: Averages do not account for respondents answering ‘do not know/no opinion’ (DK/NO).</w:t>
      </w:r>
    </w:p>
    <w:p>
      <w:pPr>
        <w:pStyle w:val="caption2"/>
        <w:rPr>
          <w:rFonts w:cs="Times New Roman"/>
          <w:noProof/>
        </w:rPr>
      </w:pPr>
      <w:r>
        <w:rPr>
          <w:rFonts w:cs="Times New Roman"/>
          <w:i/>
          <w:noProof/>
          <w:sz w:val="20"/>
          <w:szCs w:val="20"/>
        </w:rPr>
        <w:t xml:space="preserve">Source: </w:t>
      </w:r>
      <w:hyperlink r:id="rId163" w:history="1">
        <w:r>
          <w:rPr>
            <w:rStyle w:val="Hyperlink"/>
            <w:rFonts w:cs="Times New Roman"/>
            <w:i/>
            <w:noProof/>
            <w:sz w:val="20"/>
            <w:szCs w:val="20"/>
          </w:rPr>
          <w:t>CEPS final study</w:t>
        </w:r>
      </w:hyperlink>
      <w:r>
        <w:rPr>
          <w:rStyle w:val="Hyperlink"/>
          <w:rFonts w:cs="Times New Roman"/>
          <w:i/>
          <w:noProof/>
          <w:sz w:val="20"/>
          <w:szCs w:val="20"/>
        </w:rPr>
        <w:t xml:space="preserve"> </w:t>
      </w:r>
      <w:r>
        <w:rPr>
          <w:rFonts w:cs="Times New Roman"/>
          <w:noProof/>
        </w:rPr>
        <w:t>Extent to which ISA</w:t>
      </w:r>
      <w:r>
        <w:rPr>
          <w:rFonts w:cs="Times New Roman"/>
          <w:noProof/>
          <w:vertAlign w:val="superscript"/>
        </w:rPr>
        <w:t>2</w:t>
      </w:r>
      <w:r>
        <w:rPr>
          <w:rFonts w:cs="Times New Roman"/>
          <w:noProof/>
        </w:rPr>
        <w:t xml:space="preserve"> solutions contributed to achieving the programme’s operational objectives (average score of answers, number of respondents)</w:t>
      </w:r>
    </w:p>
    <w:p>
      <w:pPr>
        <w:pStyle w:val="VISUAL"/>
        <w:rPr>
          <w:rFonts w:cs="Times New Roman"/>
          <w:noProof/>
        </w:rPr>
      </w:pPr>
      <w:r>
        <w:rPr>
          <w:rFonts w:cs="Times New Roman"/>
          <w:noProof/>
          <w:lang w:eastAsia="en-GB"/>
        </w:rPr>
        <w:drawing>
          <wp:inline distT="0" distB="0" distL="0" distR="0">
            <wp:extent cx="5472430" cy="7432244"/>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Notes"/>
        <w:rPr>
          <w:rFonts w:cs="Times New Roman"/>
          <w:noProof/>
        </w:rPr>
      </w:pPr>
    </w:p>
    <w:p>
      <w:pPr>
        <w:pStyle w:val="Notes"/>
        <w:rPr>
          <w:rFonts w:cs="Times New Roman"/>
          <w:noProof/>
        </w:rPr>
      </w:pPr>
      <w:r>
        <w:rPr>
          <w:rFonts w:cs="Times New Roman"/>
          <w:noProof/>
        </w:rPr>
        <w:t xml:space="preserve">Score: 1 — not at all; 2 — to a limited extent; 3 — to some extent; 4 — to a high extent; 5 — to the fullest extent. </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165"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noProof/>
        </w:rPr>
      </w:pPr>
      <w:r>
        <w:rPr>
          <w:rFonts w:cs="Times New Roman"/>
          <w:noProof/>
        </w:rPr>
        <w:t>Extent to which ISA</w:t>
      </w:r>
      <w:r>
        <w:rPr>
          <w:rFonts w:cs="Times New Roman"/>
          <w:noProof/>
          <w:vertAlign w:val="superscript"/>
        </w:rPr>
        <w:t>2</w:t>
      </w:r>
      <w:r>
        <w:rPr>
          <w:rFonts w:cs="Times New Roman"/>
          <w:noProof/>
        </w:rPr>
        <w:t xml:space="preserve"> solutions achieved the programme's expected results (average score of answers, number of respondents)</w:t>
      </w:r>
    </w:p>
    <w:p>
      <w:pPr>
        <w:pStyle w:val="VISUAL"/>
        <w:rPr>
          <w:rFonts w:cs="Times New Roman"/>
          <w:noProof/>
        </w:rPr>
      </w:pPr>
      <w:r>
        <w:rPr>
          <w:rFonts w:cs="Times New Roman"/>
          <w:noProof/>
          <w:lang w:eastAsia="en-GB"/>
        </w:rPr>
        <w:drawing>
          <wp:inline distT="0" distB="0" distL="0" distR="0">
            <wp:extent cx="5472430" cy="5844696"/>
            <wp:effectExtent l="0" t="0" r="0" b="3810"/>
            <wp:docPr id="30" name="Chart 3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DD5208B-3634-4F82-A7D4-420A567DD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Notes"/>
        <w:rPr>
          <w:rFonts w:cs="Times New Roman"/>
          <w:noProof/>
        </w:rPr>
      </w:pPr>
      <w:r>
        <w:rPr>
          <w:rFonts w:cs="Times New Roman"/>
          <w:noProof/>
        </w:rPr>
        <w:t xml:space="preserve">Score: 1 — not at all; 2 — to a limited extent; 3 — to some extent; 4 — to a high extent; 5 — to the fullest extent. </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167" w:history="1">
        <w:r>
          <w:rPr>
            <w:rStyle w:val="Hyperlink"/>
            <w:rFonts w:cs="Times New Roman"/>
            <w:i/>
            <w:noProof/>
            <w:sz w:val="20"/>
            <w:szCs w:val="20"/>
            <w:lang w:val="en-GB"/>
          </w:rPr>
          <w:t>CEPS final study</w:t>
        </w:r>
      </w:hyperlink>
    </w:p>
    <w:p>
      <w:pPr>
        <w:pStyle w:val="caption2"/>
        <w:rPr>
          <w:rFonts w:cs="Times New Roman"/>
          <w:noProof/>
        </w:rPr>
      </w:pPr>
      <w:r>
        <w:rPr>
          <w:rFonts w:cs="Times New Roman"/>
          <w:noProof/>
        </w:rPr>
        <w:t>Extent to which the following external factors contribute to the performance of ISA</w:t>
      </w:r>
      <w:r>
        <w:rPr>
          <w:rFonts w:cs="Times New Roman"/>
          <w:noProof/>
          <w:vertAlign w:val="superscript"/>
        </w:rPr>
        <w:t>2</w:t>
      </w:r>
      <w:r>
        <w:rPr>
          <w:rFonts w:cs="Times New Roman"/>
          <w:noProof/>
        </w:rPr>
        <w:t xml:space="preserve"> (average score of answers, number of respondents)</w:t>
      </w:r>
    </w:p>
    <w:p>
      <w:pPr>
        <w:pStyle w:val="VISUAL"/>
        <w:rPr>
          <w:rFonts w:cs="Times New Roman"/>
          <w:noProof/>
        </w:rPr>
      </w:pPr>
      <w:r>
        <w:rPr>
          <w:rFonts w:cs="Times New Roman"/>
          <w:noProof/>
          <w:lang w:eastAsia="en-GB"/>
        </w:rPr>
        <w:drawing>
          <wp:inline distT="0" distB="0" distL="0" distR="0">
            <wp:extent cx="5731510" cy="2921000"/>
            <wp:effectExtent l="0" t="0" r="2540" b="0"/>
            <wp:docPr id="31" name="Chart 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3D7E4FE-0148-4C59-8EB0-15E945DB7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Style w:val="Hyperlink"/>
          <w:rFonts w:cs="Times New Roman"/>
          <w:i/>
          <w:noProof/>
          <w:sz w:val="20"/>
          <w:szCs w:val="20"/>
          <w:lang w:val="en-GB"/>
        </w:rPr>
      </w:pPr>
      <w:r>
        <w:rPr>
          <w:rFonts w:cs="Times New Roman"/>
          <w:i/>
          <w:noProof/>
          <w:sz w:val="20"/>
          <w:szCs w:val="20"/>
          <w:lang w:val="en-GB"/>
        </w:rPr>
        <w:t xml:space="preserve">Source: </w:t>
      </w:r>
      <w:hyperlink r:id="rId169" w:history="1">
        <w:r>
          <w:rPr>
            <w:rStyle w:val="Hyperlink"/>
            <w:rFonts w:cs="Times New Roman"/>
            <w:i/>
            <w:noProof/>
            <w:sz w:val="20"/>
            <w:szCs w:val="20"/>
            <w:lang w:val="en-GB"/>
          </w:rPr>
          <w:t>CEPS final study</w:t>
        </w:r>
      </w:hyperlink>
    </w:p>
    <w:p>
      <w:pPr>
        <w:spacing w:line="240" w:lineRule="auto"/>
        <w:jc w:val="both"/>
        <w:rPr>
          <w:rFonts w:cs="Times New Roman"/>
          <w:i/>
          <w:noProof/>
          <w:sz w:val="20"/>
          <w:szCs w:val="20"/>
          <w:lang w:val="en-GB"/>
        </w:rPr>
      </w:pPr>
    </w:p>
    <w:p>
      <w:pPr>
        <w:pStyle w:val="caption2"/>
        <w:rPr>
          <w:rFonts w:cs="Times New Roman"/>
          <w:noProof/>
        </w:rPr>
      </w:pPr>
      <w:r>
        <w:rPr>
          <w:rFonts w:cs="Times New Roman"/>
          <w:noProof/>
        </w:rPr>
        <w:t>Extent to which the following external factors jeopardise the performance of ISA</w:t>
      </w:r>
      <w:r>
        <w:rPr>
          <w:rFonts w:cs="Times New Roman"/>
          <w:noProof/>
          <w:vertAlign w:val="superscript"/>
        </w:rPr>
        <w:t>2</w:t>
      </w:r>
      <w:r>
        <w:rPr>
          <w:rFonts w:cs="Times New Roman"/>
          <w:noProof/>
        </w:rPr>
        <w:t xml:space="preserve"> (average score of answers, number of respondents)</w:t>
      </w:r>
    </w:p>
    <w:p>
      <w:pPr>
        <w:pStyle w:val="VISUAL"/>
        <w:rPr>
          <w:rFonts w:cs="Times New Roman"/>
          <w:noProof/>
        </w:rPr>
      </w:pPr>
      <w:r>
        <w:rPr>
          <w:rFonts w:cs="Times New Roman"/>
          <w:noProof/>
          <w:lang w:eastAsia="en-GB"/>
        </w:rPr>
        <w:drawing>
          <wp:inline distT="0" distB="0" distL="0" distR="0">
            <wp:extent cx="5731510" cy="2940050"/>
            <wp:effectExtent l="0" t="0" r="2540" b="0"/>
            <wp:docPr id="32" name="Chart 3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518CDF6-B318-4F05-92E7-9B7BBBCB8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Style w:val="Hyperlink"/>
          <w:rFonts w:cs="Times New Roman"/>
          <w:i/>
          <w:noProof/>
          <w:sz w:val="20"/>
          <w:szCs w:val="20"/>
          <w:lang w:val="en-GB"/>
        </w:rPr>
      </w:pPr>
      <w:r>
        <w:rPr>
          <w:rFonts w:cs="Times New Roman"/>
          <w:i/>
          <w:noProof/>
          <w:sz w:val="20"/>
          <w:szCs w:val="20"/>
          <w:lang w:val="en-GB"/>
        </w:rPr>
        <w:t xml:space="preserve">Source: </w:t>
      </w:r>
      <w:hyperlink r:id="rId171" w:history="1">
        <w:r>
          <w:rPr>
            <w:rStyle w:val="Hyperlink"/>
            <w:rFonts w:cs="Times New Roman"/>
            <w:i/>
            <w:noProof/>
            <w:sz w:val="20"/>
            <w:szCs w:val="20"/>
            <w:lang w:val="en-GB"/>
          </w:rPr>
          <w:t>CEPS final study</w:t>
        </w:r>
      </w:hyperlink>
      <w:r>
        <w:rPr>
          <w:rStyle w:val="Hyperlink"/>
          <w:rFonts w:cs="Times New Roman"/>
          <w:i/>
          <w:noProof/>
          <w:sz w:val="20"/>
          <w:szCs w:val="20"/>
          <w:lang w:val="en-GB"/>
        </w:rPr>
        <w:br w:type="page"/>
      </w:r>
    </w:p>
    <w:p>
      <w:pPr>
        <w:shd w:val="clear" w:color="auto" w:fill="C6D9F1" w:themeFill="text2" w:themeFillTint="33"/>
        <w:jc w:val="both"/>
        <w:rPr>
          <w:rFonts w:cs="Times New Roman"/>
          <w:b/>
          <w:iCs/>
          <w:noProof/>
          <w:szCs w:val="24"/>
          <w:lang w:val="en-GB"/>
        </w:rPr>
      </w:pPr>
      <w:r>
        <w:rPr>
          <w:rFonts w:cs="Times New Roman"/>
          <w:b/>
          <w:iCs/>
          <w:noProof/>
          <w:szCs w:val="24"/>
          <w:lang w:val="en-GB"/>
        </w:rPr>
        <w:t>Efficiency</w:t>
      </w:r>
    </w:p>
    <w:p>
      <w:pPr>
        <w:pStyle w:val="caption2"/>
        <w:rPr>
          <w:rFonts w:cs="Times New Roman"/>
          <w:noProof/>
        </w:rPr>
      </w:pPr>
      <w:r>
        <w:rPr>
          <w:rFonts w:cs="Times New Roman"/>
          <w:noProof/>
        </w:rPr>
        <w:t>Extent to which the action selection process is fit-for-purpose (number of respondents by stakeholder category)</w:t>
      </w:r>
    </w:p>
    <w:p>
      <w:pPr>
        <w:pStyle w:val="VISUAL"/>
        <w:rPr>
          <w:rFonts w:cs="Times New Roman"/>
          <w:noProof/>
        </w:rPr>
      </w:pPr>
      <w:r>
        <w:rPr>
          <w:rFonts w:cs="Times New Roman"/>
          <w:noProof/>
          <w:lang w:eastAsia="en-GB"/>
        </w:rPr>
        <w:drawing>
          <wp:inline distT="0" distB="0" distL="0" distR="0">
            <wp:extent cx="4794250" cy="2749550"/>
            <wp:effectExtent l="0" t="0" r="6350" b="0"/>
            <wp:docPr id="164" name="Chart 16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900-000071B83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173"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noProof/>
        </w:rPr>
      </w:pPr>
      <w:r>
        <w:rPr>
          <w:rFonts w:cs="Times New Roman"/>
          <w:noProof/>
        </w:rPr>
        <w:t>Distribution of the number of days needed to prepare and submit a proposal for an ISA</w:t>
      </w:r>
      <w:r>
        <w:rPr>
          <w:rFonts w:cs="Times New Roman"/>
          <w:noProof/>
          <w:vertAlign w:val="superscript"/>
        </w:rPr>
        <w:t>2</w:t>
      </w:r>
      <w:r>
        <w:rPr>
          <w:rFonts w:cs="Times New Roman"/>
          <w:noProof/>
        </w:rPr>
        <w:t xml:space="preserve"> action (number of respondents)</w:t>
      </w:r>
    </w:p>
    <w:p>
      <w:pPr>
        <w:pStyle w:val="VISUAL"/>
        <w:rPr>
          <w:rFonts w:cs="Times New Roman"/>
          <w:noProof/>
        </w:rPr>
      </w:pPr>
      <w:r>
        <w:rPr>
          <w:rFonts w:cs="Times New Roman"/>
          <w:noProof/>
          <w:lang w:eastAsia="en-GB"/>
        </w:rPr>
        <w:drawing>
          <wp:inline distT="0" distB="0" distL="0" distR="0">
            <wp:extent cx="5760720" cy="295338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Notes"/>
        <w:rPr>
          <w:rFonts w:cs="Times New Roman"/>
          <w:noProof/>
        </w:rPr>
      </w:pPr>
      <w:r>
        <w:rPr>
          <w:rFonts w:cs="Times New Roman"/>
          <w:noProof/>
        </w:rPr>
        <w:t>Note: The histogram was constructed using a bin size of 2 days, which grouped the answers of respondents in intervals of 2 days. This bin size was deemed most appropriate after reviewing the answers provided.</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175" w:history="1">
        <w:r>
          <w:rPr>
            <w:rStyle w:val="Hyperlink"/>
            <w:rFonts w:cs="Times New Roman"/>
            <w:i/>
            <w:noProof/>
            <w:sz w:val="20"/>
            <w:szCs w:val="20"/>
            <w:lang w:val="en-GB"/>
          </w:rPr>
          <w:t>CEPS final study</w:t>
        </w:r>
      </w:hyperlink>
    </w:p>
    <w:p>
      <w:pPr>
        <w:pStyle w:val="VISUAL"/>
        <w:rPr>
          <w:rFonts w:cs="Times New Roman"/>
          <w:noProof/>
        </w:rPr>
      </w:pPr>
    </w:p>
    <w:p>
      <w:pPr>
        <w:pStyle w:val="VISUAL"/>
        <w:rPr>
          <w:rFonts w:cs="Times New Roman"/>
          <w:noProof/>
        </w:rPr>
      </w:pPr>
    </w:p>
    <w:p>
      <w:pPr>
        <w:pStyle w:val="caption2"/>
        <w:rPr>
          <w:rFonts w:cs="Times New Roman"/>
          <w:bCs/>
          <w:noProof/>
        </w:rPr>
      </w:pPr>
      <w:r>
        <w:rPr>
          <w:rFonts w:cs="Times New Roman"/>
          <w:noProof/>
        </w:rPr>
        <w:t>Earned value, actual costs and planned value sampled actions, by package (Q3 2018)</w:t>
      </w:r>
      <w:r>
        <w:rPr>
          <w:rStyle w:val="FootnoteReference"/>
          <w:noProof/>
        </w:rPr>
        <w:footnoteReference w:id="105"/>
      </w:r>
    </w:p>
    <w:p>
      <w:pPr>
        <w:pStyle w:val="VISUAL"/>
        <w:rPr>
          <w:rFonts w:cs="Times New Roman"/>
          <w:noProof/>
        </w:rPr>
      </w:pPr>
      <w:r>
        <w:rPr>
          <w:rFonts w:cs="Times New Roman"/>
          <w:noProof/>
          <w:lang w:eastAsia="en-GB"/>
        </w:rPr>
        <w:drawing>
          <wp:inline distT="0" distB="0" distL="0" distR="0">
            <wp:extent cx="5086350" cy="330986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088183" cy="3311060"/>
                    </a:xfrm>
                    <a:prstGeom prst="rect">
                      <a:avLst/>
                    </a:prstGeom>
                  </pic:spPr>
                </pic:pic>
              </a:graphicData>
            </a:graphic>
          </wp:inline>
        </w:drawing>
      </w:r>
    </w:p>
    <w:p>
      <w:pPr>
        <w:spacing w:line="240" w:lineRule="auto"/>
        <w:jc w:val="both"/>
        <w:rPr>
          <w:rStyle w:val="Hyperlink"/>
          <w:rFonts w:cs="Times New Roman"/>
          <w:i/>
          <w:noProof/>
          <w:sz w:val="20"/>
          <w:szCs w:val="20"/>
          <w:lang w:val="en-GB"/>
        </w:rPr>
      </w:pPr>
      <w:r>
        <w:rPr>
          <w:rFonts w:cs="Times New Roman"/>
          <w:i/>
          <w:noProof/>
          <w:sz w:val="20"/>
          <w:szCs w:val="20"/>
          <w:lang w:val="en-GB"/>
        </w:rPr>
        <w:t xml:space="preserve">Source: </w:t>
      </w:r>
      <w:hyperlink r:id="rId177" w:history="1">
        <w:r>
          <w:rPr>
            <w:rStyle w:val="Hyperlink"/>
            <w:rFonts w:cs="Times New Roman"/>
            <w:i/>
            <w:noProof/>
            <w:sz w:val="20"/>
            <w:szCs w:val="20"/>
            <w:lang w:val="en-GB"/>
          </w:rPr>
          <w:t>CEPS final study</w:t>
        </w:r>
      </w:hyperlink>
    </w:p>
    <w:p>
      <w:pPr>
        <w:spacing w:line="240" w:lineRule="auto"/>
        <w:jc w:val="both"/>
        <w:rPr>
          <w:rStyle w:val="Hyperlink"/>
          <w:rFonts w:cs="Times New Roman"/>
          <w:i/>
          <w:noProof/>
          <w:sz w:val="20"/>
          <w:szCs w:val="20"/>
          <w:lang w:val="en-GB"/>
        </w:rPr>
      </w:pPr>
    </w:p>
    <w:p>
      <w:pPr>
        <w:pStyle w:val="caption2"/>
        <w:rPr>
          <w:rFonts w:cs="Times New Roman"/>
          <w:noProof/>
        </w:rPr>
      </w:pPr>
      <w:r>
        <w:rPr>
          <w:rFonts w:cs="Times New Roman"/>
          <w:noProof/>
        </w:rPr>
        <w:t>Schedule performance indices of the sampled actions grouped by packages</w:t>
      </w:r>
    </w:p>
    <w:p>
      <w:pPr>
        <w:pStyle w:val="VISUAL"/>
        <w:rPr>
          <w:rFonts w:cs="Times New Roman"/>
          <w:noProof/>
        </w:rPr>
      </w:pPr>
      <w:r>
        <w:rPr>
          <w:rFonts w:cs="Times New Roman"/>
          <w:noProof/>
          <w:lang w:eastAsia="en-GB"/>
        </w:rPr>
        <w:drawing>
          <wp:inline distT="0" distB="0" distL="0" distR="0">
            <wp:extent cx="5731510" cy="3097332"/>
            <wp:effectExtent l="0" t="0" r="2540" b="8255"/>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pStyle w:val="VISUAL"/>
        <w:rPr>
          <w:rFonts w:cs="Times New Roman"/>
          <w:noProof/>
        </w:rPr>
      </w:pPr>
      <w:r>
        <w:rPr>
          <w:rFonts w:cs="Times New Roman"/>
          <w:noProof/>
          <w:lang w:eastAsia="en-GB"/>
        </w:rPr>
        <w:drawing>
          <wp:inline distT="0" distB="0" distL="0" distR="0">
            <wp:extent cx="5731510" cy="3684028"/>
            <wp:effectExtent l="0" t="0" r="2540" b="0"/>
            <wp:docPr id="3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180" w:history="1">
        <w:r>
          <w:rPr>
            <w:rStyle w:val="Hyperlink"/>
            <w:rFonts w:cs="Times New Roman"/>
            <w:i/>
            <w:noProof/>
            <w:sz w:val="20"/>
            <w:szCs w:val="20"/>
            <w:lang w:val="en-GB"/>
          </w:rPr>
          <w:t>CEPS final study</w:t>
        </w:r>
      </w:hyperlink>
    </w:p>
    <w:p>
      <w:pPr>
        <w:pStyle w:val="VISUAL"/>
        <w:rPr>
          <w:rFonts w:cs="Times New Roman"/>
          <w:noProof/>
        </w:rPr>
      </w:pPr>
      <w:r>
        <w:rPr>
          <w:rFonts w:cs="Times New Roman"/>
          <w:noProof/>
        </w:rPr>
        <w:br w:type="page"/>
      </w:r>
    </w:p>
    <w:p>
      <w:pPr>
        <w:shd w:val="clear" w:color="auto" w:fill="C6D9F1" w:themeFill="text2" w:themeFillTint="33"/>
        <w:jc w:val="both"/>
        <w:rPr>
          <w:rFonts w:cs="Times New Roman"/>
          <w:b/>
          <w:iCs/>
          <w:noProof/>
          <w:szCs w:val="24"/>
          <w:lang w:val="en-GB"/>
        </w:rPr>
      </w:pPr>
      <w:r>
        <w:rPr>
          <w:rFonts w:cs="Times New Roman"/>
          <w:b/>
          <w:iCs/>
          <w:noProof/>
          <w:szCs w:val="24"/>
          <w:lang w:val="en-GB"/>
        </w:rPr>
        <w:t>Coherence</w:t>
      </w:r>
    </w:p>
    <w:p>
      <w:pPr>
        <w:pStyle w:val="caption2"/>
        <w:rPr>
          <w:rFonts w:cs="Times New Roman"/>
          <w:noProof/>
        </w:rPr>
      </w:pPr>
      <w:r>
        <w:rPr>
          <w:rFonts w:cs="Times New Roman"/>
          <w:noProof/>
        </w:rPr>
        <w:t>Extent to which there are synergies / overlaps between ISA</w:t>
      </w:r>
      <w:r>
        <w:rPr>
          <w:rFonts w:cs="Times New Roman"/>
          <w:noProof/>
          <w:vertAlign w:val="superscript"/>
        </w:rPr>
        <w:t>2</w:t>
      </w:r>
      <w:r>
        <w:rPr>
          <w:rFonts w:cs="Times New Roman"/>
          <w:noProof/>
        </w:rPr>
        <w:t xml:space="preserve"> actions (average score of answers, number of respondents)</w:t>
      </w:r>
    </w:p>
    <w:p>
      <w:pPr>
        <w:pStyle w:val="VISUAL"/>
        <w:rPr>
          <w:rFonts w:cs="Times New Roman"/>
          <w:noProof/>
        </w:rPr>
      </w:pPr>
      <w:r>
        <w:rPr>
          <w:rFonts w:cs="Times New Roman"/>
          <w:noProof/>
          <w:lang w:eastAsia="en-GB"/>
        </w:rPr>
        <w:drawing>
          <wp:inline distT="0" distB="0" distL="0" distR="0">
            <wp:extent cx="5201920" cy="2114550"/>
            <wp:effectExtent l="0" t="0" r="0" b="0"/>
            <wp:docPr id="38" name="Chart 3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52533BC-A9F6-4E49-8CCE-CA60D482B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182"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noProof/>
        </w:rPr>
      </w:pPr>
      <w:r>
        <w:rPr>
          <w:rFonts w:cs="Times New Roman"/>
          <w:noProof/>
        </w:rPr>
        <w:t>Extent to which there are synergies / overlaps between ISA</w:t>
      </w:r>
      <w:r>
        <w:rPr>
          <w:rFonts w:cs="Times New Roman"/>
          <w:noProof/>
          <w:vertAlign w:val="superscript"/>
        </w:rPr>
        <w:t>2</w:t>
      </w:r>
      <w:r>
        <w:rPr>
          <w:rFonts w:cs="Times New Roman"/>
          <w:noProof/>
        </w:rPr>
        <w:t xml:space="preserve"> and other relevant EU programmes (average score of answers, number of respondents)</w:t>
      </w:r>
    </w:p>
    <w:p>
      <w:pPr>
        <w:pStyle w:val="VISUAL"/>
        <w:rPr>
          <w:rFonts w:cs="Times New Roman"/>
          <w:noProof/>
        </w:rPr>
      </w:pPr>
      <w:r>
        <w:rPr>
          <w:rFonts w:cs="Times New Roman"/>
          <w:noProof/>
          <w:lang w:eastAsia="en-GB"/>
        </w:rPr>
        <w:drawing>
          <wp:inline distT="0" distB="0" distL="0" distR="0">
            <wp:extent cx="5731510" cy="7743329"/>
            <wp:effectExtent l="0" t="0" r="2540" b="0"/>
            <wp:docPr id="39" name="Chart 3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C4136EF-49BB-4FF6-8C01-94CAB6BFB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spacing w:line="240" w:lineRule="auto"/>
        <w:jc w:val="both"/>
        <w:rPr>
          <w:rFonts w:cs="Times New Roman"/>
          <w:noProof/>
          <w:lang w:val="en-GB"/>
        </w:rPr>
      </w:pPr>
      <w:r>
        <w:rPr>
          <w:rFonts w:cs="Times New Roman"/>
          <w:i/>
          <w:noProof/>
          <w:sz w:val="20"/>
          <w:szCs w:val="20"/>
          <w:lang w:val="en-GB"/>
        </w:rPr>
        <w:t xml:space="preserve">Source: </w:t>
      </w:r>
      <w:hyperlink r:id="rId184" w:history="1">
        <w:r>
          <w:rPr>
            <w:rStyle w:val="Hyperlink"/>
            <w:rFonts w:cs="Times New Roman"/>
            <w:i/>
            <w:noProof/>
            <w:sz w:val="20"/>
            <w:szCs w:val="20"/>
            <w:lang w:val="en-GB"/>
          </w:rPr>
          <w:t>CEPS final study</w:t>
        </w:r>
      </w:hyperlink>
      <w:r>
        <w:rPr>
          <w:rFonts w:cs="Times New Roman"/>
          <w:noProof/>
          <w:lang w:val="en-GB"/>
        </w:rPr>
        <w:br w:type="page"/>
      </w:r>
    </w:p>
    <w:p>
      <w:pPr>
        <w:shd w:val="clear" w:color="auto" w:fill="C6D9F1" w:themeFill="text2" w:themeFillTint="33"/>
        <w:jc w:val="both"/>
        <w:rPr>
          <w:rFonts w:cs="Times New Roman"/>
          <w:b/>
          <w:iCs/>
          <w:noProof/>
          <w:szCs w:val="24"/>
          <w:lang w:val="en-GB"/>
        </w:rPr>
      </w:pPr>
      <w:r>
        <w:rPr>
          <w:rFonts w:cs="Times New Roman"/>
          <w:b/>
          <w:iCs/>
          <w:noProof/>
          <w:szCs w:val="24"/>
          <w:lang w:val="en-GB"/>
        </w:rPr>
        <w:t>EU added value</w:t>
      </w:r>
    </w:p>
    <w:p>
      <w:pPr>
        <w:pStyle w:val="caption2"/>
        <w:rPr>
          <w:rFonts w:cs="Times New Roman"/>
          <w:noProof/>
        </w:rPr>
      </w:pPr>
      <w:r>
        <w:rPr>
          <w:rFonts w:cs="Times New Roman"/>
          <w:noProof/>
        </w:rPr>
        <w:t>Extent to which national or sub-national interventions would be able to achieve the ISA</w:t>
      </w:r>
      <w:r>
        <w:rPr>
          <w:rFonts w:cs="Times New Roman"/>
          <w:noProof/>
          <w:vertAlign w:val="superscript"/>
        </w:rPr>
        <w:t xml:space="preserve">2 </w:t>
      </w:r>
      <w:r>
        <w:rPr>
          <w:rFonts w:cs="Times New Roman"/>
          <w:noProof/>
        </w:rPr>
        <w:t>objectives without the programme (average score of answers, number of respondents)</w:t>
      </w:r>
    </w:p>
    <w:p>
      <w:pPr>
        <w:pStyle w:val="VISUAL"/>
        <w:rPr>
          <w:rFonts w:cs="Times New Roman"/>
          <w:noProof/>
        </w:rPr>
      </w:pPr>
      <w:r>
        <w:rPr>
          <w:rFonts w:cs="Times New Roman"/>
          <w:noProof/>
          <w:lang w:eastAsia="en-GB"/>
        </w:rPr>
        <w:drawing>
          <wp:inline distT="0" distB="0" distL="0" distR="0">
            <wp:extent cx="5731510" cy="6250940"/>
            <wp:effectExtent l="0" t="0" r="2540" b="0"/>
            <wp:docPr id="40" name="Diagramm 1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86"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noProof/>
        </w:rPr>
      </w:pPr>
      <w:r>
        <w:rPr>
          <w:rFonts w:cs="Times New Roman"/>
          <w:noProof/>
        </w:rPr>
        <w:t>Ability of ISA</w:t>
      </w:r>
      <w:r>
        <w:rPr>
          <w:rFonts w:cs="Times New Roman"/>
          <w:noProof/>
          <w:vertAlign w:val="superscript"/>
        </w:rPr>
        <w:t>2</w:t>
      </w:r>
      <w:r>
        <w:rPr>
          <w:rFonts w:cs="Times New Roman"/>
          <w:noProof/>
        </w:rPr>
        <w:t xml:space="preserve"> to achieve the relevant objectives at a lower cost than comparable national or sub-national interventions (average score of answers, number of respondents)</w:t>
      </w:r>
    </w:p>
    <w:p>
      <w:pPr>
        <w:jc w:val="both"/>
        <w:rPr>
          <w:rFonts w:cs="Times New Roman"/>
          <w:noProof/>
        </w:rPr>
      </w:pPr>
      <w:r>
        <w:rPr>
          <w:rFonts w:cs="Times New Roman"/>
          <w:noProof/>
          <w:lang w:val="en-GB" w:eastAsia="en-GB"/>
        </w:rPr>
        <w:drawing>
          <wp:inline distT="0" distB="0" distL="0" distR="0">
            <wp:extent cx="5731510" cy="1966224"/>
            <wp:effectExtent l="0" t="0" r="2540" b="0"/>
            <wp:docPr id="41" name="Diagramm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Notes"/>
        <w:rPr>
          <w:rFonts w:cs="Times New Roman"/>
          <w:noProof/>
        </w:rPr>
      </w:pPr>
      <w:r>
        <w:rPr>
          <w:rFonts w:cs="Times New Roman"/>
          <w:noProof/>
        </w:rPr>
        <w:t>Score: 1 — definitely would not; 2 — probably would not; 3 — probably would; 4 — definitely would.</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88"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noProof/>
        </w:rPr>
      </w:pPr>
      <w:r>
        <w:rPr>
          <w:rFonts w:cs="Times New Roman"/>
          <w:noProof/>
        </w:rPr>
        <w:t>Extent to which ISA</w:t>
      </w:r>
      <w:r>
        <w:rPr>
          <w:rFonts w:cs="Times New Roman"/>
          <w:noProof/>
          <w:vertAlign w:val="superscript"/>
        </w:rPr>
        <w:t>2</w:t>
      </w:r>
      <w:r>
        <w:rPr>
          <w:rFonts w:cs="Times New Roman"/>
          <w:noProof/>
        </w:rPr>
        <w:t xml:space="preserve"> contributed to improving cross-border interoperability in the EU (average score of answers, number of respondents)</w:t>
      </w:r>
    </w:p>
    <w:p>
      <w:pPr>
        <w:pStyle w:val="VISUAL"/>
        <w:rPr>
          <w:rFonts w:cs="Times New Roman"/>
          <w:noProof/>
        </w:rPr>
      </w:pPr>
      <w:r>
        <w:rPr>
          <w:rFonts w:cs="Times New Roman"/>
          <w:noProof/>
          <w:lang w:eastAsia="en-GB"/>
        </w:rPr>
        <w:drawing>
          <wp:inline distT="0" distB="0" distL="0" distR="0">
            <wp:extent cx="5664200" cy="2127250"/>
            <wp:effectExtent l="0" t="0" r="0" b="63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90"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noProof/>
        </w:rPr>
      </w:pPr>
      <w:r>
        <w:rPr>
          <w:rFonts w:cs="Times New Roman"/>
          <w:noProof/>
        </w:rPr>
        <w:t>Extent to which ISA</w:t>
      </w:r>
      <w:r>
        <w:rPr>
          <w:rFonts w:cs="Times New Roman"/>
          <w:noProof/>
          <w:vertAlign w:val="superscript"/>
        </w:rPr>
        <w:t>2</w:t>
      </w:r>
      <w:r>
        <w:rPr>
          <w:rFonts w:cs="Times New Roman"/>
          <w:noProof/>
        </w:rPr>
        <w:t xml:space="preserve"> contributed to the advancement of common EU policies (average score of answers, number of respondents)</w:t>
      </w:r>
    </w:p>
    <w:p>
      <w:pPr>
        <w:pStyle w:val="VISUAL"/>
        <w:rPr>
          <w:rFonts w:cs="Times New Roman"/>
          <w:noProof/>
        </w:rPr>
      </w:pPr>
      <w:r>
        <w:rPr>
          <w:rFonts w:cs="Times New Roman"/>
          <w:noProof/>
          <w:lang w:eastAsia="en-GB"/>
        </w:rPr>
        <w:drawing>
          <wp:inline distT="0" distB="0" distL="0" distR="0">
            <wp:extent cx="5511800" cy="2070100"/>
            <wp:effectExtent l="0" t="0" r="0"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192" w:history="1">
        <w:r>
          <w:rPr>
            <w:rStyle w:val="Hyperlink"/>
            <w:rFonts w:cs="Times New Roman"/>
            <w:i/>
            <w:noProof/>
            <w:sz w:val="20"/>
            <w:szCs w:val="20"/>
            <w:lang w:val="en-GB"/>
          </w:rPr>
          <w:t>CEPS final study</w:t>
        </w:r>
      </w:hyperlink>
    </w:p>
    <w:p>
      <w:pPr>
        <w:pStyle w:val="VISUAL"/>
        <w:rPr>
          <w:rFonts w:cs="Times New Roman"/>
          <w:noProof/>
        </w:rPr>
      </w:pPr>
    </w:p>
    <w:p>
      <w:pPr>
        <w:pStyle w:val="VISUAL"/>
        <w:rPr>
          <w:rFonts w:cs="Times New Roman"/>
          <w:noProof/>
        </w:rPr>
      </w:pPr>
      <w:r>
        <w:rPr>
          <w:rFonts w:cs="Times New Roman"/>
          <w:noProof/>
        </w:rPr>
        <w:br w:type="page"/>
      </w:r>
    </w:p>
    <w:p>
      <w:pPr>
        <w:shd w:val="clear" w:color="auto" w:fill="C6D9F1" w:themeFill="text2" w:themeFillTint="33"/>
        <w:jc w:val="both"/>
        <w:rPr>
          <w:rFonts w:cs="Times New Roman"/>
          <w:b/>
          <w:iCs/>
          <w:noProof/>
          <w:szCs w:val="24"/>
          <w:lang w:val="en-GB"/>
        </w:rPr>
      </w:pPr>
      <w:r>
        <w:rPr>
          <w:rFonts w:cs="Times New Roman"/>
          <w:b/>
          <w:iCs/>
          <w:noProof/>
          <w:szCs w:val="24"/>
          <w:lang w:val="en-GB"/>
        </w:rPr>
        <w:t>Utility</w:t>
      </w:r>
    </w:p>
    <w:p>
      <w:pPr>
        <w:pStyle w:val="caption2"/>
        <w:rPr>
          <w:rFonts w:cs="Times New Roman"/>
          <w:noProof/>
        </w:rPr>
      </w:pPr>
      <w:r>
        <w:rPr>
          <w:rFonts w:cs="Times New Roman"/>
          <w:noProof/>
        </w:rPr>
        <w:t>Extent to which ISA</w:t>
      </w:r>
      <w:r>
        <w:rPr>
          <w:rFonts w:cs="Times New Roman"/>
          <w:noProof/>
          <w:vertAlign w:val="superscript"/>
        </w:rPr>
        <w:t>2</w:t>
      </w:r>
      <w:r>
        <w:rPr>
          <w:rFonts w:cs="Times New Roman"/>
          <w:noProof/>
        </w:rPr>
        <w:t xml:space="preserve"> solutions contributed to addressing the needs and problems originally covered by the programme: EU-level respondents (average score of answers, number of respondents)</w:t>
      </w:r>
      <w:r>
        <w:rPr>
          <w:rFonts w:cs="Times New Roman"/>
          <w:noProof/>
          <w:lang w:eastAsia="en-GB"/>
        </w:rPr>
        <w:drawing>
          <wp:inline distT="0" distB="0" distL="0" distR="0">
            <wp:extent cx="5588000" cy="22479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Style w:val="Hyperlink"/>
          <w:rFonts w:cs="Times New Roman"/>
          <w:i/>
          <w:noProof/>
          <w:sz w:val="20"/>
          <w:szCs w:val="20"/>
          <w:lang w:val="en-GB"/>
        </w:rPr>
      </w:pPr>
      <w:r>
        <w:rPr>
          <w:rFonts w:cs="Times New Roman"/>
          <w:i/>
          <w:noProof/>
          <w:sz w:val="20"/>
          <w:szCs w:val="20"/>
          <w:lang w:val="en-GB"/>
        </w:rPr>
        <w:t xml:space="preserve">Source: </w:t>
      </w:r>
      <w:hyperlink r:id="rId194" w:history="1">
        <w:r>
          <w:rPr>
            <w:rStyle w:val="Hyperlink"/>
            <w:rFonts w:cs="Times New Roman"/>
            <w:i/>
            <w:noProof/>
            <w:sz w:val="20"/>
            <w:szCs w:val="20"/>
            <w:lang w:val="en-GB"/>
          </w:rPr>
          <w:t>CEPS final study</w:t>
        </w:r>
      </w:hyperlink>
    </w:p>
    <w:p>
      <w:pPr>
        <w:jc w:val="both"/>
        <w:rPr>
          <w:rFonts w:cs="Times New Roman"/>
          <w:noProof/>
          <w:lang w:val="en-GB"/>
        </w:rPr>
      </w:pPr>
    </w:p>
    <w:p>
      <w:pPr>
        <w:pStyle w:val="caption2"/>
        <w:rPr>
          <w:rFonts w:cs="Times New Roman"/>
          <w:noProof/>
        </w:rPr>
      </w:pPr>
      <w:r>
        <w:rPr>
          <w:rFonts w:cs="Times New Roman"/>
          <w:noProof/>
        </w:rPr>
        <w:t>Extent to which ISA</w:t>
      </w:r>
      <w:r>
        <w:rPr>
          <w:rFonts w:cs="Times New Roman"/>
          <w:noProof/>
          <w:vertAlign w:val="superscript"/>
        </w:rPr>
        <w:t>2</w:t>
      </w:r>
      <w:r>
        <w:rPr>
          <w:rFonts w:cs="Times New Roman"/>
          <w:noProof/>
        </w:rPr>
        <w:t xml:space="preserve"> solutions contributed to addressing the needs and problem originally covered by the programme: respondents from the Member States (average score of answers, number of respondents)</w:t>
      </w:r>
    </w:p>
    <w:p>
      <w:pPr>
        <w:pStyle w:val="VISUAL"/>
        <w:rPr>
          <w:rFonts w:cs="Times New Roman"/>
          <w:noProof/>
        </w:rPr>
      </w:pPr>
      <w:r>
        <w:rPr>
          <w:rFonts w:cs="Times New Roman"/>
          <w:noProof/>
          <w:lang w:eastAsia="en-GB"/>
        </w:rPr>
        <w:drawing>
          <wp:inline distT="0" distB="0" distL="0" distR="0">
            <wp:extent cx="5549900" cy="17526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i/>
          <w:noProof/>
          <w:sz w:val="20"/>
          <w:szCs w:val="20"/>
          <w:lang w:val="en-GB"/>
        </w:rPr>
      </w:pPr>
      <w:r>
        <w:rPr>
          <w:rFonts w:cs="Times New Roman"/>
          <w:i/>
          <w:noProof/>
          <w:sz w:val="20"/>
          <w:szCs w:val="20"/>
          <w:lang w:val="en-GB"/>
        </w:rPr>
        <w:t xml:space="preserve">Source: </w:t>
      </w:r>
      <w:hyperlink r:id="rId196"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noProof/>
        </w:rPr>
      </w:pPr>
      <w:r>
        <w:rPr>
          <w:rFonts w:cs="Times New Roman"/>
          <w:noProof/>
        </w:rPr>
        <w:t>Extent to which ISA</w:t>
      </w:r>
      <w:r>
        <w:rPr>
          <w:rFonts w:cs="Times New Roman"/>
          <w:noProof/>
          <w:vertAlign w:val="superscript"/>
        </w:rPr>
        <w:t>2</w:t>
      </w:r>
      <w:r>
        <w:rPr>
          <w:rFonts w:cs="Times New Roman"/>
          <w:noProof/>
        </w:rPr>
        <w:t xml:space="preserve"> solutions contributed to addressing additional needs and problems identified by consulted stakeholders: EU-level respondents (average score of answers, number of respondents)</w:t>
      </w:r>
    </w:p>
    <w:p>
      <w:pPr>
        <w:pStyle w:val="VISUAL"/>
        <w:rPr>
          <w:rFonts w:cs="Times New Roman"/>
          <w:noProof/>
        </w:rPr>
      </w:pPr>
      <w:r>
        <w:rPr>
          <w:rFonts w:cs="Times New Roman"/>
          <w:noProof/>
          <w:lang w:eastAsia="en-GB"/>
        </w:rPr>
        <w:drawing>
          <wp:inline distT="0" distB="0" distL="0" distR="0">
            <wp:extent cx="5530850" cy="1955800"/>
            <wp:effectExtent l="0" t="0" r="0" b="63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Style w:val="Hyperlink"/>
          <w:rFonts w:cs="Times New Roman"/>
          <w:i/>
          <w:noProof/>
          <w:sz w:val="20"/>
          <w:szCs w:val="20"/>
          <w:lang w:val="en-GB"/>
        </w:rPr>
      </w:pPr>
      <w:r>
        <w:rPr>
          <w:rFonts w:cs="Times New Roman"/>
          <w:i/>
          <w:noProof/>
          <w:sz w:val="20"/>
          <w:szCs w:val="20"/>
          <w:lang w:val="en-GB"/>
        </w:rPr>
        <w:t xml:space="preserve">Source: </w:t>
      </w:r>
      <w:hyperlink r:id="rId198" w:history="1">
        <w:r>
          <w:rPr>
            <w:rStyle w:val="Hyperlink"/>
            <w:rFonts w:cs="Times New Roman"/>
            <w:i/>
            <w:noProof/>
            <w:sz w:val="20"/>
            <w:szCs w:val="20"/>
            <w:lang w:val="en-GB"/>
          </w:rPr>
          <w:t>CEPS final study</w:t>
        </w:r>
      </w:hyperlink>
    </w:p>
    <w:p>
      <w:pPr>
        <w:jc w:val="both"/>
        <w:rPr>
          <w:rFonts w:cs="Times New Roman"/>
          <w:noProof/>
          <w:lang w:val="en-GB"/>
        </w:rPr>
      </w:pPr>
    </w:p>
    <w:p>
      <w:pPr>
        <w:pStyle w:val="caption2"/>
        <w:rPr>
          <w:rFonts w:cs="Times New Roman"/>
          <w:noProof/>
        </w:rPr>
      </w:pPr>
      <w:r>
        <w:rPr>
          <w:rFonts w:cs="Times New Roman"/>
          <w:noProof/>
        </w:rPr>
        <w:t>Extent to which ISA</w:t>
      </w:r>
      <w:r>
        <w:rPr>
          <w:rFonts w:cs="Times New Roman"/>
          <w:noProof/>
          <w:vertAlign w:val="superscript"/>
        </w:rPr>
        <w:t>2</w:t>
      </w:r>
      <w:r>
        <w:rPr>
          <w:rFonts w:cs="Times New Roman"/>
          <w:noProof/>
        </w:rPr>
        <w:t xml:space="preserve"> solutions contributed to addressing additional needs and problems identified by consulted stakeholders: respondents from the Member States (average score of answers, number of respondents)</w:t>
      </w:r>
      <w:r>
        <w:rPr>
          <w:rFonts w:cs="Times New Roman"/>
          <w:noProof/>
          <w:lang w:eastAsia="en-GB"/>
        </w:rPr>
        <w:drawing>
          <wp:inline distT="0" distB="0" distL="0" distR="0">
            <wp:extent cx="5695950" cy="1917700"/>
            <wp:effectExtent l="0" t="0" r="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Style w:val="Hyperlink"/>
          <w:rFonts w:cs="Times New Roman"/>
          <w:i/>
          <w:noProof/>
          <w:sz w:val="20"/>
          <w:szCs w:val="20"/>
          <w:lang w:val="en-GB"/>
        </w:rPr>
      </w:pPr>
      <w:r>
        <w:rPr>
          <w:rFonts w:cs="Times New Roman"/>
          <w:i/>
          <w:noProof/>
          <w:sz w:val="20"/>
          <w:szCs w:val="20"/>
          <w:lang w:val="en-GB"/>
        </w:rPr>
        <w:t xml:space="preserve">Source: </w:t>
      </w:r>
      <w:hyperlink r:id="rId200" w:history="1">
        <w:r>
          <w:rPr>
            <w:rStyle w:val="Hyperlink"/>
            <w:rFonts w:cs="Times New Roman"/>
            <w:i/>
            <w:noProof/>
            <w:sz w:val="20"/>
            <w:szCs w:val="20"/>
            <w:lang w:val="en-GB"/>
          </w:rPr>
          <w:t>CEPS final study</w:t>
        </w:r>
      </w:hyperlink>
    </w:p>
    <w:p>
      <w:pPr>
        <w:pStyle w:val="caption2"/>
        <w:rPr>
          <w:rFonts w:cs="Times New Roman"/>
          <w:bCs/>
          <w:noProof/>
        </w:rPr>
      </w:pPr>
      <w:r>
        <w:rPr>
          <w:rFonts w:cs="Times New Roman"/>
          <w:bCs/>
          <w:noProof/>
        </w:rPr>
        <w:t>Extent to which ISA</w:t>
      </w:r>
      <w:r>
        <w:rPr>
          <w:rFonts w:cs="Times New Roman"/>
          <w:bCs/>
          <w:noProof/>
          <w:vertAlign w:val="superscript"/>
        </w:rPr>
        <w:t>2</w:t>
      </w:r>
      <w:r>
        <w:rPr>
          <w:rFonts w:cs="Times New Roman"/>
          <w:bCs/>
          <w:noProof/>
        </w:rPr>
        <w:t xml:space="preserve"> solutions are meeting user needs in the fields of cross-border and cross-sectoral interoperability of digital public services (average score of answers, number of respondents)</w:t>
      </w:r>
    </w:p>
    <w:p>
      <w:pPr>
        <w:pStyle w:val="VISUAL"/>
        <w:rPr>
          <w:rFonts w:cs="Times New Roman"/>
          <w:noProof/>
        </w:rPr>
      </w:pPr>
      <w:r>
        <w:rPr>
          <w:rFonts w:cs="Times New Roman"/>
          <w:noProof/>
          <w:lang w:eastAsia="en-GB"/>
        </w:rPr>
        <w:drawing>
          <wp:inline distT="0" distB="0" distL="0" distR="0">
            <wp:extent cx="5731510" cy="1600200"/>
            <wp:effectExtent l="0" t="0" r="2540" b="0"/>
            <wp:docPr id="51" name="Chart 5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202" w:history="1">
        <w:r>
          <w:rPr>
            <w:rStyle w:val="Hyperlink"/>
            <w:rFonts w:cs="Times New Roman"/>
            <w:i/>
            <w:noProof/>
            <w:sz w:val="20"/>
            <w:szCs w:val="20"/>
            <w:lang w:val="en-GB"/>
          </w:rPr>
          <w:t>CEPS final study</w:t>
        </w:r>
      </w:hyperlink>
    </w:p>
    <w:p>
      <w:pPr>
        <w:jc w:val="both"/>
        <w:rPr>
          <w:rFonts w:cs="Times New Roman"/>
          <w:noProof/>
          <w:lang w:val="en-GB"/>
        </w:rPr>
      </w:pPr>
    </w:p>
    <w:p>
      <w:pPr>
        <w:pStyle w:val="VISUAL"/>
        <w:rPr>
          <w:rFonts w:cs="Times New Roman"/>
          <w:noProof/>
        </w:rPr>
      </w:pPr>
      <w:r>
        <w:rPr>
          <w:rFonts w:cs="Times New Roman"/>
          <w:noProof/>
        </w:rPr>
        <w:br w:type="page"/>
      </w:r>
    </w:p>
    <w:p>
      <w:pPr>
        <w:shd w:val="clear" w:color="auto" w:fill="C6D9F1" w:themeFill="text2" w:themeFillTint="33"/>
        <w:jc w:val="both"/>
        <w:rPr>
          <w:rFonts w:cs="Times New Roman"/>
          <w:b/>
          <w:iCs/>
          <w:noProof/>
          <w:szCs w:val="24"/>
          <w:lang w:val="en-GB"/>
        </w:rPr>
      </w:pPr>
      <w:r>
        <w:rPr>
          <w:rFonts w:cs="Times New Roman"/>
          <w:b/>
          <w:iCs/>
          <w:noProof/>
          <w:szCs w:val="24"/>
          <w:lang w:val="en-GB"/>
        </w:rPr>
        <w:t>Sustainability</w:t>
      </w:r>
    </w:p>
    <w:p>
      <w:pPr>
        <w:pStyle w:val="caption2"/>
        <w:rPr>
          <w:rFonts w:cs="Times New Roman"/>
          <w:bCs/>
          <w:noProof/>
        </w:rPr>
      </w:pPr>
      <w:r>
        <w:rPr>
          <w:rFonts w:cs="Times New Roman"/>
          <w:bCs/>
          <w:noProof/>
        </w:rPr>
        <w:t>Likelihood that results achieved so far would last if funding for actions covered by the programme would not be available in the future (average score of answers, number of respondents)</w:t>
      </w:r>
    </w:p>
    <w:p>
      <w:pPr>
        <w:jc w:val="both"/>
        <w:rPr>
          <w:rFonts w:cs="Times New Roman"/>
          <w:noProof/>
        </w:rPr>
      </w:pPr>
      <w:r>
        <w:rPr>
          <w:rFonts w:cs="Times New Roman"/>
          <w:noProof/>
          <w:lang w:val="en-GB" w:eastAsia="en-GB"/>
        </w:rPr>
        <w:drawing>
          <wp:inline distT="0" distB="0" distL="0" distR="0">
            <wp:extent cx="5209540" cy="1679944"/>
            <wp:effectExtent l="0" t="0" r="0" b="0"/>
            <wp:docPr id="54" name="Diagramm 4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pStyle w:val="Notes"/>
        <w:rPr>
          <w:rFonts w:cs="Times New Roman"/>
          <w:noProof/>
        </w:rPr>
      </w:pPr>
      <w:r>
        <w:rPr>
          <w:rFonts w:cs="Times New Roman"/>
          <w:noProof/>
        </w:rPr>
        <w:t>Score: 1 — definitely would not; 2 — probably would not; 3 — probably would; 4 — definitely would.</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204"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bCs/>
          <w:noProof/>
        </w:rPr>
      </w:pPr>
      <w:r>
        <w:rPr>
          <w:rFonts w:cs="Times New Roman"/>
          <w:bCs/>
          <w:noProof/>
        </w:rPr>
        <w:t>Extent to which financial, technical and operational aspects would prevent ISA</w:t>
      </w:r>
      <w:r>
        <w:rPr>
          <w:rFonts w:cs="Times New Roman"/>
          <w:bCs/>
          <w:noProof/>
          <w:vertAlign w:val="superscript"/>
        </w:rPr>
        <w:t>2</w:t>
      </w:r>
      <w:r>
        <w:rPr>
          <w:rFonts w:cs="Times New Roman"/>
          <w:bCs/>
          <w:noProof/>
        </w:rPr>
        <w:t xml:space="preserve"> solutions from delivering their results if the programme was terminated and not replaced (average score of answers, number of respondents)</w:t>
      </w:r>
    </w:p>
    <w:p>
      <w:pPr>
        <w:pStyle w:val="VISUAL"/>
        <w:rPr>
          <w:rFonts w:cs="Times New Roman"/>
          <w:noProof/>
        </w:rPr>
      </w:pPr>
      <w:r>
        <w:rPr>
          <w:rFonts w:cs="Times New Roman"/>
          <w:noProof/>
          <w:lang w:eastAsia="en-GB"/>
        </w:rPr>
        <w:drawing>
          <wp:inline distT="0" distB="0" distL="0" distR="0">
            <wp:extent cx="5731510" cy="3975904"/>
            <wp:effectExtent l="0" t="0" r="2540" b="5715"/>
            <wp:docPr id="55" name="Diagramm 4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pStyle w:val="Notes"/>
        <w:rPr>
          <w:rFonts w:cs="Times New Roman"/>
          <w:noProof/>
        </w:rPr>
      </w:pPr>
      <w:r>
        <w:rPr>
          <w:rFonts w:cs="Times New Roman"/>
          <w:noProof/>
        </w:rPr>
        <w:t>Score: 1 — not at all; 2 — to a limited extent; 3 — to some extent; 4 — to a high extent; 5 — to the fullest extent.</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i/>
          <w:noProof/>
          <w:sz w:val="20"/>
          <w:szCs w:val="20"/>
          <w:lang w:val="en-GB"/>
        </w:rPr>
      </w:pPr>
      <w:r>
        <w:rPr>
          <w:rFonts w:cs="Times New Roman"/>
          <w:i/>
          <w:noProof/>
          <w:sz w:val="20"/>
          <w:szCs w:val="20"/>
          <w:lang w:val="en-GB"/>
        </w:rPr>
        <w:t xml:space="preserve">Source: </w:t>
      </w:r>
      <w:hyperlink r:id="rId206"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bCs/>
          <w:noProof/>
        </w:rPr>
      </w:pPr>
      <w:r>
        <w:rPr>
          <w:rFonts w:cs="Times New Roman"/>
          <w:bCs/>
          <w:noProof/>
        </w:rPr>
        <w:t>Likelihood that the ISA</w:t>
      </w:r>
      <w:r>
        <w:rPr>
          <w:rFonts w:cs="Times New Roman"/>
          <w:bCs/>
          <w:noProof/>
          <w:vertAlign w:val="superscript"/>
        </w:rPr>
        <w:t>2</w:t>
      </w:r>
      <w:r>
        <w:rPr>
          <w:rFonts w:cs="Times New Roman"/>
          <w:bCs/>
          <w:noProof/>
        </w:rPr>
        <w:t xml:space="preserve"> general objective would be jeopardised if the programme was terminated and not replaced (average score of answers, number of respondents)</w:t>
      </w:r>
    </w:p>
    <w:p>
      <w:pPr>
        <w:pStyle w:val="VISUAL"/>
        <w:rPr>
          <w:rFonts w:cs="Times New Roman"/>
          <w:noProof/>
        </w:rPr>
      </w:pPr>
      <w:r>
        <w:rPr>
          <w:rFonts w:cs="Times New Roman"/>
          <w:noProof/>
          <w:lang w:eastAsia="en-GB"/>
        </w:rPr>
        <w:drawing>
          <wp:inline distT="0" distB="0" distL="0" distR="0">
            <wp:extent cx="4927600" cy="1803400"/>
            <wp:effectExtent l="0" t="0" r="6350"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pStyle w:val="Notes"/>
        <w:rPr>
          <w:rFonts w:cs="Times New Roman"/>
          <w:noProof/>
        </w:rPr>
      </w:pPr>
      <w:r>
        <w:rPr>
          <w:rFonts w:cs="Times New Roman"/>
          <w:noProof/>
        </w:rPr>
        <w:t>Score: 1 — definitely would not; 2 — probably would not; 3 — probably would; 4 — definitely would.</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208" w:history="1">
        <w:r>
          <w:rPr>
            <w:rStyle w:val="Hyperlink"/>
            <w:rFonts w:cs="Times New Roman"/>
            <w:i/>
            <w:noProof/>
            <w:sz w:val="20"/>
            <w:szCs w:val="20"/>
            <w:lang w:val="en-GB"/>
          </w:rPr>
          <w:t>CEPS final study</w:t>
        </w:r>
      </w:hyperlink>
    </w:p>
    <w:p>
      <w:pPr>
        <w:pStyle w:val="VISUAL"/>
        <w:rPr>
          <w:rFonts w:cs="Times New Roman"/>
          <w:noProof/>
        </w:rPr>
      </w:pPr>
    </w:p>
    <w:p>
      <w:pPr>
        <w:pStyle w:val="caption2"/>
        <w:rPr>
          <w:rFonts w:cs="Times New Roman"/>
          <w:bCs/>
          <w:noProof/>
        </w:rPr>
      </w:pPr>
      <w:r>
        <w:rPr>
          <w:rFonts w:cs="Times New Roman"/>
          <w:bCs/>
          <w:noProof/>
        </w:rPr>
        <w:t>Likelihood that users would agree to pay a fee to continue accessing ISA</w:t>
      </w:r>
      <w:r>
        <w:rPr>
          <w:rFonts w:cs="Times New Roman"/>
          <w:bCs/>
          <w:noProof/>
          <w:vertAlign w:val="superscript"/>
        </w:rPr>
        <w:t>2</w:t>
      </w:r>
      <w:r>
        <w:rPr>
          <w:rFonts w:cs="Times New Roman"/>
          <w:bCs/>
          <w:noProof/>
        </w:rPr>
        <w:t xml:space="preserve"> solutions (average score of answers, number of respondents)</w:t>
      </w:r>
    </w:p>
    <w:p>
      <w:pPr>
        <w:pStyle w:val="VISUAL"/>
        <w:rPr>
          <w:rFonts w:cs="Times New Roman"/>
          <w:noProof/>
        </w:rPr>
      </w:pPr>
      <w:r>
        <w:rPr>
          <w:rFonts w:cs="Times New Roman"/>
          <w:noProof/>
          <w:lang w:eastAsia="en-GB"/>
        </w:rPr>
        <w:drawing>
          <wp:inline distT="0" distB="0" distL="0" distR="0">
            <wp:extent cx="4876800" cy="1593850"/>
            <wp:effectExtent l="0" t="0" r="0" b="635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Notes"/>
        <w:rPr>
          <w:rFonts w:cs="Times New Roman"/>
          <w:noProof/>
        </w:rPr>
      </w:pPr>
      <w:r>
        <w:rPr>
          <w:rFonts w:cs="Times New Roman"/>
          <w:noProof/>
        </w:rPr>
        <w:t>Score: 1 — definitely would not; 2 — probably would not; 3 — probably would; 4 — definitely would.</w:t>
      </w:r>
    </w:p>
    <w:p>
      <w:pPr>
        <w:pStyle w:val="Notes"/>
        <w:rPr>
          <w:rFonts w:cs="Times New Roman"/>
          <w:noProof/>
        </w:rPr>
      </w:pPr>
      <w:r>
        <w:rPr>
          <w:rFonts w:cs="Times New Roman"/>
          <w:noProof/>
        </w:rPr>
        <w:t>Note: Averages do not account for respondents answering ‘do not know/no opinion’ (DK/NO).</w:t>
      </w:r>
    </w:p>
    <w:p>
      <w:pPr>
        <w:jc w:val="both"/>
        <w:rPr>
          <w:rFonts w:cs="Times New Roman"/>
          <w:noProof/>
          <w:lang w:val="en-GB"/>
        </w:rPr>
      </w:pPr>
      <w:r>
        <w:rPr>
          <w:rFonts w:cs="Times New Roman"/>
          <w:i/>
          <w:noProof/>
          <w:sz w:val="20"/>
          <w:szCs w:val="20"/>
          <w:lang w:val="en-GB"/>
        </w:rPr>
        <w:t xml:space="preserve">Source: </w:t>
      </w:r>
      <w:hyperlink r:id="rId210" w:history="1">
        <w:r>
          <w:rPr>
            <w:rStyle w:val="Hyperlink"/>
            <w:rFonts w:cs="Times New Roman"/>
            <w:i/>
            <w:noProof/>
            <w:sz w:val="20"/>
            <w:szCs w:val="20"/>
            <w:lang w:val="en-GB"/>
          </w:rPr>
          <w:t>CEPS final study</w:t>
        </w:r>
      </w:hyperlink>
    </w:p>
    <w:p>
      <w:pPr>
        <w:pStyle w:val="VISUAL"/>
        <w:rPr>
          <w:rFonts w:cs="Times New Roman"/>
          <w:noProof/>
        </w:rPr>
        <w:sectPr>
          <w:headerReference w:type="even" r:id="rId211"/>
          <w:headerReference w:type="default" r:id="rId212"/>
          <w:footerReference w:type="even" r:id="rId213"/>
          <w:footerReference w:type="default" r:id="rId214"/>
          <w:headerReference w:type="first" r:id="rId215"/>
          <w:footerReference w:type="first" r:id="rId216"/>
          <w:pgSz w:w="11906" w:h="16838"/>
          <w:pgMar w:top="1020" w:right="1701" w:bottom="1020" w:left="1587" w:header="601" w:footer="1077" w:gutter="0"/>
          <w:cols w:space="720"/>
          <w:titlePg/>
        </w:sectPr>
      </w:pPr>
    </w:p>
    <w:p>
      <w:pPr>
        <w:pStyle w:val="AnnexTitle"/>
        <w:rPr>
          <w:noProof/>
        </w:rPr>
      </w:pPr>
      <w:bookmarkStart w:id="28" w:name="_Toc14708151"/>
      <w:r>
        <w:rPr>
          <w:noProof/>
        </w:rPr>
        <w:t xml:space="preserve">Annex </w:t>
      </w:r>
      <w:r>
        <w:rPr>
          <w:noProof/>
        </w:rPr>
        <w:fldChar w:fldCharType="begin"/>
      </w:r>
      <w:r>
        <w:rPr>
          <w:noProof/>
        </w:rPr>
        <w:instrText xml:space="preserve"> SEQ Annex \* ARABIC </w:instrText>
      </w:r>
      <w:r>
        <w:rPr>
          <w:noProof/>
        </w:rPr>
        <w:fldChar w:fldCharType="separate"/>
      </w:r>
      <w:r>
        <w:rPr>
          <w:noProof/>
        </w:rPr>
        <w:t>3</w:t>
      </w:r>
      <w:r>
        <w:rPr>
          <w:noProof/>
        </w:rPr>
        <w:fldChar w:fldCharType="end"/>
      </w:r>
      <w:r>
        <w:rPr>
          <w:noProof/>
        </w:rPr>
        <w:t>: Intervention Logic</w:t>
      </w:r>
      <w:bookmarkEnd w:id="28"/>
    </w:p>
    <w:p>
      <w:pPr>
        <w:jc w:val="both"/>
        <w:rPr>
          <w:rFonts w:cs="Times New Roman"/>
          <w:noProof/>
          <w:lang w:val="en-GB"/>
        </w:rPr>
      </w:pPr>
      <w:r>
        <w:rPr>
          <w:rFonts w:cs="Times New Roman"/>
          <w:noProof/>
          <w:lang w:val="en-GB"/>
        </w:rPr>
        <w:t>This Annex presents the ISA</w:t>
      </w:r>
      <w:r>
        <w:rPr>
          <w:rFonts w:cs="Times New Roman"/>
          <w:noProof/>
          <w:vertAlign w:val="superscript"/>
          <w:lang w:val="en-GB"/>
        </w:rPr>
        <w:t>2</w:t>
      </w:r>
      <w:r>
        <w:rPr>
          <w:rFonts w:cs="Times New Roman"/>
          <w:noProof/>
          <w:lang w:val="en-GB"/>
        </w:rPr>
        <w:t xml:space="preserve"> programme’s intervention logic, which comprises the rationale, the inputs, and the expected results of the intervention. This step aims to clarify the logic followed by EU decision-makers when establishing the ISA</w:t>
      </w:r>
      <w:r>
        <w:rPr>
          <w:rFonts w:cs="Times New Roman"/>
          <w:noProof/>
          <w:vertAlign w:val="superscript"/>
          <w:lang w:val="en-GB"/>
        </w:rPr>
        <w:t>2</w:t>
      </w:r>
      <w:r>
        <w:rPr>
          <w:rFonts w:cs="Times New Roman"/>
          <w:noProof/>
          <w:lang w:val="en-GB"/>
        </w:rPr>
        <w:t xml:space="preserve"> programme. The intervention logic includes a detailed description of the </w:t>
      </w:r>
      <w:r>
        <w:rPr>
          <w:rFonts w:cs="Times New Roman"/>
          <w:b/>
          <w:noProof/>
          <w:lang w:val="en-GB"/>
        </w:rPr>
        <w:t>needs, problems and drivers</w:t>
      </w:r>
      <w:r>
        <w:rPr>
          <w:rFonts w:cs="Times New Roman"/>
          <w:noProof/>
          <w:lang w:val="en-GB"/>
        </w:rPr>
        <w:t xml:space="preserve"> that the programme intended to address, the programme’s </w:t>
      </w:r>
      <w:r>
        <w:rPr>
          <w:rFonts w:cs="Times New Roman"/>
          <w:b/>
          <w:noProof/>
          <w:lang w:val="en-GB"/>
        </w:rPr>
        <w:t xml:space="preserve">objectives </w:t>
      </w:r>
      <w:r>
        <w:rPr>
          <w:rFonts w:cs="Times New Roman"/>
          <w:noProof/>
          <w:lang w:val="en-GB"/>
        </w:rPr>
        <w:t xml:space="preserve">(with a three-level hierarchy: global, specific and operational objectives), its </w:t>
      </w:r>
      <w:r>
        <w:rPr>
          <w:rFonts w:cs="Times New Roman"/>
          <w:b/>
          <w:noProof/>
          <w:lang w:val="en-GB"/>
        </w:rPr>
        <w:t>inputs/activities,</w:t>
      </w:r>
      <w:r>
        <w:rPr>
          <w:rFonts w:cs="Times New Roman"/>
          <w:noProof/>
          <w:lang w:val="en-GB"/>
        </w:rPr>
        <w:t xml:space="preserve"> its </w:t>
      </w:r>
      <w:r>
        <w:rPr>
          <w:rFonts w:cs="Times New Roman"/>
          <w:b/>
          <w:noProof/>
          <w:lang w:val="en-GB"/>
        </w:rPr>
        <w:t>expected outputs</w:t>
      </w:r>
      <w:r>
        <w:rPr>
          <w:rFonts w:cs="Times New Roman"/>
          <w:noProof/>
          <w:lang w:val="en-GB"/>
        </w:rPr>
        <w:t xml:space="preserve">, </w:t>
      </w:r>
      <w:r>
        <w:rPr>
          <w:rFonts w:cs="Times New Roman"/>
          <w:b/>
          <w:noProof/>
          <w:lang w:val="en-GB"/>
        </w:rPr>
        <w:t xml:space="preserve">outcomes </w:t>
      </w:r>
      <w:r>
        <w:rPr>
          <w:rFonts w:cs="Times New Roman"/>
          <w:noProof/>
          <w:lang w:val="en-GB"/>
        </w:rPr>
        <w:t xml:space="preserve">and </w:t>
      </w:r>
      <w:r>
        <w:rPr>
          <w:rFonts w:cs="Times New Roman"/>
          <w:b/>
          <w:noProof/>
          <w:lang w:val="en-GB"/>
        </w:rPr>
        <w:t>impacts</w:t>
      </w:r>
      <w:r>
        <w:rPr>
          <w:rFonts w:cs="Times New Roman"/>
          <w:noProof/>
          <w:lang w:val="en-GB"/>
        </w:rPr>
        <w:t xml:space="preserve"> and the logical links between these components. </w:t>
      </w:r>
    </w:p>
    <w:p>
      <w:pPr>
        <w:pStyle w:val="ListParagraph"/>
        <w:numPr>
          <w:ilvl w:val="0"/>
          <w:numId w:val="24"/>
        </w:numPr>
        <w:spacing w:before="200" w:after="200" w:line="276" w:lineRule="auto"/>
        <w:ind w:left="357" w:hanging="357"/>
        <w:rPr>
          <w:b/>
          <w:smallCaps/>
          <w:noProof/>
        </w:rPr>
      </w:pPr>
      <w:r>
        <w:rPr>
          <w:b/>
          <w:smallCaps/>
          <w:noProof/>
        </w:rPr>
        <w:t>The rationale for the intervention: ‘why did the EU establish the ISA² programme?’</w:t>
      </w:r>
    </w:p>
    <w:p>
      <w:pPr>
        <w:jc w:val="both"/>
        <w:rPr>
          <w:rFonts w:cs="Times New Roman"/>
          <w:noProof/>
          <w:lang w:val="en-GB"/>
        </w:rPr>
      </w:pPr>
      <w:r>
        <w:rPr>
          <w:rFonts w:cs="Times New Roman"/>
          <w:noProof/>
          <w:lang w:val="en-GB"/>
        </w:rPr>
        <w:t xml:space="preserve">The intervention logic starts by understanding </w:t>
      </w:r>
      <w:r>
        <w:rPr>
          <w:rFonts w:cs="Times New Roman"/>
          <w:b/>
          <w:noProof/>
          <w:lang w:val="en-GB"/>
        </w:rPr>
        <w:t>the rationale of the ISA² programme</w:t>
      </w:r>
      <w:r>
        <w:rPr>
          <w:rFonts w:cs="Times New Roman"/>
          <w:noProof/>
          <w:lang w:val="en-GB"/>
        </w:rPr>
        <w:t>. At this stage, the reasons for its establishment were identified by (i) assessing the needs and problems that it aims to address; and (ii) outlining EU decision-makers’ main objectives.</w:t>
      </w:r>
    </w:p>
    <w:p>
      <w:pPr>
        <w:rPr>
          <w:rFonts w:cs="Times New Roman"/>
          <w:b/>
          <w:iCs/>
          <w:noProof/>
          <w:u w:val="single"/>
          <w:lang w:val="en-GB"/>
        </w:rPr>
      </w:pPr>
      <w:r>
        <w:rPr>
          <w:rFonts w:cs="Times New Roman"/>
          <w:b/>
          <w:iCs/>
          <w:noProof/>
          <w:u w:val="single"/>
          <w:lang w:val="en-GB"/>
        </w:rPr>
        <w:t>Needs and problems</w:t>
      </w:r>
      <w:r>
        <w:rPr>
          <w:rFonts w:cs="Times New Roman"/>
          <w:b/>
          <w:iCs/>
          <w:noProof/>
          <w:u w:val="single"/>
          <w:vertAlign w:val="superscript"/>
        </w:rPr>
        <w:footnoteReference w:id="106"/>
      </w:r>
    </w:p>
    <w:p>
      <w:pPr>
        <w:jc w:val="both"/>
        <w:rPr>
          <w:rFonts w:cs="Times New Roman"/>
          <w:noProof/>
          <w:lang w:val="en-GB"/>
        </w:rPr>
      </w:pPr>
      <w:r>
        <w:rPr>
          <w:rFonts w:cs="Times New Roman"/>
          <w:noProof/>
          <w:lang w:val="en-GB"/>
        </w:rPr>
        <w:t>As highlighted by the Digital Agenda for Europe</w:t>
      </w:r>
      <w:r>
        <w:rPr>
          <w:rFonts w:cs="Times New Roman"/>
          <w:noProof/>
          <w:vertAlign w:val="superscript"/>
        </w:rPr>
        <w:footnoteReference w:id="107"/>
      </w:r>
      <w:r>
        <w:rPr>
          <w:rFonts w:cs="Times New Roman"/>
          <w:noProof/>
          <w:lang w:val="en-GB"/>
        </w:rPr>
        <w:t>, interoperability plays a key role in maximising the social and economic potential of ICT. Against this background, three specific</w:t>
      </w:r>
      <w:r>
        <w:rPr>
          <w:rFonts w:cs="Times New Roman"/>
          <w:b/>
          <w:noProof/>
          <w:lang w:val="en-GB"/>
        </w:rPr>
        <w:t xml:space="preserve"> needs</w:t>
      </w:r>
      <w:r>
        <w:rPr>
          <w:rFonts w:cs="Times New Roman"/>
          <w:noProof/>
          <w:lang w:val="en-GB"/>
        </w:rPr>
        <w:t xml:space="preserve"> can be identified in the field of interoperability</w:t>
      </w:r>
      <w:r>
        <w:rPr>
          <w:rFonts w:cs="Times New Roman"/>
          <w:noProof/>
          <w:vertAlign w:val="superscript"/>
        </w:rPr>
        <w:footnoteReference w:id="108"/>
      </w:r>
      <w:r>
        <w:rPr>
          <w:rFonts w:cs="Times New Roman"/>
          <w:noProof/>
          <w:lang w:val="en-GB"/>
        </w:rPr>
        <w:t xml:space="preserve">: </w:t>
      </w:r>
    </w:p>
    <w:p>
      <w:pPr>
        <w:pStyle w:val="Firstlevellist"/>
        <w:rPr>
          <w:noProof/>
        </w:rPr>
      </w:pPr>
      <w:r>
        <w:rPr>
          <w:noProof/>
        </w:rPr>
        <w:t>the need for cooperation among public administrations to enable more efficient and secure public services;</w:t>
      </w:r>
    </w:p>
    <w:p>
      <w:pPr>
        <w:pStyle w:val="Firstlevellist"/>
        <w:rPr>
          <w:noProof/>
        </w:rPr>
      </w:pPr>
      <w:r>
        <w:rPr>
          <w:noProof/>
        </w:rPr>
        <w:t>the need for exchanging information among public administrations to fulfil legal requirements or political commitments; and</w:t>
      </w:r>
    </w:p>
    <w:p>
      <w:pPr>
        <w:pStyle w:val="FirstlevellistLAST"/>
        <w:rPr>
          <w:noProof/>
        </w:rPr>
      </w:pPr>
      <w:r>
        <w:rPr>
          <w:noProof/>
        </w:rPr>
        <w:t xml:space="preserve">the need for sharing and reusing information among public administrations to increase administrative efficiency and cut red tape for businesses and the public. </w:t>
      </w:r>
    </w:p>
    <w:p>
      <w:pPr>
        <w:jc w:val="both"/>
        <w:rPr>
          <w:rFonts w:cs="Times New Roman"/>
          <w:i/>
          <w:noProof/>
          <w:lang w:val="en-GB"/>
        </w:rPr>
      </w:pPr>
      <w:r>
        <w:rPr>
          <w:rFonts w:cs="Times New Roman"/>
          <w:noProof/>
          <w:lang w:val="en-GB"/>
        </w:rPr>
        <w:t>The Digital Single Market (DMS) Strategy</w:t>
      </w:r>
      <w:r>
        <w:rPr>
          <w:rFonts w:cs="Times New Roman"/>
          <w:noProof/>
          <w:vertAlign w:val="superscript"/>
        </w:rPr>
        <w:footnoteReference w:id="109"/>
      </w:r>
      <w:r>
        <w:rPr>
          <w:rFonts w:cs="Times New Roman"/>
          <w:noProof/>
          <w:lang w:val="en-GB"/>
        </w:rPr>
        <w:t xml:space="preserve"> confirmed these needs later on by recognising interoperability as a prerequisite for ‘</w:t>
      </w:r>
      <w:r>
        <w:rPr>
          <w:rFonts w:cs="Times New Roman"/>
          <w:i/>
          <w:noProof/>
          <w:lang w:val="en-GB"/>
        </w:rPr>
        <w:t xml:space="preserve">efficient connections across borders, between communities and between public services and authorities’. </w:t>
      </w:r>
    </w:p>
    <w:p>
      <w:pPr>
        <w:jc w:val="both"/>
        <w:rPr>
          <w:rFonts w:cs="Times New Roman"/>
          <w:noProof/>
          <w:lang w:val="en-GB"/>
        </w:rPr>
      </w:pPr>
      <w:r>
        <w:rPr>
          <w:rFonts w:cs="Times New Roman"/>
          <w:noProof/>
          <w:lang w:val="en-GB"/>
        </w:rPr>
        <w:t xml:space="preserve">When it comes to </w:t>
      </w:r>
      <w:r>
        <w:rPr>
          <w:rFonts w:cs="Times New Roman"/>
          <w:b/>
          <w:noProof/>
          <w:lang w:val="en-GB"/>
        </w:rPr>
        <w:t>problems</w:t>
      </w:r>
      <w:r>
        <w:rPr>
          <w:rFonts w:cs="Times New Roman"/>
          <w:noProof/>
          <w:lang w:val="en-GB"/>
        </w:rPr>
        <w:t>, the ISA</w:t>
      </w:r>
      <w:r>
        <w:rPr>
          <w:rFonts w:cs="Times New Roman"/>
          <w:noProof/>
          <w:vertAlign w:val="superscript"/>
          <w:lang w:val="en-GB"/>
        </w:rPr>
        <w:t>2</w:t>
      </w:r>
      <w:r>
        <w:rPr>
          <w:rFonts w:cs="Times New Roman"/>
          <w:noProof/>
          <w:lang w:val="en-GB"/>
        </w:rPr>
        <w:t xml:space="preserve"> proposal</w:t>
      </w:r>
      <w:r>
        <w:rPr>
          <w:rFonts w:cs="Times New Roman"/>
          <w:noProof/>
          <w:vertAlign w:val="superscript"/>
        </w:rPr>
        <w:footnoteReference w:id="110"/>
      </w:r>
      <w:r>
        <w:rPr>
          <w:rFonts w:cs="Times New Roman"/>
          <w:noProof/>
          <w:lang w:val="en-GB"/>
        </w:rPr>
        <w:t xml:space="preserve"> outlines one main issue, namely the existence of administrative e-barriers leading to a fragmented market.</w:t>
      </w:r>
    </w:p>
    <w:p>
      <w:pPr>
        <w:jc w:val="both"/>
        <w:rPr>
          <w:rFonts w:cs="Times New Roman"/>
          <w:noProof/>
          <w:lang w:val="en-GB"/>
        </w:rPr>
      </w:pPr>
      <w:r>
        <w:rPr>
          <w:rFonts w:cs="Times New Roman"/>
          <w:noProof/>
          <w:lang w:val="en-GB"/>
        </w:rPr>
        <w:t xml:space="preserve">This particular problem is affected by the following </w:t>
      </w:r>
      <w:r>
        <w:rPr>
          <w:rFonts w:cs="Times New Roman"/>
          <w:b/>
          <w:noProof/>
          <w:lang w:val="en-GB"/>
        </w:rPr>
        <w:t xml:space="preserve">eight drivers </w:t>
      </w:r>
      <w:r>
        <w:rPr>
          <w:rFonts w:cs="Times New Roman"/>
          <w:noProof/>
          <w:lang w:val="en-GB"/>
        </w:rPr>
        <w:t>(as pointed out in a series of documents including the ISA</w:t>
      </w:r>
      <w:r>
        <w:rPr>
          <w:rFonts w:cs="Times New Roman"/>
          <w:noProof/>
          <w:vertAlign w:val="superscript"/>
          <w:lang w:val="en-GB"/>
        </w:rPr>
        <w:t>2</w:t>
      </w:r>
      <w:r>
        <w:rPr>
          <w:rFonts w:cs="Times New Roman"/>
          <w:noProof/>
          <w:lang w:val="en-GB"/>
        </w:rPr>
        <w:t xml:space="preserve"> proposal, the Final Evaluation of the ISA programme</w:t>
      </w:r>
      <w:r>
        <w:rPr>
          <w:rFonts w:cs="Times New Roman"/>
          <w:noProof/>
          <w:vertAlign w:val="superscript"/>
        </w:rPr>
        <w:footnoteReference w:id="111"/>
      </w:r>
      <w:r>
        <w:rPr>
          <w:rFonts w:cs="Times New Roman"/>
          <w:noProof/>
          <w:lang w:val="en-GB"/>
        </w:rPr>
        <w:t>, the Commission Staff Working Document accompanying the DSM Strategy</w:t>
      </w:r>
      <w:r>
        <w:rPr>
          <w:rFonts w:cs="Times New Roman"/>
          <w:noProof/>
          <w:vertAlign w:val="superscript"/>
        </w:rPr>
        <w:footnoteReference w:id="112"/>
      </w:r>
      <w:r>
        <w:rPr>
          <w:rFonts w:cs="Times New Roman"/>
          <w:noProof/>
          <w:lang w:val="en-GB"/>
        </w:rPr>
        <w:t>):</w:t>
      </w:r>
    </w:p>
    <w:p>
      <w:pPr>
        <w:pStyle w:val="Firstlevellist"/>
        <w:rPr>
          <w:noProof/>
        </w:rPr>
      </w:pPr>
      <w:r>
        <w:rPr>
          <w:noProof/>
        </w:rPr>
        <w:t>limited governance and coordination among Commission DGs and between Member States and the Commission on programmes and initiatives related to interoperability;</w:t>
      </w:r>
    </w:p>
    <w:p>
      <w:pPr>
        <w:pStyle w:val="Firstlevellist"/>
        <w:rPr>
          <w:noProof/>
        </w:rPr>
      </w:pPr>
      <w:r>
        <w:rPr>
          <w:noProof/>
        </w:rPr>
        <w:t>limited cooperation among dispersed institutional entities;</w:t>
      </w:r>
    </w:p>
    <w:p>
      <w:pPr>
        <w:pStyle w:val="Firstlevellist"/>
        <w:rPr>
          <w:noProof/>
        </w:rPr>
      </w:pPr>
      <w:r>
        <w:rPr>
          <w:noProof/>
        </w:rPr>
        <w:t>resource constraints in relation to interoperability;</w:t>
      </w:r>
    </w:p>
    <w:p>
      <w:pPr>
        <w:pStyle w:val="Firstlevellist"/>
        <w:rPr>
          <w:noProof/>
        </w:rPr>
      </w:pPr>
      <w:r>
        <w:rPr>
          <w:noProof/>
        </w:rPr>
        <w:t>internal organisational complexity;</w:t>
      </w:r>
    </w:p>
    <w:p>
      <w:pPr>
        <w:pStyle w:val="Firstlevellist"/>
        <w:rPr>
          <w:noProof/>
        </w:rPr>
      </w:pPr>
      <w:r>
        <w:rPr>
          <w:noProof/>
        </w:rPr>
        <w:t>limited ICT architectures and tools enabling interoperability;</w:t>
      </w:r>
    </w:p>
    <w:p>
      <w:pPr>
        <w:pStyle w:val="Firstlevellist"/>
        <w:rPr>
          <w:noProof/>
        </w:rPr>
      </w:pPr>
      <w:r>
        <w:rPr>
          <w:noProof/>
        </w:rPr>
        <w:t>limited availability of common frameworks, guidelines, and specifications;</w:t>
      </w:r>
    </w:p>
    <w:p>
      <w:pPr>
        <w:pStyle w:val="Firstlevellist"/>
        <w:rPr>
          <w:noProof/>
        </w:rPr>
      </w:pPr>
      <w:r>
        <w:rPr>
          <w:noProof/>
        </w:rPr>
        <w:t>limited awareness of the benefits of interoperability; and</w:t>
      </w:r>
    </w:p>
    <w:p>
      <w:pPr>
        <w:pStyle w:val="FirstlevellistLAST"/>
        <w:rPr>
          <w:noProof/>
        </w:rPr>
      </w:pPr>
      <w:r>
        <w:rPr>
          <w:noProof/>
        </w:rPr>
        <w:t>cultural fragmentation.</w:t>
      </w:r>
      <w:r>
        <w:rPr>
          <w:noProof/>
          <w:vertAlign w:val="superscript"/>
        </w:rPr>
        <w:footnoteReference w:id="113"/>
      </w:r>
    </w:p>
    <w:p>
      <w:pPr>
        <w:jc w:val="both"/>
        <w:rPr>
          <w:rFonts w:cs="Times New Roman"/>
          <w:b/>
          <w:iCs/>
          <w:noProof/>
          <w:u w:val="single"/>
        </w:rPr>
      </w:pPr>
      <w:r>
        <w:rPr>
          <w:rFonts w:cs="Times New Roman"/>
          <w:b/>
          <w:iCs/>
          <w:noProof/>
          <w:u w:val="single"/>
        </w:rPr>
        <w:t>Objectives</w:t>
      </w:r>
    </w:p>
    <w:p>
      <w:pPr>
        <w:jc w:val="both"/>
        <w:rPr>
          <w:rFonts w:cs="Times New Roman"/>
          <w:noProof/>
          <w:lang w:val="en-GB"/>
        </w:rPr>
      </w:pPr>
      <w:r>
        <w:rPr>
          <w:rFonts w:cs="Times New Roman"/>
          <w:noProof/>
          <w:lang w:val="en-GB"/>
        </w:rPr>
        <w:t>The ISA</w:t>
      </w:r>
      <w:r>
        <w:rPr>
          <w:rFonts w:cs="Times New Roman"/>
          <w:noProof/>
          <w:vertAlign w:val="superscript"/>
          <w:lang w:val="en-GB"/>
        </w:rPr>
        <w:t xml:space="preserve">2 </w:t>
      </w:r>
      <w:r>
        <w:rPr>
          <w:rFonts w:cs="Times New Roman"/>
          <w:noProof/>
          <w:lang w:val="en-GB"/>
        </w:rPr>
        <w:t xml:space="preserve">objectives are presented in a </w:t>
      </w:r>
      <w:r>
        <w:rPr>
          <w:rFonts w:cs="Times New Roman"/>
          <w:b/>
          <w:iCs/>
          <w:noProof/>
          <w:lang w:val="en-GB"/>
        </w:rPr>
        <w:t>hierarchical order</w:t>
      </w:r>
      <w:r>
        <w:rPr>
          <w:rFonts w:cs="Times New Roman"/>
          <w:noProof/>
          <w:lang w:val="en-GB"/>
        </w:rPr>
        <w:t xml:space="preserve">, where the achievement of lower level objectives is normally a pre-condition for attaining the higher-level ones. </w:t>
      </w:r>
    </w:p>
    <w:p>
      <w:pPr>
        <w:jc w:val="both"/>
        <w:rPr>
          <w:rFonts w:cs="Times New Roman"/>
          <w:b/>
          <w:iCs/>
          <w:noProof/>
          <w:u w:val="single"/>
          <w:lang w:val="en-GB"/>
        </w:rPr>
      </w:pPr>
      <w:r>
        <w:rPr>
          <w:rFonts w:cs="Times New Roman"/>
          <w:noProof/>
          <w:lang w:val="en-GB"/>
        </w:rPr>
        <w:t>In this respect, the following three levels of objectives have been identified:</w:t>
      </w:r>
    </w:p>
    <w:p>
      <w:pPr>
        <w:pStyle w:val="Firstlevellist"/>
        <w:rPr>
          <w:noProof/>
        </w:rPr>
      </w:pPr>
      <w:r>
        <w:rPr>
          <w:b/>
          <w:noProof/>
        </w:rPr>
        <w:t>general objectives</w:t>
      </w:r>
      <w:r>
        <w:rPr>
          <w:noProof/>
        </w:rPr>
        <w:t xml:space="preserve">, concerning the overall rationale of an intervention and its longer-term and more diffuse effects, i.e. pertaining to the questions: ‘why has the ISA² programme been set up?’ and ‘what ultimate goal was it expected to contribute to?’; </w:t>
      </w:r>
    </w:p>
    <w:p>
      <w:pPr>
        <w:pStyle w:val="Firstlevellist"/>
        <w:rPr>
          <w:noProof/>
        </w:rPr>
      </w:pPr>
      <w:r>
        <w:rPr>
          <w:b/>
          <w:noProof/>
        </w:rPr>
        <w:t>specific objectives</w:t>
      </w:r>
      <w:r>
        <w:rPr>
          <w:noProof/>
        </w:rPr>
        <w:t>, providing a basis for assessing an intervention in relation to the short-term or medium-term results that occur at the level of direct beneficiaries/recipients of the intervention; and</w:t>
      </w:r>
    </w:p>
    <w:p>
      <w:pPr>
        <w:pStyle w:val="FirstlevellistLAST"/>
        <w:rPr>
          <w:noProof/>
        </w:rPr>
      </w:pPr>
      <w:r>
        <w:rPr>
          <w:b/>
          <w:noProof/>
        </w:rPr>
        <w:t>operational objectives</w:t>
      </w:r>
      <w:r>
        <w:rPr>
          <w:noProof/>
        </w:rPr>
        <w:t>, providing a basis for assessing an intervention in relation to its direct outputs, i.e. ‘what is directly produced/supplied during the ISA² programme’s implementation?’.</w:t>
      </w:r>
    </w:p>
    <w:p>
      <w:pPr>
        <w:jc w:val="both"/>
        <w:rPr>
          <w:rFonts w:cs="Times New Roman"/>
          <w:noProof/>
          <w:lang w:val="en-GB"/>
        </w:rPr>
      </w:pPr>
      <w:r>
        <w:rPr>
          <w:rFonts w:cs="Times New Roman"/>
          <w:noProof/>
          <w:lang w:val="en-GB"/>
        </w:rPr>
        <w:t>In concrete terms, the ISA</w:t>
      </w:r>
      <w:r>
        <w:rPr>
          <w:rFonts w:cs="Times New Roman"/>
          <w:noProof/>
          <w:vertAlign w:val="superscript"/>
          <w:lang w:val="en-GB"/>
        </w:rPr>
        <w:t>2</w:t>
      </w:r>
      <w:r>
        <w:rPr>
          <w:rFonts w:cs="Times New Roman"/>
          <w:noProof/>
          <w:lang w:val="en-GB"/>
        </w:rPr>
        <w:t xml:space="preserve"> programme’s objectives are the following:</w:t>
      </w:r>
    </w:p>
    <w:p>
      <w:pPr>
        <w:jc w:val="both"/>
        <w:rPr>
          <w:rFonts w:cs="Times New Roman"/>
          <w:b/>
          <w:noProof/>
        </w:rPr>
      </w:pPr>
      <w:r>
        <w:rPr>
          <w:rFonts w:cs="Times New Roman"/>
          <w:b/>
          <w:noProof/>
        </w:rPr>
        <w:t xml:space="preserve">General objective: </w:t>
      </w:r>
    </w:p>
    <w:p>
      <w:pPr>
        <w:pStyle w:val="FirstlevellistLAST"/>
        <w:rPr>
          <w:noProof/>
        </w:rPr>
      </w:pPr>
      <w:r>
        <w:rPr>
          <w:noProof/>
        </w:rPr>
        <w:t>To promote the ICT-based modernisation of the public sector in Europe and to facilitate addressing the needs of businesses and citizens via improved interoperability of European public administrations, thus contributing to the completion of the Digital Single Market and, ultimately, to economic growth and the global competitiveness of the European Union.</w:t>
      </w:r>
      <w:r>
        <w:rPr>
          <w:noProof/>
          <w:vertAlign w:val="superscript"/>
        </w:rPr>
        <w:footnoteReference w:id="114"/>
      </w:r>
      <w:r>
        <w:rPr>
          <w:noProof/>
        </w:rPr>
        <w:t xml:space="preserve"> </w:t>
      </w:r>
    </w:p>
    <w:p>
      <w:pPr>
        <w:jc w:val="both"/>
        <w:rPr>
          <w:rFonts w:cs="Times New Roman"/>
          <w:noProof/>
        </w:rPr>
      </w:pPr>
      <w:r>
        <w:rPr>
          <w:rFonts w:cs="Times New Roman"/>
          <w:b/>
          <w:noProof/>
          <w:lang w:val="en-GB"/>
        </w:rPr>
        <w:t>Specific objectives</w:t>
      </w:r>
      <w:r>
        <w:rPr>
          <w:rFonts w:cs="Times New Roman"/>
          <w:noProof/>
        </w:rPr>
        <w:t>:</w:t>
      </w:r>
    </w:p>
    <w:p>
      <w:pPr>
        <w:pStyle w:val="Firstlevellist"/>
        <w:rPr>
          <w:noProof/>
        </w:rPr>
      </w:pPr>
      <w:r>
        <w:rPr>
          <w:b/>
          <w:noProof/>
        </w:rPr>
        <w:t xml:space="preserve">Specific objective #1: </w:t>
      </w:r>
      <w:r>
        <w:rPr>
          <w:noProof/>
        </w:rPr>
        <w:t>To develop, maintain and promote a holistic approach to interoperability in the Union in order to eliminate fragmentation in the interoperability landscape in the Union (Article 1(a) of the ISA</w:t>
      </w:r>
      <w:r>
        <w:rPr>
          <w:noProof/>
          <w:vertAlign w:val="superscript"/>
        </w:rPr>
        <w:t xml:space="preserve">2 </w:t>
      </w:r>
      <w:r>
        <w:rPr>
          <w:noProof/>
        </w:rPr>
        <w:t>Decision).</w:t>
      </w:r>
    </w:p>
    <w:p>
      <w:pPr>
        <w:pStyle w:val="Firstlevellist"/>
        <w:rPr>
          <w:noProof/>
        </w:rPr>
      </w:pPr>
      <w:r>
        <w:rPr>
          <w:b/>
          <w:noProof/>
        </w:rPr>
        <w:t xml:space="preserve">Specific objective #2: </w:t>
      </w:r>
      <w:r>
        <w:rPr>
          <w:noProof/>
        </w:rPr>
        <w:t>To facilitate efficient and effective electronic cross-border or cross-sector interaction between European public administrations on the one hand, and between European public administrations and businesses and citizens on the other (Article 1(b) of the ISA</w:t>
      </w:r>
      <w:r>
        <w:rPr>
          <w:noProof/>
          <w:vertAlign w:val="superscript"/>
        </w:rPr>
        <w:t xml:space="preserve">2 </w:t>
      </w:r>
      <w:r>
        <w:rPr>
          <w:noProof/>
        </w:rPr>
        <w:t>Decision).</w:t>
      </w:r>
    </w:p>
    <w:p>
      <w:pPr>
        <w:pStyle w:val="Firstlevellist"/>
        <w:rPr>
          <w:noProof/>
        </w:rPr>
      </w:pPr>
      <w:r>
        <w:rPr>
          <w:b/>
          <w:noProof/>
        </w:rPr>
        <w:t xml:space="preserve">Specific objective #3: </w:t>
      </w:r>
      <w:r>
        <w:rPr>
          <w:noProof/>
        </w:rPr>
        <w:t>To contribute to the development of a more effective, simplified and user-friendly e-administration at the national, regional and local levels of public administration (Article 1(b) of the ISA</w:t>
      </w:r>
      <w:r>
        <w:rPr>
          <w:noProof/>
          <w:vertAlign w:val="superscript"/>
        </w:rPr>
        <w:t xml:space="preserve">2 </w:t>
      </w:r>
      <w:r>
        <w:rPr>
          <w:noProof/>
        </w:rPr>
        <w:t>Decision).</w:t>
      </w:r>
    </w:p>
    <w:p>
      <w:pPr>
        <w:pStyle w:val="Firstlevellist"/>
        <w:rPr>
          <w:noProof/>
        </w:rPr>
      </w:pPr>
      <w:r>
        <w:rPr>
          <w:b/>
          <w:noProof/>
        </w:rPr>
        <w:t xml:space="preserve">Specific objective #4: </w:t>
      </w:r>
      <w:r>
        <w:rPr>
          <w:noProof/>
        </w:rPr>
        <w:t>To identify, create and operate interoperability solutions supporting the implementation of Union policies and activities (Article 1(c) of the ISA</w:t>
      </w:r>
      <w:r>
        <w:rPr>
          <w:noProof/>
          <w:vertAlign w:val="superscript"/>
        </w:rPr>
        <w:t xml:space="preserve">2 </w:t>
      </w:r>
      <w:r>
        <w:rPr>
          <w:noProof/>
        </w:rPr>
        <w:t>Decision).</w:t>
      </w:r>
    </w:p>
    <w:p>
      <w:pPr>
        <w:pStyle w:val="FirstlevellistLAST"/>
        <w:rPr>
          <w:b/>
          <w:noProof/>
        </w:rPr>
      </w:pPr>
      <w:r>
        <w:rPr>
          <w:b/>
          <w:noProof/>
        </w:rPr>
        <w:t xml:space="preserve">Specific objective #5: </w:t>
      </w:r>
      <w:r>
        <w:rPr>
          <w:noProof/>
        </w:rPr>
        <w:t>To facilitate the reuse of interoperability solutions by European public administrations (Article 1(d) of the ISA</w:t>
      </w:r>
      <w:r>
        <w:rPr>
          <w:noProof/>
          <w:vertAlign w:val="superscript"/>
        </w:rPr>
        <w:t xml:space="preserve">2 </w:t>
      </w:r>
      <w:r>
        <w:rPr>
          <w:noProof/>
        </w:rPr>
        <w:t>Decision).</w:t>
      </w:r>
      <w:r>
        <w:rPr>
          <w:b/>
          <w:noProof/>
        </w:rPr>
        <w:br w:type="page"/>
      </w:r>
    </w:p>
    <w:p>
      <w:pPr>
        <w:jc w:val="both"/>
        <w:rPr>
          <w:rFonts w:cs="Times New Roman"/>
          <w:b/>
          <w:noProof/>
          <w:lang w:val="en-GB"/>
        </w:rPr>
      </w:pPr>
      <w:r>
        <w:rPr>
          <w:rFonts w:cs="Times New Roman"/>
          <w:b/>
          <w:noProof/>
          <w:lang w:val="en-GB"/>
        </w:rPr>
        <w:t>Operational objectives:</w:t>
      </w:r>
    </w:p>
    <w:p>
      <w:pPr>
        <w:jc w:val="both"/>
        <w:rPr>
          <w:rFonts w:cs="Times New Roman"/>
          <w:noProof/>
          <w:lang w:val="en-GB"/>
        </w:rPr>
      </w:pPr>
      <w:r>
        <w:rPr>
          <w:rFonts w:cs="Times New Roman"/>
          <w:noProof/>
          <w:lang w:val="en-GB"/>
        </w:rPr>
        <w:t>The</w:t>
      </w:r>
      <w:r>
        <w:rPr>
          <w:rFonts w:cs="Times New Roman"/>
          <w:b/>
          <w:noProof/>
          <w:lang w:val="en-GB"/>
        </w:rPr>
        <w:t xml:space="preserve"> operational objectives</w:t>
      </w:r>
      <w:r>
        <w:rPr>
          <w:rFonts w:cs="Times New Roman"/>
          <w:noProof/>
          <w:lang w:val="en-GB"/>
        </w:rPr>
        <w:t xml:space="preserve"> of the ISA</w:t>
      </w:r>
      <w:r>
        <w:rPr>
          <w:rFonts w:cs="Times New Roman"/>
          <w:noProof/>
          <w:vertAlign w:val="superscript"/>
          <w:lang w:val="en-GB"/>
        </w:rPr>
        <w:t>2</w:t>
      </w:r>
      <w:r>
        <w:rPr>
          <w:rFonts w:cs="Times New Roman"/>
          <w:noProof/>
          <w:lang w:val="en-GB"/>
        </w:rPr>
        <w:t xml:space="preserve"> programme are listed in the first column of </w:t>
      </w:r>
      <w:r>
        <w:rPr>
          <w:rFonts w:cs="Times New Roman"/>
          <w:noProof/>
        </w:rPr>
        <w:fldChar w:fldCharType="begin"/>
      </w:r>
      <w:r>
        <w:rPr>
          <w:rFonts w:cs="Times New Roman"/>
          <w:noProof/>
          <w:lang w:val="en-GB"/>
        </w:rPr>
        <w:instrText xml:space="preserve"> REF _Ref9329003 \h  \* MERGEFORMAT </w:instrText>
      </w:r>
      <w:r>
        <w:rPr>
          <w:rFonts w:cs="Times New Roman"/>
          <w:noProof/>
        </w:rPr>
      </w:r>
      <w:r>
        <w:rPr>
          <w:rFonts w:cs="Times New Roman"/>
          <w:noProof/>
        </w:rPr>
        <w:fldChar w:fldCharType="separate"/>
      </w:r>
      <w:r>
        <w:rPr>
          <w:rFonts w:cs="Times New Roman"/>
          <w:noProof/>
          <w:lang w:val="en-GB"/>
        </w:rPr>
        <w:t>Table 6</w:t>
      </w:r>
      <w:r>
        <w:rPr>
          <w:rFonts w:cs="Times New Roman"/>
          <w:noProof/>
        </w:rPr>
        <w:fldChar w:fldCharType="end"/>
      </w:r>
      <w:r>
        <w:rPr>
          <w:rFonts w:cs="Times New Roman"/>
          <w:noProof/>
          <w:lang w:val="en-GB"/>
        </w:rPr>
        <w:t>. The additional columns are relevant for the programme’s expected results (see below for further details).</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6</w:t>
      </w:r>
      <w:r>
        <w:rPr>
          <w:rFonts w:cs="Times New Roman"/>
          <w:noProof/>
        </w:rPr>
        <w:fldChar w:fldCharType="end"/>
      </w:r>
      <w:r>
        <w:rPr>
          <w:rFonts w:cs="Times New Roman"/>
          <w:noProof/>
        </w:rPr>
        <w:t>: Overview of operational objectives and expected outputs of the ISA² programme</w:t>
      </w:r>
      <w:r>
        <w:rPr>
          <w:rFonts w:cs="Times New Roman"/>
          <w:noProof/>
          <w:vertAlign w:val="superscript"/>
        </w:rPr>
        <w:t xml:space="preserve"> </w:t>
      </w:r>
    </w:p>
    <w:tbl>
      <w:tblPr>
        <w:tblStyle w:val="ListTable4Accent1"/>
        <w:tblW w:w="5000" w:type="pct"/>
        <w:tblLayout w:type="fixed"/>
        <w:tblLook w:val="0420" w:firstRow="1" w:lastRow="0" w:firstColumn="0" w:lastColumn="0" w:noHBand="0" w:noVBand="1"/>
      </w:tblPr>
      <w:tblGrid>
        <w:gridCol w:w="2661"/>
        <w:gridCol w:w="3108"/>
        <w:gridCol w:w="3065"/>
      </w:tblGrid>
      <w:tr>
        <w:trPr>
          <w:cnfStyle w:val="100000000000" w:firstRow="1" w:lastRow="0" w:firstColumn="0" w:lastColumn="0" w:oddVBand="0" w:evenVBand="0" w:oddHBand="0" w:evenHBand="0" w:firstRowFirstColumn="0" w:firstRowLastColumn="0" w:lastRowFirstColumn="0" w:lastRowLastColumn="0"/>
          <w:trHeight w:val="445"/>
          <w:tblHeader/>
        </w:trPr>
        <w:tc>
          <w:tcPr>
            <w:tcW w:w="1506" w:type="pct"/>
            <w:hideMark/>
          </w:tcPr>
          <w:p>
            <w:pPr>
              <w:spacing w:before="20" w:after="20"/>
              <w:rPr>
                <w:rFonts w:cs="Times New Roman"/>
                <w:bCs w:val="0"/>
                <w:noProof/>
                <w:sz w:val="22"/>
                <w:lang w:val="en-GB"/>
              </w:rPr>
            </w:pPr>
            <w:r>
              <w:rPr>
                <w:rFonts w:cs="Times New Roman"/>
                <w:bCs w:val="0"/>
                <w:noProof/>
                <w:sz w:val="22"/>
                <w:lang w:val="en-GB"/>
              </w:rPr>
              <w:t>Operational objectives</w:t>
            </w:r>
          </w:p>
        </w:tc>
        <w:tc>
          <w:tcPr>
            <w:tcW w:w="1759" w:type="pct"/>
            <w:hideMark/>
          </w:tcPr>
          <w:p>
            <w:pPr>
              <w:spacing w:before="20" w:after="20"/>
              <w:rPr>
                <w:rFonts w:cs="Times New Roman"/>
                <w:bCs w:val="0"/>
                <w:noProof/>
                <w:sz w:val="22"/>
                <w:lang w:val="en-GB"/>
              </w:rPr>
            </w:pPr>
            <w:r>
              <w:rPr>
                <w:rFonts w:cs="Times New Roman"/>
                <w:bCs w:val="0"/>
                <w:noProof/>
                <w:sz w:val="22"/>
                <w:lang w:val="en-GB"/>
              </w:rPr>
              <w:t>Expected outputs</w:t>
            </w:r>
          </w:p>
        </w:tc>
        <w:tc>
          <w:tcPr>
            <w:tcW w:w="1735" w:type="pct"/>
            <w:hideMark/>
          </w:tcPr>
          <w:p>
            <w:pPr>
              <w:spacing w:before="20" w:after="20"/>
              <w:rPr>
                <w:rFonts w:cs="Times New Roman"/>
                <w:bCs w:val="0"/>
                <w:noProof/>
                <w:sz w:val="22"/>
                <w:lang w:val="en-GB"/>
              </w:rPr>
            </w:pPr>
            <w:r>
              <w:rPr>
                <w:rFonts w:cs="Times New Roman"/>
                <w:bCs w:val="0"/>
                <w:noProof/>
                <w:sz w:val="22"/>
                <w:lang w:val="en-GB"/>
              </w:rPr>
              <w:t>Performance indicators</w:t>
            </w:r>
          </w:p>
        </w:tc>
      </w:tr>
      <w:tr>
        <w:trPr>
          <w:cnfStyle w:val="000000100000" w:firstRow="0" w:lastRow="0" w:firstColumn="0" w:lastColumn="0" w:oddVBand="0" w:evenVBand="0" w:oddHBand="1" w:evenHBand="0" w:firstRowFirstColumn="0" w:firstRowLastColumn="0" w:lastRowFirstColumn="0" w:lastRowLastColumn="0"/>
          <w:trHeight w:val="2189"/>
        </w:trPr>
        <w:tc>
          <w:tcPr>
            <w:tcW w:w="1506" w:type="pct"/>
            <w:hideMark/>
          </w:tcPr>
          <w:p>
            <w:pPr>
              <w:spacing w:before="20" w:after="20"/>
              <w:rPr>
                <w:rFonts w:cs="Times New Roman"/>
                <w:noProof/>
                <w:sz w:val="22"/>
                <w:lang w:val="en-GB"/>
              </w:rPr>
            </w:pPr>
            <w:r>
              <w:rPr>
                <w:rFonts w:cs="Times New Roman"/>
                <w:noProof/>
                <w:sz w:val="22"/>
                <w:lang w:val="en-GB"/>
              </w:rPr>
              <w:t>Operational objective (1):</w:t>
            </w:r>
          </w:p>
          <w:p>
            <w:pPr>
              <w:spacing w:before="20" w:after="20"/>
              <w:rPr>
                <w:rFonts w:cs="Times New Roman"/>
                <w:noProof/>
                <w:sz w:val="22"/>
                <w:lang w:val="en-GB"/>
              </w:rPr>
            </w:pPr>
            <w:r>
              <w:rPr>
                <w:rFonts w:cs="Times New Roman"/>
                <w:noProof/>
                <w:sz w:val="22"/>
                <w:lang w:val="en-GB"/>
              </w:rPr>
              <w:t>To support and promote the assessment, improvement, operation and re-use of existing cross-border or cross-sector interoperability solutions and common frameworks (Article 3 (a)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7"/>
              </w:numPr>
              <w:spacing w:before="20" w:after="20"/>
              <w:rPr>
                <w:rFonts w:cs="Times New Roman"/>
                <w:noProof/>
                <w:sz w:val="22"/>
                <w:lang w:val="en-GB"/>
              </w:rPr>
            </w:pPr>
            <w:r>
              <w:rPr>
                <w:rFonts w:cs="Times New Roman"/>
                <w:noProof/>
                <w:sz w:val="22"/>
                <w:lang w:val="en-GB"/>
              </w:rPr>
              <w:t>Reuse of interoperable solutions and common frameworks</w:t>
            </w:r>
          </w:p>
          <w:p>
            <w:pPr>
              <w:numPr>
                <w:ilvl w:val="0"/>
                <w:numId w:val="7"/>
              </w:numPr>
              <w:spacing w:before="20" w:after="20"/>
              <w:rPr>
                <w:rFonts w:cs="Times New Roman"/>
                <w:noProof/>
                <w:sz w:val="22"/>
                <w:lang w:val="en-GB"/>
              </w:rPr>
            </w:pPr>
            <w:r>
              <w:rPr>
                <w:rFonts w:cs="Times New Roman"/>
                <w:noProof/>
                <w:sz w:val="22"/>
                <w:lang w:val="en-GB"/>
              </w:rPr>
              <w:t>Reuse of best practices</w:t>
            </w:r>
          </w:p>
          <w:p>
            <w:pPr>
              <w:numPr>
                <w:ilvl w:val="0"/>
                <w:numId w:val="7"/>
              </w:numPr>
              <w:spacing w:before="20" w:after="20"/>
              <w:rPr>
                <w:rFonts w:cs="Times New Roman"/>
                <w:noProof/>
                <w:sz w:val="22"/>
                <w:lang w:val="en-GB"/>
              </w:rPr>
            </w:pPr>
            <w:r>
              <w:rPr>
                <w:rFonts w:cs="Times New Roman"/>
                <w:noProof/>
                <w:sz w:val="22"/>
                <w:lang w:val="en-GB"/>
              </w:rPr>
              <w:t xml:space="preserve">Continuity in the delivery of interoperable solutions </w:t>
            </w:r>
          </w:p>
          <w:p>
            <w:pPr>
              <w:numPr>
                <w:ilvl w:val="0"/>
                <w:numId w:val="7"/>
              </w:numPr>
              <w:spacing w:before="20" w:after="20"/>
              <w:rPr>
                <w:rFonts w:cs="Times New Roman"/>
                <w:noProof/>
                <w:sz w:val="22"/>
                <w:lang w:val="en-GB"/>
              </w:rPr>
            </w:pPr>
            <w:r>
              <w:rPr>
                <w:rFonts w:cs="Times New Roman"/>
                <w:noProof/>
                <w:sz w:val="22"/>
                <w:lang w:val="en-GB"/>
              </w:rPr>
              <w:t>Professional delivery of a coherent portfolio of interoperable solutions and common frameworks for European public administrations</w:t>
            </w:r>
          </w:p>
          <w:p>
            <w:pPr>
              <w:numPr>
                <w:ilvl w:val="0"/>
                <w:numId w:val="7"/>
              </w:numPr>
              <w:spacing w:before="20" w:after="20"/>
              <w:rPr>
                <w:rFonts w:cs="Times New Roman"/>
                <w:noProof/>
                <w:sz w:val="22"/>
                <w:lang w:val="en-GB"/>
              </w:rPr>
            </w:pPr>
            <w:r>
              <w:rPr>
                <w:rFonts w:cs="Times New Roman"/>
                <w:noProof/>
                <w:sz w:val="22"/>
                <w:lang w:val="en-GB"/>
              </w:rPr>
              <w:t>Improved services and infrastructures</w:t>
            </w:r>
          </w:p>
          <w:p>
            <w:pPr>
              <w:numPr>
                <w:ilvl w:val="0"/>
                <w:numId w:val="7"/>
              </w:numPr>
              <w:spacing w:before="20" w:after="20"/>
              <w:rPr>
                <w:rFonts w:cs="Times New Roman"/>
                <w:noProof/>
                <w:sz w:val="22"/>
                <w:lang w:val="en-GB"/>
              </w:rPr>
            </w:pPr>
            <w:r>
              <w:rPr>
                <w:rFonts w:cs="Times New Roman"/>
                <w:noProof/>
                <w:sz w:val="22"/>
                <w:lang w:val="en-GB"/>
              </w:rPr>
              <w:t>Improved tools</w:t>
            </w:r>
          </w:p>
          <w:p>
            <w:pPr>
              <w:numPr>
                <w:ilvl w:val="0"/>
                <w:numId w:val="7"/>
              </w:numPr>
              <w:spacing w:before="20" w:after="20"/>
              <w:rPr>
                <w:rFonts w:cs="Times New Roman"/>
                <w:noProof/>
                <w:sz w:val="22"/>
                <w:lang w:val="en-GB"/>
              </w:rPr>
            </w:pPr>
            <w:r>
              <w:rPr>
                <w:rFonts w:cs="Times New Roman"/>
                <w:noProof/>
                <w:sz w:val="22"/>
                <w:lang w:val="en-GB"/>
              </w:rPr>
              <w:t xml:space="preserve">Continuity in the tools provision </w:t>
            </w:r>
          </w:p>
        </w:tc>
        <w:tc>
          <w:tcPr>
            <w:tcW w:w="1735" w:type="pct"/>
            <w:hideMark/>
          </w:tcPr>
          <w:p>
            <w:pPr>
              <w:numPr>
                <w:ilvl w:val="0"/>
                <w:numId w:val="7"/>
              </w:numPr>
              <w:spacing w:before="20" w:after="20"/>
              <w:rPr>
                <w:rFonts w:cs="Times New Roman"/>
                <w:noProof/>
                <w:sz w:val="22"/>
                <w:lang w:val="en-GB"/>
              </w:rPr>
            </w:pPr>
            <w:r>
              <w:rPr>
                <w:rFonts w:cs="Times New Roman"/>
                <w:noProof/>
                <w:sz w:val="22"/>
                <w:lang w:val="en-GB"/>
              </w:rPr>
              <w:t>Number of common services and generic tools used by European public administrations</w:t>
            </w:r>
          </w:p>
          <w:p>
            <w:pPr>
              <w:numPr>
                <w:ilvl w:val="0"/>
                <w:numId w:val="7"/>
              </w:numPr>
              <w:spacing w:before="20" w:after="20"/>
              <w:rPr>
                <w:rFonts w:cs="Times New Roman"/>
                <w:noProof/>
                <w:sz w:val="22"/>
                <w:lang w:val="en-GB"/>
              </w:rPr>
            </w:pPr>
            <w:r>
              <w:rPr>
                <w:rFonts w:cs="Times New Roman"/>
                <w:noProof/>
                <w:sz w:val="22"/>
                <w:lang w:val="en-GB"/>
              </w:rPr>
              <w:t>Adoption of common frameworks by European public administrations</w:t>
            </w:r>
          </w:p>
          <w:p>
            <w:pPr>
              <w:numPr>
                <w:ilvl w:val="0"/>
                <w:numId w:val="7"/>
              </w:numPr>
              <w:spacing w:before="20" w:after="20"/>
              <w:rPr>
                <w:rFonts w:cs="Times New Roman"/>
                <w:noProof/>
                <w:sz w:val="22"/>
                <w:lang w:val="en-GB"/>
              </w:rPr>
            </w:pPr>
            <w:r>
              <w:rPr>
                <w:rFonts w:cs="Times New Roman"/>
                <w:noProof/>
                <w:sz w:val="22"/>
                <w:lang w:val="en-GB"/>
              </w:rPr>
              <w:t>Users uptake</w:t>
            </w:r>
          </w:p>
          <w:p>
            <w:pPr>
              <w:numPr>
                <w:ilvl w:val="0"/>
                <w:numId w:val="7"/>
              </w:numPr>
              <w:spacing w:before="20" w:after="20"/>
              <w:rPr>
                <w:rFonts w:cs="Times New Roman"/>
                <w:noProof/>
                <w:sz w:val="22"/>
                <w:lang w:val="en-GB"/>
              </w:rPr>
            </w:pPr>
            <w:r>
              <w:rPr>
                <w:rFonts w:cs="Times New Roman"/>
                <w:noProof/>
                <w:sz w:val="22"/>
                <w:lang w:val="en-GB"/>
              </w:rPr>
              <w:t>User satisfaction</w:t>
            </w:r>
          </w:p>
          <w:p>
            <w:pPr>
              <w:numPr>
                <w:ilvl w:val="0"/>
                <w:numId w:val="7"/>
              </w:numPr>
              <w:spacing w:before="20" w:after="20"/>
              <w:rPr>
                <w:rFonts w:cs="Times New Roman"/>
                <w:noProof/>
                <w:sz w:val="22"/>
                <w:lang w:val="en-GB"/>
              </w:rPr>
            </w:pPr>
            <w:r>
              <w:rPr>
                <w:rFonts w:cs="Times New Roman"/>
                <w:noProof/>
                <w:sz w:val="22"/>
                <w:lang w:val="en-GB"/>
              </w:rPr>
              <w:t xml:space="preserve">Number of new sectors covered by existing solutions (cross-sector / cross-border dimension) </w:t>
            </w:r>
          </w:p>
        </w:tc>
      </w:tr>
      <w:tr>
        <w:trPr>
          <w:trHeight w:val="2793"/>
        </w:trPr>
        <w:tc>
          <w:tcPr>
            <w:tcW w:w="1506" w:type="pct"/>
            <w:hideMark/>
          </w:tcPr>
          <w:p>
            <w:pPr>
              <w:spacing w:before="20" w:after="20"/>
              <w:rPr>
                <w:rFonts w:cs="Times New Roman"/>
                <w:noProof/>
                <w:sz w:val="22"/>
                <w:lang w:val="en-GB"/>
              </w:rPr>
            </w:pPr>
            <w:r>
              <w:rPr>
                <w:rFonts w:cs="Times New Roman"/>
                <w:noProof/>
                <w:sz w:val="22"/>
                <w:lang w:val="en-GB"/>
              </w:rPr>
              <w:t>Operational objective (2):</w:t>
            </w:r>
          </w:p>
          <w:p>
            <w:pPr>
              <w:spacing w:before="20" w:after="20"/>
              <w:rPr>
                <w:rFonts w:cs="Times New Roman"/>
                <w:noProof/>
                <w:sz w:val="22"/>
                <w:lang w:val="en-GB"/>
              </w:rPr>
            </w:pPr>
            <w:r>
              <w:rPr>
                <w:rFonts w:cs="Times New Roman"/>
                <w:noProof/>
                <w:sz w:val="22"/>
                <w:lang w:val="en-GB"/>
              </w:rPr>
              <w:t>To support and promote the development, establishment, bringing to maturity, operation and re-use of new cross-border or cross-sector interoperability solutions and common frameworks (Article 3 (b)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7"/>
              </w:numPr>
              <w:spacing w:before="20" w:after="20"/>
              <w:rPr>
                <w:rFonts w:cs="Times New Roman"/>
                <w:noProof/>
                <w:sz w:val="22"/>
                <w:lang w:val="en-GB"/>
              </w:rPr>
            </w:pPr>
            <w:r>
              <w:rPr>
                <w:rFonts w:cs="Times New Roman"/>
                <w:noProof/>
                <w:sz w:val="22"/>
                <w:lang w:val="en-GB"/>
              </w:rPr>
              <w:t>Increased reuse of existing components in the development of new interoperable solutions and common frameworks</w:t>
            </w:r>
          </w:p>
          <w:p>
            <w:pPr>
              <w:numPr>
                <w:ilvl w:val="0"/>
                <w:numId w:val="7"/>
              </w:numPr>
              <w:spacing w:before="20" w:after="20"/>
              <w:rPr>
                <w:rFonts w:cs="Times New Roman"/>
                <w:noProof/>
                <w:sz w:val="22"/>
                <w:lang w:val="en-GB"/>
              </w:rPr>
            </w:pPr>
            <w:r>
              <w:rPr>
                <w:rFonts w:cs="Times New Roman"/>
                <w:noProof/>
                <w:sz w:val="22"/>
                <w:lang w:val="en-GB"/>
              </w:rPr>
              <w:t xml:space="preserve">Increased availability of services and common frameworks that meet the needs of sectors and Member States </w:t>
            </w:r>
          </w:p>
          <w:p>
            <w:pPr>
              <w:numPr>
                <w:ilvl w:val="0"/>
                <w:numId w:val="7"/>
              </w:numPr>
              <w:spacing w:before="20" w:after="20"/>
              <w:rPr>
                <w:rFonts w:cs="Times New Roman"/>
                <w:noProof/>
                <w:sz w:val="22"/>
                <w:lang w:val="en-GB"/>
              </w:rPr>
            </w:pPr>
            <w:r>
              <w:rPr>
                <w:rFonts w:cs="Times New Roman"/>
                <w:noProof/>
                <w:sz w:val="22"/>
                <w:lang w:val="en-GB"/>
              </w:rPr>
              <w:t>Delivery of new services and common frameworks in time</w:t>
            </w:r>
          </w:p>
          <w:p>
            <w:pPr>
              <w:numPr>
                <w:ilvl w:val="0"/>
                <w:numId w:val="7"/>
              </w:numPr>
              <w:spacing w:before="20" w:after="20"/>
              <w:rPr>
                <w:rFonts w:cs="Times New Roman"/>
                <w:noProof/>
                <w:sz w:val="22"/>
                <w:lang w:val="en-GB"/>
              </w:rPr>
            </w:pPr>
            <w:r>
              <w:rPr>
                <w:rFonts w:cs="Times New Roman"/>
                <w:noProof/>
                <w:sz w:val="22"/>
                <w:lang w:val="en-GB"/>
              </w:rPr>
              <w:t xml:space="preserve">Increased availability of tools that meet the needs of sectors and Member States </w:t>
            </w:r>
          </w:p>
          <w:p>
            <w:pPr>
              <w:numPr>
                <w:ilvl w:val="0"/>
                <w:numId w:val="7"/>
              </w:numPr>
              <w:spacing w:before="20" w:after="20"/>
              <w:rPr>
                <w:rFonts w:cs="Times New Roman"/>
                <w:noProof/>
                <w:sz w:val="22"/>
                <w:lang w:val="en-GB"/>
              </w:rPr>
            </w:pPr>
            <w:r>
              <w:rPr>
                <w:rFonts w:cs="Times New Roman"/>
                <w:noProof/>
                <w:sz w:val="22"/>
                <w:lang w:val="en-GB"/>
              </w:rPr>
              <w:t xml:space="preserve">Delivery of new tools in time </w:t>
            </w:r>
          </w:p>
        </w:tc>
        <w:tc>
          <w:tcPr>
            <w:tcW w:w="1735" w:type="pct"/>
            <w:hideMark/>
          </w:tcPr>
          <w:p>
            <w:pPr>
              <w:numPr>
                <w:ilvl w:val="0"/>
                <w:numId w:val="7"/>
              </w:numPr>
              <w:spacing w:before="20" w:after="20"/>
              <w:rPr>
                <w:rFonts w:cs="Times New Roman"/>
                <w:noProof/>
                <w:sz w:val="22"/>
                <w:lang w:val="en-GB"/>
              </w:rPr>
            </w:pPr>
            <w:r>
              <w:rPr>
                <w:rFonts w:cs="Times New Roman"/>
                <w:noProof/>
                <w:sz w:val="22"/>
                <w:lang w:val="en-GB"/>
              </w:rPr>
              <w:t>Number of new common services and generic tools by European public administrations</w:t>
            </w:r>
          </w:p>
          <w:p>
            <w:pPr>
              <w:numPr>
                <w:ilvl w:val="0"/>
                <w:numId w:val="7"/>
              </w:numPr>
              <w:spacing w:before="20" w:after="20"/>
              <w:rPr>
                <w:rFonts w:cs="Times New Roman"/>
                <w:noProof/>
                <w:sz w:val="22"/>
                <w:lang w:val="en-GB"/>
              </w:rPr>
            </w:pPr>
            <w:r>
              <w:rPr>
                <w:rFonts w:cs="Times New Roman"/>
                <w:noProof/>
                <w:sz w:val="22"/>
                <w:lang w:val="en-GB"/>
              </w:rPr>
              <w:t>Adoption of new common frameworks by European public administrations</w:t>
            </w:r>
          </w:p>
        </w:tc>
      </w:tr>
      <w:tr>
        <w:trPr>
          <w:cnfStyle w:val="000000100000" w:firstRow="0" w:lastRow="0" w:firstColumn="0" w:lastColumn="0" w:oddVBand="0" w:evenVBand="0" w:oddHBand="1" w:evenHBand="0" w:firstRowFirstColumn="0" w:firstRowLastColumn="0" w:lastRowFirstColumn="0" w:lastRowLastColumn="0"/>
          <w:trHeight w:val="2123"/>
        </w:trPr>
        <w:tc>
          <w:tcPr>
            <w:tcW w:w="1506" w:type="pct"/>
            <w:hideMark/>
          </w:tcPr>
          <w:p>
            <w:pPr>
              <w:spacing w:before="20" w:after="20"/>
              <w:rPr>
                <w:rFonts w:cs="Times New Roman"/>
                <w:noProof/>
                <w:sz w:val="22"/>
                <w:lang w:val="en-GB"/>
              </w:rPr>
            </w:pPr>
            <w:r>
              <w:rPr>
                <w:rFonts w:cs="Times New Roman"/>
                <w:noProof/>
                <w:sz w:val="22"/>
                <w:lang w:val="en-GB"/>
              </w:rPr>
              <w:t>Operational objective (3):</w:t>
            </w:r>
          </w:p>
          <w:p>
            <w:pPr>
              <w:spacing w:before="20" w:after="20"/>
              <w:rPr>
                <w:rFonts w:cs="Times New Roman"/>
                <w:noProof/>
                <w:sz w:val="22"/>
                <w:u w:val="single"/>
                <w:lang w:val="en-GB"/>
              </w:rPr>
            </w:pPr>
            <w:r>
              <w:rPr>
                <w:rFonts w:cs="Times New Roman"/>
                <w:noProof/>
                <w:sz w:val="22"/>
                <w:lang w:val="en-GB"/>
              </w:rPr>
              <w:t>To support and promote the assessment of the ICT implications of proposed or adopted Union law (Article 3 (c)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7"/>
              </w:numPr>
              <w:spacing w:before="20" w:after="20"/>
              <w:rPr>
                <w:rFonts w:cs="Times New Roman"/>
                <w:noProof/>
                <w:sz w:val="22"/>
                <w:lang w:val="en-GB"/>
              </w:rPr>
            </w:pPr>
            <w:r>
              <w:rPr>
                <w:rFonts w:cs="Times New Roman"/>
                <w:noProof/>
                <w:sz w:val="22"/>
                <w:lang w:val="en-GB"/>
              </w:rPr>
              <w:t>Smooth implementation of EU legislation</w:t>
            </w:r>
          </w:p>
          <w:p>
            <w:pPr>
              <w:numPr>
                <w:ilvl w:val="0"/>
                <w:numId w:val="7"/>
              </w:numPr>
              <w:spacing w:before="20" w:after="20"/>
              <w:rPr>
                <w:rFonts w:cs="Times New Roman"/>
                <w:noProof/>
                <w:sz w:val="22"/>
                <w:lang w:val="en-GB"/>
              </w:rPr>
            </w:pPr>
            <w:r>
              <w:rPr>
                <w:rFonts w:cs="Times New Roman"/>
                <w:noProof/>
                <w:sz w:val="22"/>
                <w:lang w:val="en-GB"/>
              </w:rPr>
              <w:t xml:space="preserve">Identification of the needs for services and tools in time so that requirements are fulfilled when the legislation comes into force </w:t>
            </w:r>
          </w:p>
          <w:p>
            <w:pPr>
              <w:numPr>
                <w:ilvl w:val="0"/>
                <w:numId w:val="7"/>
              </w:numPr>
              <w:spacing w:before="20" w:after="20"/>
              <w:rPr>
                <w:rFonts w:cs="Times New Roman"/>
                <w:noProof/>
                <w:sz w:val="22"/>
                <w:lang w:val="en-GB"/>
              </w:rPr>
            </w:pPr>
            <w:r>
              <w:rPr>
                <w:rFonts w:cs="Times New Roman"/>
                <w:noProof/>
                <w:sz w:val="22"/>
                <w:lang w:val="en-GB"/>
              </w:rPr>
              <w:t>Understanding of ICT dimensions of EU policies</w:t>
            </w:r>
          </w:p>
        </w:tc>
        <w:tc>
          <w:tcPr>
            <w:tcW w:w="1735" w:type="pct"/>
          </w:tcPr>
          <w:p>
            <w:pPr>
              <w:numPr>
                <w:ilvl w:val="0"/>
                <w:numId w:val="7"/>
              </w:numPr>
              <w:spacing w:before="20" w:after="20"/>
              <w:rPr>
                <w:rFonts w:cs="Times New Roman"/>
                <w:noProof/>
                <w:sz w:val="22"/>
                <w:lang w:val="en-GB"/>
              </w:rPr>
            </w:pPr>
            <w:r>
              <w:rPr>
                <w:rFonts w:cs="Times New Roman"/>
                <w:noProof/>
                <w:sz w:val="22"/>
                <w:lang w:val="en-GB"/>
              </w:rPr>
              <w:t>Number of pieces of legislation reviewed</w:t>
            </w:r>
          </w:p>
          <w:p>
            <w:pPr>
              <w:numPr>
                <w:ilvl w:val="0"/>
                <w:numId w:val="7"/>
              </w:numPr>
              <w:spacing w:before="20" w:after="20"/>
              <w:rPr>
                <w:rFonts w:cs="Times New Roman"/>
                <w:noProof/>
                <w:sz w:val="22"/>
                <w:lang w:val="en-GB"/>
              </w:rPr>
            </w:pPr>
            <w:r>
              <w:rPr>
                <w:rFonts w:cs="Times New Roman"/>
                <w:noProof/>
                <w:sz w:val="22"/>
                <w:lang w:val="en-GB"/>
              </w:rPr>
              <w:t>Number of assessments of ICT implications of new EU legislation conducted</w:t>
            </w:r>
          </w:p>
          <w:p>
            <w:pPr>
              <w:spacing w:before="20" w:after="20"/>
              <w:rPr>
                <w:rFonts w:cs="Times New Roman"/>
                <w:noProof/>
                <w:sz w:val="22"/>
                <w:lang w:val="en-GB"/>
              </w:rPr>
            </w:pPr>
          </w:p>
        </w:tc>
      </w:tr>
      <w:tr>
        <w:tc>
          <w:tcPr>
            <w:tcW w:w="1506" w:type="pct"/>
            <w:hideMark/>
          </w:tcPr>
          <w:p>
            <w:pPr>
              <w:spacing w:before="20" w:after="20"/>
              <w:rPr>
                <w:rFonts w:cs="Times New Roman"/>
                <w:noProof/>
                <w:sz w:val="22"/>
                <w:lang w:val="en-GB"/>
              </w:rPr>
            </w:pPr>
            <w:r>
              <w:rPr>
                <w:rFonts w:cs="Times New Roman"/>
                <w:noProof/>
                <w:sz w:val="22"/>
                <w:lang w:val="en-GB"/>
              </w:rPr>
              <w:t>Operational objective (4):</w:t>
            </w:r>
          </w:p>
          <w:p>
            <w:pPr>
              <w:spacing w:before="20" w:after="20"/>
              <w:rPr>
                <w:rFonts w:cs="Times New Roman"/>
                <w:noProof/>
                <w:sz w:val="22"/>
                <w:lang w:val="en-GB"/>
              </w:rPr>
            </w:pPr>
            <w:r>
              <w:rPr>
                <w:rFonts w:cs="Times New Roman"/>
                <w:noProof/>
                <w:sz w:val="22"/>
                <w:lang w:val="en-GB"/>
              </w:rPr>
              <w:t>To support and promote the identification of legislation gaps, at Union and national level, that hamper cross-border or cross-sector interoperability between European public administrations (Article 3 (d)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8"/>
              </w:numPr>
              <w:spacing w:before="20" w:after="20"/>
              <w:rPr>
                <w:rFonts w:cs="Times New Roman"/>
                <w:noProof/>
                <w:sz w:val="22"/>
                <w:lang w:val="en-GB"/>
              </w:rPr>
            </w:pPr>
            <w:r>
              <w:rPr>
                <w:rFonts w:cs="Times New Roman"/>
                <w:noProof/>
                <w:sz w:val="22"/>
                <w:lang w:val="en-GB"/>
              </w:rPr>
              <w:t>A defined role and process for the ISA² programme to support the DGs and services undertaking assessments of ICT implications of new EU legislation as part of the Commission’s Impact Assessment process (Better Regulation Guidelines)</w:t>
            </w:r>
            <w:r>
              <w:rPr>
                <w:rFonts w:cs="Times New Roman"/>
                <w:noProof/>
                <w:sz w:val="22"/>
                <w:vertAlign w:val="superscript"/>
              </w:rPr>
              <w:footnoteReference w:id="115"/>
            </w:r>
            <w:r>
              <w:rPr>
                <w:rFonts w:cs="Times New Roman"/>
                <w:noProof/>
                <w:sz w:val="22"/>
                <w:lang w:val="en-GB"/>
              </w:rPr>
              <w:t xml:space="preserve"> </w:t>
            </w:r>
          </w:p>
          <w:p>
            <w:pPr>
              <w:numPr>
                <w:ilvl w:val="0"/>
                <w:numId w:val="8"/>
              </w:numPr>
              <w:spacing w:before="20" w:after="20"/>
              <w:rPr>
                <w:rFonts w:cs="Times New Roman"/>
                <w:noProof/>
                <w:sz w:val="22"/>
                <w:lang w:val="en-GB"/>
              </w:rPr>
            </w:pPr>
            <w:r>
              <w:rPr>
                <w:rFonts w:cs="Times New Roman"/>
                <w:noProof/>
                <w:sz w:val="22"/>
                <w:lang w:val="en-GB"/>
              </w:rPr>
              <w:t>Identification and resolution of legislation gaps that hamper cross-border or cross-sector interoperability between European public administrations</w:t>
            </w:r>
          </w:p>
        </w:tc>
        <w:tc>
          <w:tcPr>
            <w:tcW w:w="1735" w:type="pct"/>
            <w:hideMark/>
          </w:tcPr>
          <w:p>
            <w:pPr>
              <w:numPr>
                <w:ilvl w:val="0"/>
                <w:numId w:val="8"/>
              </w:numPr>
              <w:spacing w:before="20" w:after="20"/>
              <w:rPr>
                <w:rFonts w:cs="Times New Roman"/>
                <w:noProof/>
                <w:sz w:val="22"/>
                <w:lang w:val="en-GB"/>
              </w:rPr>
            </w:pPr>
            <w:r>
              <w:rPr>
                <w:rFonts w:cs="Times New Roman"/>
                <w:noProof/>
                <w:sz w:val="22"/>
                <w:lang w:val="en-GB"/>
              </w:rPr>
              <w:t>Number of instances where ISA² is involved (e.g. participation of ISA² in evaluations, impact assessments, and REFIT of EU legislation)</w:t>
            </w:r>
          </w:p>
          <w:p>
            <w:pPr>
              <w:numPr>
                <w:ilvl w:val="0"/>
                <w:numId w:val="8"/>
              </w:numPr>
              <w:spacing w:before="20" w:after="20"/>
              <w:rPr>
                <w:rFonts w:cs="Times New Roman"/>
                <w:noProof/>
                <w:sz w:val="22"/>
                <w:lang w:val="en-GB"/>
              </w:rPr>
            </w:pPr>
            <w:r>
              <w:rPr>
                <w:rFonts w:cs="Times New Roman"/>
                <w:noProof/>
                <w:sz w:val="22"/>
                <w:lang w:val="en-GB"/>
              </w:rPr>
              <w:t>Number of pieces of gaps identified</w:t>
            </w:r>
          </w:p>
        </w:tc>
      </w:tr>
      <w:tr>
        <w:trPr>
          <w:cnfStyle w:val="000000100000" w:firstRow="0" w:lastRow="0" w:firstColumn="0" w:lastColumn="0" w:oddVBand="0" w:evenVBand="0" w:oddHBand="1" w:evenHBand="0" w:firstRowFirstColumn="0" w:firstRowLastColumn="0" w:lastRowFirstColumn="0" w:lastRowLastColumn="0"/>
        </w:trPr>
        <w:tc>
          <w:tcPr>
            <w:tcW w:w="1506" w:type="pct"/>
            <w:hideMark/>
          </w:tcPr>
          <w:p>
            <w:pPr>
              <w:spacing w:before="20" w:after="20"/>
              <w:rPr>
                <w:rFonts w:cs="Times New Roman"/>
                <w:noProof/>
                <w:sz w:val="22"/>
                <w:lang w:val="en-GB"/>
              </w:rPr>
            </w:pPr>
            <w:r>
              <w:rPr>
                <w:rFonts w:cs="Times New Roman"/>
                <w:noProof/>
                <w:sz w:val="22"/>
                <w:lang w:val="en-GB"/>
              </w:rPr>
              <w:t>Operational objective (5):</w:t>
            </w:r>
          </w:p>
          <w:p>
            <w:pPr>
              <w:spacing w:before="20" w:after="20"/>
              <w:rPr>
                <w:rFonts w:cs="Times New Roman"/>
                <w:noProof/>
                <w:sz w:val="22"/>
                <w:lang w:val="en-GB"/>
              </w:rPr>
            </w:pPr>
            <w:r>
              <w:rPr>
                <w:rFonts w:cs="Times New Roman"/>
                <w:noProof/>
                <w:sz w:val="22"/>
                <w:lang w:val="en-GB"/>
              </w:rPr>
              <w:t>To support and promote the development of mechanisms that measure and quantify the benefits of interoperability solutions including methodologies for assessing cost-savings (Article 3 (e)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9"/>
              </w:numPr>
              <w:spacing w:before="20" w:after="20"/>
              <w:rPr>
                <w:rFonts w:cs="Times New Roman"/>
                <w:noProof/>
                <w:sz w:val="22"/>
                <w:lang w:val="en-GB"/>
              </w:rPr>
            </w:pPr>
            <w:r>
              <w:rPr>
                <w:rFonts w:cs="Times New Roman"/>
                <w:noProof/>
                <w:sz w:val="22"/>
                <w:lang w:val="en-GB"/>
              </w:rPr>
              <w:t>Functioning mechanisms to promote the use and monitor the adoption of interoperability solutions as well as their numbers of users</w:t>
            </w:r>
          </w:p>
          <w:p>
            <w:pPr>
              <w:numPr>
                <w:ilvl w:val="0"/>
                <w:numId w:val="9"/>
              </w:numPr>
              <w:spacing w:before="20" w:after="20"/>
              <w:rPr>
                <w:rFonts w:cs="Times New Roman"/>
                <w:noProof/>
                <w:sz w:val="22"/>
                <w:lang w:val="en-GB"/>
              </w:rPr>
            </w:pPr>
            <w:r>
              <w:rPr>
                <w:rFonts w:cs="Times New Roman"/>
                <w:noProof/>
                <w:sz w:val="22"/>
                <w:lang w:val="en-GB"/>
              </w:rPr>
              <w:t>Cost/Benefit model/methodology available for assessing cost-savings based on the study related to the cost-benefit of interoperability.</w:t>
            </w:r>
          </w:p>
        </w:tc>
        <w:tc>
          <w:tcPr>
            <w:tcW w:w="1735" w:type="pct"/>
            <w:hideMark/>
          </w:tcPr>
          <w:p>
            <w:pPr>
              <w:numPr>
                <w:ilvl w:val="0"/>
                <w:numId w:val="8"/>
              </w:numPr>
              <w:spacing w:before="20" w:after="20"/>
              <w:rPr>
                <w:rFonts w:cs="Times New Roman"/>
                <w:noProof/>
                <w:sz w:val="22"/>
                <w:lang w:val="en-GB"/>
              </w:rPr>
            </w:pPr>
            <w:r>
              <w:rPr>
                <w:rFonts w:cs="Times New Roman"/>
                <w:noProof/>
                <w:sz w:val="22"/>
                <w:lang w:val="en-GB"/>
              </w:rPr>
              <w:t>Usage of the Cost/Benefit model to produce figures to show the value of interoperability.</w:t>
            </w:r>
          </w:p>
        </w:tc>
      </w:tr>
      <w:tr>
        <w:tc>
          <w:tcPr>
            <w:tcW w:w="1506" w:type="pct"/>
            <w:hideMark/>
          </w:tcPr>
          <w:p>
            <w:pPr>
              <w:spacing w:before="20" w:after="20"/>
              <w:rPr>
                <w:rFonts w:cs="Times New Roman"/>
                <w:noProof/>
                <w:sz w:val="22"/>
                <w:lang w:val="en-GB"/>
              </w:rPr>
            </w:pPr>
            <w:r>
              <w:rPr>
                <w:rFonts w:cs="Times New Roman"/>
                <w:noProof/>
                <w:sz w:val="22"/>
                <w:lang w:val="en-GB"/>
              </w:rPr>
              <w:t>Operational objective (6):</w:t>
            </w:r>
          </w:p>
          <w:p>
            <w:pPr>
              <w:spacing w:before="20" w:after="20"/>
              <w:rPr>
                <w:rFonts w:cs="Times New Roman"/>
                <w:noProof/>
                <w:sz w:val="22"/>
                <w:lang w:val="en-GB"/>
              </w:rPr>
            </w:pPr>
            <w:r>
              <w:rPr>
                <w:rFonts w:cs="Times New Roman"/>
                <w:noProof/>
                <w:sz w:val="22"/>
                <w:lang w:val="en-GB"/>
              </w:rPr>
              <w:t>To support and promote the mapping and analysis of the overall interoperability landscape in the Union through the establishment, maintenance and improvement of the EIRA and the EIC as instruments to facilitate the re-use of existing interoperability solutions and to identify the areas where such solutions are still lacking (Article 3 (f)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8"/>
              </w:numPr>
              <w:spacing w:before="20" w:after="20"/>
              <w:rPr>
                <w:rFonts w:cs="Times New Roman"/>
                <w:noProof/>
                <w:sz w:val="22"/>
                <w:lang w:val="en-GB"/>
              </w:rPr>
            </w:pPr>
            <w:r>
              <w:rPr>
                <w:rFonts w:cs="Times New Roman"/>
                <w:noProof/>
                <w:sz w:val="22"/>
                <w:lang w:val="en-GB"/>
              </w:rPr>
              <w:t>Existing interoperability solutions documented within the European Interoperability Cartography (EIC/EICart) applying the principles and guidelines from the European Interoperability Reference Architecture (EIRA)</w:t>
            </w:r>
          </w:p>
          <w:p>
            <w:pPr>
              <w:numPr>
                <w:ilvl w:val="0"/>
                <w:numId w:val="8"/>
              </w:numPr>
              <w:spacing w:before="20" w:after="20"/>
              <w:rPr>
                <w:rFonts w:cs="Times New Roman"/>
                <w:noProof/>
                <w:sz w:val="22"/>
                <w:lang w:val="en-GB"/>
              </w:rPr>
            </w:pPr>
            <w:r>
              <w:rPr>
                <w:rFonts w:cs="Times New Roman"/>
                <w:noProof/>
                <w:sz w:val="22"/>
                <w:lang w:val="en-GB"/>
              </w:rPr>
              <w:t>EIRA used by European public administrations</w:t>
            </w:r>
          </w:p>
          <w:p>
            <w:pPr>
              <w:numPr>
                <w:ilvl w:val="0"/>
                <w:numId w:val="8"/>
              </w:numPr>
              <w:spacing w:before="20" w:after="20"/>
              <w:rPr>
                <w:rFonts w:cs="Times New Roman"/>
                <w:noProof/>
                <w:sz w:val="22"/>
                <w:lang w:val="en-GB"/>
              </w:rPr>
            </w:pPr>
            <w:r>
              <w:rPr>
                <w:rFonts w:cs="Times New Roman"/>
                <w:noProof/>
                <w:sz w:val="22"/>
                <w:lang w:val="en-GB"/>
              </w:rPr>
              <w:t>EIC/EICart facilitating the deployment of interoperable solutions within and between European public administrations</w:t>
            </w:r>
          </w:p>
        </w:tc>
        <w:tc>
          <w:tcPr>
            <w:tcW w:w="1735" w:type="pct"/>
            <w:hideMark/>
          </w:tcPr>
          <w:p>
            <w:pPr>
              <w:numPr>
                <w:ilvl w:val="0"/>
                <w:numId w:val="8"/>
              </w:numPr>
              <w:spacing w:before="20" w:after="20"/>
              <w:rPr>
                <w:rFonts w:cs="Times New Roman"/>
                <w:noProof/>
                <w:sz w:val="22"/>
                <w:lang w:val="en-GB"/>
              </w:rPr>
            </w:pPr>
            <w:r>
              <w:rPr>
                <w:rFonts w:cs="Times New Roman"/>
                <w:noProof/>
                <w:sz w:val="22"/>
                <w:lang w:val="en-GB"/>
              </w:rPr>
              <w:t>Usage of EIRA by European public administrations</w:t>
            </w:r>
          </w:p>
          <w:p>
            <w:pPr>
              <w:numPr>
                <w:ilvl w:val="0"/>
                <w:numId w:val="8"/>
              </w:numPr>
              <w:spacing w:before="20" w:after="20"/>
              <w:rPr>
                <w:rFonts w:cs="Times New Roman"/>
                <w:noProof/>
                <w:sz w:val="22"/>
                <w:lang w:val="en-GB"/>
              </w:rPr>
            </w:pPr>
            <w:r>
              <w:rPr>
                <w:rFonts w:cs="Times New Roman"/>
                <w:noProof/>
                <w:sz w:val="22"/>
                <w:lang w:val="en-GB"/>
              </w:rPr>
              <w:t>Usage of EIC/EICart by European public administrations</w:t>
            </w:r>
          </w:p>
          <w:p>
            <w:pPr>
              <w:numPr>
                <w:ilvl w:val="0"/>
                <w:numId w:val="8"/>
              </w:numPr>
              <w:spacing w:before="20" w:after="20"/>
              <w:rPr>
                <w:rFonts w:cs="Times New Roman"/>
                <w:noProof/>
                <w:sz w:val="22"/>
                <w:lang w:val="en-GB"/>
              </w:rPr>
            </w:pPr>
            <w:r>
              <w:rPr>
                <w:rFonts w:cs="Times New Roman"/>
                <w:noProof/>
                <w:sz w:val="22"/>
                <w:lang w:val="en-GB"/>
              </w:rPr>
              <w:t>Number of references in implementations of interoperable solutions</w:t>
            </w:r>
          </w:p>
          <w:p>
            <w:pPr>
              <w:numPr>
                <w:ilvl w:val="0"/>
                <w:numId w:val="8"/>
              </w:numPr>
              <w:spacing w:before="20" w:after="20"/>
              <w:rPr>
                <w:rFonts w:cs="Times New Roman"/>
                <w:noProof/>
                <w:sz w:val="22"/>
                <w:lang w:val="en-GB"/>
              </w:rPr>
            </w:pPr>
            <w:r>
              <w:rPr>
                <w:rFonts w:cs="Times New Roman"/>
                <w:noProof/>
                <w:sz w:val="22"/>
                <w:lang w:val="en-GB"/>
              </w:rPr>
              <w:t>Number of interoperable solutions documented in the EIC/EICart</w:t>
            </w:r>
          </w:p>
        </w:tc>
      </w:tr>
      <w:tr>
        <w:trPr>
          <w:cnfStyle w:val="000000100000" w:firstRow="0" w:lastRow="0" w:firstColumn="0" w:lastColumn="0" w:oddVBand="0" w:evenVBand="0" w:oddHBand="1" w:evenHBand="0" w:firstRowFirstColumn="0" w:firstRowLastColumn="0" w:lastRowFirstColumn="0" w:lastRowLastColumn="0"/>
          <w:trHeight w:val="808"/>
        </w:trPr>
        <w:tc>
          <w:tcPr>
            <w:tcW w:w="1506" w:type="pct"/>
            <w:hideMark/>
          </w:tcPr>
          <w:p>
            <w:pPr>
              <w:spacing w:before="20" w:after="20"/>
              <w:rPr>
                <w:rFonts w:cs="Times New Roman"/>
                <w:noProof/>
                <w:sz w:val="22"/>
                <w:lang w:val="en-GB"/>
              </w:rPr>
            </w:pPr>
            <w:r>
              <w:rPr>
                <w:rFonts w:cs="Times New Roman"/>
                <w:noProof/>
                <w:sz w:val="22"/>
                <w:lang w:val="en-GB"/>
              </w:rPr>
              <w:t>Operational objective (7):</w:t>
            </w:r>
          </w:p>
          <w:p>
            <w:pPr>
              <w:spacing w:before="20" w:after="20"/>
              <w:rPr>
                <w:rFonts w:cs="Times New Roman"/>
                <w:noProof/>
                <w:sz w:val="22"/>
                <w:lang w:val="en-GB"/>
              </w:rPr>
            </w:pPr>
            <w:r>
              <w:rPr>
                <w:rFonts w:cs="Times New Roman"/>
                <w:noProof/>
                <w:sz w:val="22"/>
                <w:lang w:val="en-GB"/>
              </w:rPr>
              <w:t>To support and promote the maintenance, updating, promotion and monitoring of the implementation of the EIS, the EIF and the EIRA (Article 3 (g)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10"/>
              </w:numPr>
              <w:spacing w:before="20" w:after="20"/>
              <w:rPr>
                <w:rFonts w:cs="Times New Roman"/>
                <w:noProof/>
                <w:sz w:val="22"/>
                <w:lang w:val="en-GB"/>
              </w:rPr>
            </w:pPr>
            <w:r>
              <w:rPr>
                <w:rFonts w:cs="Times New Roman"/>
                <w:noProof/>
                <w:sz w:val="22"/>
                <w:lang w:val="en-GB"/>
              </w:rPr>
              <w:t>Interoperable solutions developed in the frame of ISA² that take into account EIF and EIRA</w:t>
            </w:r>
          </w:p>
          <w:p>
            <w:pPr>
              <w:numPr>
                <w:ilvl w:val="0"/>
                <w:numId w:val="10"/>
              </w:numPr>
              <w:spacing w:before="20" w:after="20"/>
              <w:rPr>
                <w:rFonts w:cs="Times New Roman"/>
                <w:noProof/>
                <w:sz w:val="22"/>
                <w:lang w:val="en-GB"/>
              </w:rPr>
            </w:pPr>
            <w:r>
              <w:rPr>
                <w:rFonts w:cs="Times New Roman"/>
                <w:noProof/>
                <w:sz w:val="22"/>
                <w:lang w:val="en-GB"/>
              </w:rPr>
              <w:t>Interoperable solutions developed by other Commission DGs that take into account EIF and EIRA</w:t>
            </w:r>
          </w:p>
          <w:p>
            <w:pPr>
              <w:numPr>
                <w:ilvl w:val="0"/>
                <w:numId w:val="10"/>
              </w:numPr>
              <w:spacing w:before="20" w:after="20"/>
              <w:rPr>
                <w:rFonts w:cs="Times New Roman"/>
                <w:noProof/>
                <w:sz w:val="22"/>
                <w:lang w:val="en-GB"/>
              </w:rPr>
            </w:pPr>
            <w:r>
              <w:rPr>
                <w:rFonts w:cs="Times New Roman"/>
                <w:noProof/>
                <w:sz w:val="22"/>
                <w:lang w:val="en-GB"/>
              </w:rPr>
              <w:t>ISA² actions implementing the priorities/actions set by the EIS</w:t>
            </w:r>
          </w:p>
        </w:tc>
        <w:tc>
          <w:tcPr>
            <w:tcW w:w="1735" w:type="pct"/>
          </w:tcPr>
          <w:p>
            <w:pPr>
              <w:numPr>
                <w:ilvl w:val="0"/>
                <w:numId w:val="10"/>
              </w:numPr>
              <w:spacing w:before="20" w:after="20"/>
              <w:rPr>
                <w:rFonts w:cs="Times New Roman"/>
                <w:noProof/>
                <w:sz w:val="22"/>
                <w:lang w:val="en-GB"/>
              </w:rPr>
            </w:pPr>
            <w:r>
              <w:rPr>
                <w:rFonts w:cs="Times New Roman"/>
                <w:noProof/>
                <w:sz w:val="22"/>
                <w:lang w:val="en-GB"/>
              </w:rPr>
              <w:t>Usage of EIRA by European public administrations</w:t>
            </w:r>
          </w:p>
          <w:p>
            <w:pPr>
              <w:numPr>
                <w:ilvl w:val="0"/>
                <w:numId w:val="10"/>
              </w:numPr>
              <w:spacing w:before="20" w:after="20"/>
              <w:rPr>
                <w:rFonts w:cs="Times New Roman"/>
                <w:noProof/>
                <w:sz w:val="22"/>
                <w:lang w:val="en-GB"/>
              </w:rPr>
            </w:pPr>
            <w:r>
              <w:rPr>
                <w:rFonts w:cs="Times New Roman"/>
                <w:noProof/>
                <w:sz w:val="22"/>
                <w:lang w:val="en-GB"/>
              </w:rPr>
              <w:t>Number of EIS priorities implemented by European public administrations</w:t>
            </w:r>
          </w:p>
          <w:p>
            <w:pPr>
              <w:numPr>
                <w:ilvl w:val="0"/>
                <w:numId w:val="10"/>
              </w:numPr>
              <w:spacing w:before="20" w:after="20"/>
              <w:rPr>
                <w:rFonts w:cs="Times New Roman"/>
                <w:noProof/>
                <w:sz w:val="22"/>
                <w:lang w:val="en-GB"/>
              </w:rPr>
            </w:pPr>
            <w:r>
              <w:rPr>
                <w:rFonts w:cs="Times New Roman"/>
                <w:noProof/>
                <w:sz w:val="22"/>
                <w:lang w:val="en-GB"/>
              </w:rPr>
              <w:t>Level of implementation of the EIF at national and Commission level</w:t>
            </w:r>
          </w:p>
          <w:p>
            <w:pPr>
              <w:spacing w:before="20" w:after="20"/>
              <w:rPr>
                <w:rFonts w:cs="Times New Roman"/>
                <w:noProof/>
                <w:sz w:val="22"/>
                <w:lang w:val="en-GB"/>
              </w:rPr>
            </w:pPr>
          </w:p>
        </w:tc>
      </w:tr>
      <w:tr>
        <w:tc>
          <w:tcPr>
            <w:tcW w:w="1506" w:type="pct"/>
            <w:hideMark/>
          </w:tcPr>
          <w:p>
            <w:pPr>
              <w:spacing w:before="20" w:after="20"/>
              <w:rPr>
                <w:rFonts w:cs="Times New Roman"/>
                <w:noProof/>
                <w:sz w:val="22"/>
                <w:lang w:val="en-GB"/>
              </w:rPr>
            </w:pPr>
            <w:r>
              <w:rPr>
                <w:rFonts w:cs="Times New Roman"/>
                <w:noProof/>
                <w:sz w:val="22"/>
                <w:lang w:val="en-GB"/>
              </w:rPr>
              <w:t>Operational objective (8):</w:t>
            </w:r>
          </w:p>
          <w:p>
            <w:pPr>
              <w:spacing w:before="20" w:after="20"/>
              <w:rPr>
                <w:rFonts w:cs="Times New Roman"/>
                <w:iCs/>
                <w:noProof/>
                <w:sz w:val="22"/>
                <w:lang w:val="en-GB"/>
              </w:rPr>
            </w:pPr>
            <w:r>
              <w:rPr>
                <w:rFonts w:cs="Times New Roman"/>
                <w:noProof/>
                <w:sz w:val="22"/>
                <w:lang w:val="en-GB"/>
              </w:rPr>
              <w:t>To support and promote the assessment, updating and promotion of existing common specifications and standards and the development, establishment and promotion of new common specifications and open specifications and standards through the Union's standardisation platforms and in cooperation with European or international standardisation organisations as appropriate (Article 3 (h) of the ISA</w:t>
            </w:r>
            <w:r>
              <w:rPr>
                <w:rFonts w:cs="Times New Roman"/>
                <w:noProof/>
                <w:sz w:val="22"/>
                <w:vertAlign w:val="superscript"/>
                <w:lang w:val="en-GB"/>
              </w:rPr>
              <w:t xml:space="preserve">2 </w:t>
            </w:r>
            <w:r>
              <w:rPr>
                <w:rFonts w:cs="Times New Roman"/>
                <w:noProof/>
                <w:sz w:val="22"/>
                <w:lang w:val="en-GB"/>
              </w:rPr>
              <w:t>Decision)</w:t>
            </w:r>
          </w:p>
        </w:tc>
        <w:tc>
          <w:tcPr>
            <w:tcW w:w="1759" w:type="pct"/>
            <w:hideMark/>
          </w:tcPr>
          <w:p>
            <w:pPr>
              <w:numPr>
                <w:ilvl w:val="0"/>
                <w:numId w:val="11"/>
              </w:numPr>
              <w:spacing w:before="20" w:after="20"/>
              <w:rPr>
                <w:rFonts w:cs="Times New Roman"/>
                <w:noProof/>
                <w:sz w:val="22"/>
                <w:lang w:val="en-GB"/>
              </w:rPr>
            </w:pPr>
            <w:r>
              <w:rPr>
                <w:rFonts w:cs="Times New Roman"/>
                <w:noProof/>
                <w:sz w:val="22"/>
                <w:lang w:val="en-GB"/>
              </w:rPr>
              <w:t>Adoption of ‘standardised’ specific outputs from previous programme (e.g. Core Vocabularies, ADMS) by European public administrations.</w:t>
            </w:r>
          </w:p>
          <w:p>
            <w:pPr>
              <w:numPr>
                <w:ilvl w:val="0"/>
                <w:numId w:val="11"/>
              </w:numPr>
              <w:spacing w:before="20" w:after="20"/>
              <w:rPr>
                <w:rFonts w:cs="Times New Roman"/>
                <w:noProof/>
                <w:sz w:val="22"/>
                <w:lang w:val="en-GB"/>
              </w:rPr>
            </w:pPr>
            <w:r>
              <w:rPr>
                <w:rFonts w:cs="Times New Roman"/>
                <w:noProof/>
                <w:sz w:val="22"/>
                <w:lang w:val="en-GB"/>
              </w:rPr>
              <w:t>Standards, open specifications and assessment procedures aligned with Member States</w:t>
            </w:r>
          </w:p>
          <w:p>
            <w:pPr>
              <w:numPr>
                <w:ilvl w:val="0"/>
                <w:numId w:val="11"/>
              </w:numPr>
              <w:spacing w:before="20" w:after="20"/>
              <w:rPr>
                <w:rFonts w:cs="Times New Roman"/>
                <w:noProof/>
                <w:sz w:val="22"/>
                <w:lang w:val="en-GB"/>
              </w:rPr>
            </w:pPr>
            <w:r>
              <w:rPr>
                <w:rFonts w:cs="Times New Roman"/>
                <w:noProof/>
                <w:sz w:val="22"/>
                <w:lang w:val="en-GB"/>
              </w:rPr>
              <w:t>International/European recognition of standards and open specifications</w:t>
            </w:r>
          </w:p>
          <w:p>
            <w:pPr>
              <w:numPr>
                <w:ilvl w:val="0"/>
                <w:numId w:val="11"/>
              </w:numPr>
              <w:spacing w:before="20" w:after="20"/>
              <w:rPr>
                <w:rFonts w:cs="Times New Roman"/>
                <w:noProof/>
                <w:sz w:val="22"/>
                <w:lang w:val="en-GB"/>
              </w:rPr>
            </w:pPr>
            <w:r>
              <w:rPr>
                <w:rFonts w:cs="Times New Roman"/>
                <w:noProof/>
                <w:sz w:val="22"/>
                <w:lang w:val="en-GB"/>
              </w:rPr>
              <w:t>Established new standards and open specifications</w:t>
            </w:r>
          </w:p>
          <w:p>
            <w:pPr>
              <w:numPr>
                <w:ilvl w:val="0"/>
                <w:numId w:val="11"/>
              </w:numPr>
              <w:spacing w:before="20" w:after="20"/>
              <w:rPr>
                <w:rFonts w:cs="Times New Roman"/>
                <w:noProof/>
                <w:sz w:val="22"/>
                <w:lang w:val="en-GB"/>
              </w:rPr>
            </w:pPr>
            <w:r>
              <w:rPr>
                <w:rFonts w:cs="Times New Roman"/>
                <w:noProof/>
                <w:sz w:val="22"/>
                <w:lang w:val="en-GB"/>
              </w:rPr>
              <w:t>Alignment of standards with EU standardisation platforms</w:t>
            </w:r>
          </w:p>
        </w:tc>
        <w:tc>
          <w:tcPr>
            <w:tcW w:w="1735" w:type="pct"/>
            <w:hideMark/>
          </w:tcPr>
          <w:p>
            <w:pPr>
              <w:numPr>
                <w:ilvl w:val="0"/>
                <w:numId w:val="11"/>
              </w:numPr>
              <w:spacing w:before="20" w:after="20"/>
              <w:rPr>
                <w:rFonts w:cs="Times New Roman"/>
                <w:noProof/>
                <w:sz w:val="22"/>
                <w:lang w:val="en-GB"/>
              </w:rPr>
            </w:pPr>
            <w:r>
              <w:rPr>
                <w:rFonts w:cs="Times New Roman"/>
                <w:noProof/>
                <w:sz w:val="22"/>
                <w:lang w:val="en-GB"/>
              </w:rPr>
              <w:t>Number of new or revised standards used by European public administrations</w:t>
            </w:r>
          </w:p>
          <w:p>
            <w:pPr>
              <w:numPr>
                <w:ilvl w:val="0"/>
                <w:numId w:val="11"/>
              </w:numPr>
              <w:spacing w:before="20" w:after="20"/>
              <w:rPr>
                <w:rFonts w:cs="Times New Roman"/>
                <w:noProof/>
                <w:sz w:val="22"/>
                <w:lang w:val="en-GB"/>
              </w:rPr>
            </w:pPr>
            <w:r>
              <w:rPr>
                <w:rFonts w:cs="Times New Roman"/>
                <w:noProof/>
                <w:sz w:val="22"/>
                <w:lang w:val="en-GB"/>
              </w:rPr>
              <w:t>Number of new or revised common specifications and open specifications used by European public administrations</w:t>
            </w:r>
          </w:p>
          <w:p>
            <w:pPr>
              <w:numPr>
                <w:ilvl w:val="0"/>
                <w:numId w:val="11"/>
              </w:numPr>
              <w:spacing w:before="20" w:after="20"/>
              <w:rPr>
                <w:rFonts w:cs="Times New Roman"/>
                <w:noProof/>
                <w:sz w:val="22"/>
                <w:lang w:val="en-GB"/>
              </w:rPr>
            </w:pPr>
            <w:r>
              <w:rPr>
                <w:rFonts w:cs="Times New Roman"/>
                <w:noProof/>
                <w:sz w:val="22"/>
                <w:lang w:val="en-GB"/>
              </w:rPr>
              <w:t>Number of assessments (e.g. through multi-stakeholder platform or CAMMS)</w:t>
            </w:r>
          </w:p>
        </w:tc>
      </w:tr>
      <w:tr>
        <w:trPr>
          <w:cnfStyle w:val="000000100000" w:firstRow="0" w:lastRow="0" w:firstColumn="0" w:lastColumn="0" w:oddVBand="0" w:evenVBand="0" w:oddHBand="1" w:evenHBand="0" w:firstRowFirstColumn="0" w:firstRowLastColumn="0" w:lastRowFirstColumn="0" w:lastRowLastColumn="0"/>
        </w:trPr>
        <w:tc>
          <w:tcPr>
            <w:tcW w:w="1506" w:type="pct"/>
            <w:hideMark/>
          </w:tcPr>
          <w:p>
            <w:pPr>
              <w:spacing w:before="20" w:after="20"/>
              <w:rPr>
                <w:rFonts w:cs="Times New Roman"/>
                <w:noProof/>
                <w:sz w:val="22"/>
                <w:lang w:val="en-GB"/>
              </w:rPr>
            </w:pPr>
            <w:r>
              <w:rPr>
                <w:rFonts w:cs="Times New Roman"/>
                <w:noProof/>
                <w:sz w:val="22"/>
                <w:lang w:val="en-GB"/>
              </w:rPr>
              <w:t>Operational objective (9):</w:t>
            </w:r>
          </w:p>
          <w:p>
            <w:pPr>
              <w:spacing w:before="20" w:after="20"/>
              <w:rPr>
                <w:rFonts w:cs="Times New Roman"/>
                <w:noProof/>
                <w:sz w:val="22"/>
                <w:lang w:val="en-GB"/>
              </w:rPr>
            </w:pPr>
            <w:r>
              <w:rPr>
                <w:rFonts w:cs="Times New Roman"/>
                <w:noProof/>
                <w:sz w:val="22"/>
                <w:lang w:val="en-GB"/>
              </w:rPr>
              <w:t>To support and promote the maintenance and publication of a platform allowing access to, and collaboration with regard to, best practices, functioning as a means of raising awareness and disseminating available solutions, including security and safety frameworks, and helping to avoid duplication of efforts while encouraging the re-usability of solutions and standards (Article 3 (i)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12"/>
              </w:numPr>
              <w:spacing w:before="20" w:after="20"/>
              <w:rPr>
                <w:rFonts w:cs="Times New Roman"/>
                <w:noProof/>
                <w:sz w:val="22"/>
                <w:lang w:val="en-GB"/>
              </w:rPr>
            </w:pPr>
            <w:r>
              <w:rPr>
                <w:rFonts w:cs="Times New Roman"/>
                <w:noProof/>
                <w:sz w:val="22"/>
                <w:lang w:val="en-GB"/>
              </w:rPr>
              <w:t>All existing ready-for-use interoperable and best practice solutions are documented in and accessible via Joinup</w:t>
            </w:r>
            <w:r>
              <w:rPr>
                <w:rFonts w:cs="Times New Roman"/>
                <w:noProof/>
                <w:sz w:val="22"/>
                <w:vertAlign w:val="superscript"/>
              </w:rPr>
              <w:footnoteReference w:id="116"/>
            </w:r>
            <w:r>
              <w:rPr>
                <w:rFonts w:cs="Times New Roman"/>
                <w:noProof/>
                <w:sz w:val="22"/>
                <w:lang w:val="en-GB"/>
              </w:rPr>
              <w:t xml:space="preserve"> to raise awareness and avoid duplication of efforts among stakeholders</w:t>
            </w:r>
          </w:p>
        </w:tc>
        <w:tc>
          <w:tcPr>
            <w:tcW w:w="1735" w:type="pct"/>
            <w:hideMark/>
          </w:tcPr>
          <w:p>
            <w:pPr>
              <w:numPr>
                <w:ilvl w:val="0"/>
                <w:numId w:val="12"/>
              </w:numPr>
              <w:spacing w:before="20" w:after="20"/>
              <w:rPr>
                <w:rFonts w:cs="Times New Roman"/>
                <w:noProof/>
                <w:sz w:val="22"/>
                <w:lang w:val="en-GB"/>
              </w:rPr>
            </w:pPr>
            <w:r>
              <w:rPr>
                <w:rFonts w:cs="Times New Roman"/>
                <w:noProof/>
                <w:sz w:val="22"/>
                <w:lang w:val="en-GB"/>
              </w:rPr>
              <w:t>Number of ready-for-use interoperable and best practice solutions housed in Joinup</w:t>
            </w:r>
          </w:p>
        </w:tc>
      </w:tr>
      <w:tr>
        <w:tc>
          <w:tcPr>
            <w:tcW w:w="1506" w:type="pct"/>
            <w:hideMark/>
          </w:tcPr>
          <w:p>
            <w:pPr>
              <w:spacing w:before="20" w:after="20"/>
              <w:rPr>
                <w:rFonts w:cs="Times New Roman"/>
                <w:noProof/>
                <w:sz w:val="22"/>
                <w:lang w:val="en-GB"/>
              </w:rPr>
            </w:pPr>
            <w:r>
              <w:rPr>
                <w:rFonts w:cs="Times New Roman"/>
                <w:noProof/>
                <w:sz w:val="22"/>
                <w:lang w:val="en-GB"/>
              </w:rPr>
              <w:t>Operational objective (10):</w:t>
            </w:r>
          </w:p>
          <w:p>
            <w:pPr>
              <w:spacing w:before="20" w:after="20"/>
              <w:rPr>
                <w:rFonts w:cs="Times New Roman"/>
                <w:noProof/>
                <w:sz w:val="22"/>
                <w:u w:val="single"/>
                <w:lang w:val="en-GB"/>
              </w:rPr>
            </w:pPr>
            <w:r>
              <w:rPr>
                <w:rFonts w:cs="Times New Roman"/>
                <w:noProof/>
                <w:sz w:val="22"/>
                <w:lang w:val="en-GB"/>
              </w:rPr>
              <w:t>To support and promote the bringing of new interoperability services and tools to maturity, and maintaining and operating existing interoperability services and tools on an interim basis (Article 3 (j)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13"/>
              </w:numPr>
              <w:spacing w:before="20" w:after="20"/>
              <w:rPr>
                <w:rFonts w:cs="Times New Roman"/>
                <w:noProof/>
                <w:sz w:val="22"/>
                <w:lang w:val="en-GB"/>
              </w:rPr>
            </w:pPr>
            <w:r>
              <w:rPr>
                <w:rFonts w:cs="Times New Roman"/>
                <w:noProof/>
                <w:sz w:val="22"/>
                <w:lang w:val="en-GB"/>
              </w:rPr>
              <w:t>Continued development and interim operation of ISA solutions, e.g. sTESTA, with a view to achieving longer-term sustainable financing and operational governance structures</w:t>
            </w:r>
          </w:p>
        </w:tc>
        <w:tc>
          <w:tcPr>
            <w:tcW w:w="1735" w:type="pct"/>
            <w:hideMark/>
          </w:tcPr>
          <w:p>
            <w:pPr>
              <w:numPr>
                <w:ilvl w:val="0"/>
                <w:numId w:val="13"/>
              </w:numPr>
              <w:spacing w:before="20" w:after="20"/>
              <w:rPr>
                <w:rFonts w:cs="Times New Roman"/>
                <w:noProof/>
                <w:sz w:val="22"/>
                <w:lang w:val="en-GB"/>
              </w:rPr>
            </w:pPr>
            <w:r>
              <w:rPr>
                <w:rFonts w:cs="Times New Roman"/>
                <w:noProof/>
                <w:sz w:val="22"/>
                <w:lang w:val="en-GB"/>
              </w:rPr>
              <w:t>Number of new interoperability services and tools developed, maintained and operated by ISA²</w:t>
            </w:r>
          </w:p>
          <w:p>
            <w:pPr>
              <w:numPr>
                <w:ilvl w:val="0"/>
                <w:numId w:val="13"/>
              </w:numPr>
              <w:spacing w:before="20" w:after="20"/>
              <w:rPr>
                <w:rFonts w:cs="Times New Roman"/>
                <w:noProof/>
                <w:sz w:val="22"/>
                <w:lang w:val="en-GB"/>
              </w:rPr>
            </w:pPr>
            <w:r>
              <w:rPr>
                <w:rFonts w:cs="Times New Roman"/>
                <w:noProof/>
                <w:sz w:val="22"/>
                <w:lang w:val="en-GB"/>
              </w:rPr>
              <w:t>Number of new interoperability services brought to maturity</w:t>
            </w:r>
          </w:p>
        </w:tc>
      </w:tr>
      <w:tr>
        <w:trPr>
          <w:cnfStyle w:val="000000100000" w:firstRow="0" w:lastRow="0" w:firstColumn="0" w:lastColumn="0" w:oddVBand="0" w:evenVBand="0" w:oddHBand="1" w:evenHBand="0" w:firstRowFirstColumn="0" w:firstRowLastColumn="0" w:lastRowFirstColumn="0" w:lastRowLastColumn="0"/>
        </w:trPr>
        <w:tc>
          <w:tcPr>
            <w:tcW w:w="1506" w:type="pct"/>
            <w:hideMark/>
          </w:tcPr>
          <w:p>
            <w:pPr>
              <w:spacing w:before="20" w:after="20"/>
              <w:rPr>
                <w:rFonts w:cs="Times New Roman"/>
                <w:noProof/>
                <w:sz w:val="22"/>
                <w:lang w:val="en-GB"/>
              </w:rPr>
            </w:pPr>
            <w:r>
              <w:rPr>
                <w:rFonts w:cs="Times New Roman"/>
                <w:noProof/>
                <w:sz w:val="22"/>
                <w:lang w:val="en-GB"/>
              </w:rPr>
              <w:t>Operational objective (11):</w:t>
            </w:r>
          </w:p>
          <w:p>
            <w:pPr>
              <w:spacing w:before="20" w:after="20"/>
              <w:rPr>
                <w:rFonts w:cs="Times New Roman"/>
                <w:noProof/>
                <w:sz w:val="22"/>
                <w:lang w:val="en-GB"/>
              </w:rPr>
            </w:pPr>
            <w:r>
              <w:rPr>
                <w:rFonts w:cs="Times New Roman"/>
                <w:noProof/>
                <w:sz w:val="22"/>
                <w:lang w:val="en-GB"/>
              </w:rPr>
              <w:t>To support and promote the identification and promotion of best practices, to develop guidelines to coordinate interoperability initiatives and to animate and support communities working on issues relevant to the area of electronic cross-border or cross-sector interaction between end-users (Article 3 (k) of the ISA</w:t>
            </w:r>
            <w:r>
              <w:rPr>
                <w:rFonts w:cs="Times New Roman"/>
                <w:noProof/>
                <w:sz w:val="22"/>
                <w:vertAlign w:val="superscript"/>
                <w:lang w:val="en-GB"/>
              </w:rPr>
              <w:t>2</w:t>
            </w:r>
            <w:r>
              <w:rPr>
                <w:rFonts w:cs="Times New Roman"/>
                <w:noProof/>
                <w:sz w:val="22"/>
                <w:lang w:val="en-GB"/>
              </w:rPr>
              <w:t xml:space="preserve"> Decision)</w:t>
            </w:r>
          </w:p>
        </w:tc>
        <w:tc>
          <w:tcPr>
            <w:tcW w:w="1759" w:type="pct"/>
            <w:hideMark/>
          </w:tcPr>
          <w:p>
            <w:pPr>
              <w:numPr>
                <w:ilvl w:val="0"/>
                <w:numId w:val="14"/>
              </w:numPr>
              <w:spacing w:before="20" w:after="20"/>
              <w:rPr>
                <w:rFonts w:cs="Times New Roman"/>
                <w:noProof/>
                <w:sz w:val="22"/>
                <w:lang w:val="en-GB"/>
              </w:rPr>
            </w:pPr>
            <w:r>
              <w:rPr>
                <w:rFonts w:cs="Times New Roman"/>
                <w:noProof/>
                <w:sz w:val="22"/>
                <w:lang w:val="en-GB"/>
              </w:rPr>
              <w:t>Continued use of Joinup to house ready-for-use interoperable and best practice solutions to promote interoperability</w:t>
            </w:r>
          </w:p>
          <w:p>
            <w:pPr>
              <w:numPr>
                <w:ilvl w:val="0"/>
                <w:numId w:val="14"/>
              </w:numPr>
              <w:spacing w:before="20" w:after="20"/>
              <w:rPr>
                <w:rFonts w:cs="Times New Roman"/>
                <w:noProof/>
                <w:sz w:val="22"/>
                <w:lang w:val="en-GB"/>
              </w:rPr>
            </w:pPr>
            <w:r>
              <w:rPr>
                <w:rFonts w:cs="Times New Roman"/>
                <w:noProof/>
                <w:sz w:val="22"/>
                <w:lang w:val="en-GB"/>
              </w:rPr>
              <w:t>Enhanced coordination, notably, through the Inter-Service Group on Public Administration Quality and Innovation and also in publications, such as the NIFO and eGovernment factsheets</w:t>
            </w:r>
          </w:p>
        </w:tc>
        <w:tc>
          <w:tcPr>
            <w:tcW w:w="1735" w:type="pct"/>
            <w:hideMark/>
          </w:tcPr>
          <w:p>
            <w:pPr>
              <w:numPr>
                <w:ilvl w:val="0"/>
                <w:numId w:val="14"/>
              </w:numPr>
              <w:spacing w:before="20" w:after="20"/>
              <w:rPr>
                <w:rFonts w:cs="Times New Roman"/>
                <w:noProof/>
                <w:sz w:val="22"/>
                <w:lang w:val="en-GB"/>
              </w:rPr>
            </w:pPr>
            <w:r>
              <w:rPr>
                <w:rFonts w:cs="Times New Roman"/>
                <w:noProof/>
                <w:sz w:val="22"/>
                <w:lang w:val="en-GB"/>
              </w:rPr>
              <w:t>Number of ready-for-use interoperable and best practice solutions housed in Joinup</w:t>
            </w:r>
          </w:p>
          <w:p>
            <w:pPr>
              <w:numPr>
                <w:ilvl w:val="0"/>
                <w:numId w:val="14"/>
              </w:numPr>
              <w:spacing w:before="20" w:after="20"/>
              <w:rPr>
                <w:rFonts w:cs="Times New Roman"/>
                <w:noProof/>
                <w:sz w:val="22"/>
                <w:lang w:val="en-GB"/>
              </w:rPr>
            </w:pPr>
            <w:r>
              <w:rPr>
                <w:rFonts w:cs="Times New Roman"/>
                <w:noProof/>
                <w:sz w:val="22"/>
                <w:lang w:val="en-GB"/>
              </w:rPr>
              <w:t>Number of joint-initiatives (studies etc.) in interoperability by EU-wide groups, such as the Commission’s Inter-Service Group on Public Administration Quality and Innovation.</w:t>
            </w:r>
          </w:p>
          <w:p>
            <w:pPr>
              <w:numPr>
                <w:ilvl w:val="0"/>
                <w:numId w:val="14"/>
              </w:numPr>
              <w:spacing w:before="20" w:after="20"/>
              <w:rPr>
                <w:rFonts w:cs="Times New Roman"/>
                <w:noProof/>
                <w:sz w:val="22"/>
                <w:lang w:val="en-GB"/>
              </w:rPr>
            </w:pPr>
            <w:r>
              <w:rPr>
                <w:rFonts w:cs="Times New Roman"/>
                <w:noProof/>
                <w:sz w:val="22"/>
                <w:lang w:val="en-GB"/>
              </w:rPr>
              <w:t>Number of joint-publications</w:t>
            </w:r>
          </w:p>
        </w:tc>
      </w:tr>
      <w:tr>
        <w:tc>
          <w:tcPr>
            <w:tcW w:w="1506" w:type="pct"/>
            <w:hideMark/>
          </w:tcPr>
          <w:p>
            <w:pPr>
              <w:spacing w:before="20" w:after="20"/>
              <w:rPr>
                <w:rFonts w:cs="Times New Roman"/>
                <w:noProof/>
                <w:sz w:val="22"/>
                <w:lang w:val="en-GB"/>
              </w:rPr>
            </w:pPr>
            <w:r>
              <w:rPr>
                <w:rFonts w:cs="Times New Roman"/>
                <w:noProof/>
                <w:sz w:val="22"/>
                <w:lang w:val="en-GB"/>
              </w:rPr>
              <w:t>Operational objective (12):</w:t>
            </w:r>
          </w:p>
          <w:p>
            <w:pPr>
              <w:spacing w:before="20" w:after="20"/>
              <w:rPr>
                <w:rFonts w:cs="Times New Roman"/>
                <w:noProof/>
                <w:sz w:val="22"/>
                <w:lang w:val="en-GB"/>
              </w:rPr>
            </w:pPr>
            <w:r>
              <w:rPr>
                <w:rFonts w:cs="Times New Roman"/>
                <w:iCs/>
                <w:noProof/>
                <w:sz w:val="22"/>
                <w:lang w:val="en-GB"/>
              </w:rPr>
              <w:t>To develop a communication strategy […], aiming to enhance information and increase awareness with regard to the ISA² programme and its benefits, targeting businesses, including SMEs, and citizens, and employing user-friendly means on the ISA² programme's website (Article 3 of the ISA</w:t>
            </w:r>
            <w:r>
              <w:rPr>
                <w:rFonts w:cs="Times New Roman"/>
                <w:iCs/>
                <w:noProof/>
                <w:sz w:val="22"/>
                <w:vertAlign w:val="superscript"/>
                <w:lang w:val="en-GB"/>
              </w:rPr>
              <w:t>2</w:t>
            </w:r>
            <w:r>
              <w:rPr>
                <w:rFonts w:cs="Times New Roman"/>
                <w:iCs/>
                <w:noProof/>
                <w:sz w:val="22"/>
                <w:lang w:val="en-GB"/>
              </w:rPr>
              <w:t xml:space="preserve"> Decision)</w:t>
            </w:r>
          </w:p>
        </w:tc>
        <w:tc>
          <w:tcPr>
            <w:tcW w:w="1759" w:type="pct"/>
            <w:hideMark/>
          </w:tcPr>
          <w:p>
            <w:pPr>
              <w:numPr>
                <w:ilvl w:val="0"/>
                <w:numId w:val="14"/>
              </w:numPr>
              <w:spacing w:before="20" w:after="20"/>
              <w:rPr>
                <w:rFonts w:cs="Times New Roman"/>
                <w:noProof/>
                <w:sz w:val="22"/>
                <w:lang w:val="en-GB"/>
              </w:rPr>
            </w:pPr>
            <w:r>
              <w:rPr>
                <w:rFonts w:cs="Times New Roman"/>
                <w:noProof/>
                <w:sz w:val="22"/>
                <w:lang w:val="en-GB"/>
              </w:rPr>
              <w:t>An updated Communication Strategy with clear stakeholder, monitoring and measurement targets.</w:t>
            </w:r>
          </w:p>
        </w:tc>
        <w:tc>
          <w:tcPr>
            <w:tcW w:w="1735" w:type="pct"/>
            <w:hideMark/>
          </w:tcPr>
          <w:p>
            <w:pPr>
              <w:numPr>
                <w:ilvl w:val="0"/>
                <w:numId w:val="14"/>
              </w:numPr>
              <w:spacing w:before="20" w:after="20"/>
              <w:rPr>
                <w:rFonts w:cs="Times New Roman"/>
                <w:noProof/>
                <w:sz w:val="22"/>
                <w:lang w:val="en-GB"/>
              </w:rPr>
            </w:pPr>
            <w:r>
              <w:rPr>
                <w:rFonts w:cs="Times New Roman"/>
                <w:noProof/>
                <w:sz w:val="22"/>
                <w:lang w:val="en-GB"/>
              </w:rPr>
              <w:t>Monitoring and measurement of the Communication Strategy (events, satisfaction surveys, publications).</w:t>
            </w:r>
          </w:p>
          <w:p>
            <w:pPr>
              <w:numPr>
                <w:ilvl w:val="0"/>
                <w:numId w:val="14"/>
              </w:numPr>
              <w:spacing w:before="20" w:after="20"/>
              <w:rPr>
                <w:rFonts w:cs="Times New Roman"/>
                <w:noProof/>
                <w:sz w:val="22"/>
                <w:lang w:val="en-GB"/>
              </w:rPr>
            </w:pPr>
            <w:r>
              <w:rPr>
                <w:rFonts w:cs="Times New Roman"/>
                <w:noProof/>
                <w:sz w:val="22"/>
                <w:lang w:val="en-GB"/>
              </w:rPr>
              <w:t>Numbers of stakeholders engaged in different events, actions, initiatives etc.</w:t>
            </w:r>
          </w:p>
        </w:tc>
      </w:tr>
    </w:tbl>
    <w:p>
      <w:pPr>
        <w:rPr>
          <w:rFonts w:cs="Times New Roman"/>
          <w:i/>
          <w:noProof/>
          <w:sz w:val="20"/>
          <w:szCs w:val="24"/>
          <w:highlight w:val="yellow"/>
        </w:rPr>
      </w:pPr>
      <w:r>
        <w:rPr>
          <w:rFonts w:cs="Times New Roman"/>
          <w:i/>
          <w:noProof/>
          <w:sz w:val="20"/>
          <w:szCs w:val="20"/>
        </w:rPr>
        <w:t xml:space="preserve">Source: </w:t>
      </w:r>
      <w:hyperlink r:id="rId217" w:history="1">
        <w:r>
          <w:rPr>
            <w:rStyle w:val="Hyperlink"/>
            <w:rFonts w:cs="Times New Roman"/>
            <w:i/>
            <w:noProof/>
            <w:sz w:val="20"/>
            <w:lang w:val="en-GB"/>
          </w:rPr>
          <w:t>CEPS final study</w:t>
        </w:r>
      </w:hyperlink>
    </w:p>
    <w:p>
      <w:pPr>
        <w:pStyle w:val="ListParagraph"/>
        <w:numPr>
          <w:ilvl w:val="0"/>
          <w:numId w:val="24"/>
        </w:numPr>
        <w:spacing w:before="200" w:after="200" w:line="276" w:lineRule="auto"/>
        <w:ind w:left="357" w:hanging="357"/>
        <w:rPr>
          <w:b/>
          <w:smallCaps/>
          <w:noProof/>
        </w:rPr>
      </w:pPr>
      <w:r>
        <w:rPr>
          <w:b/>
          <w:smallCaps/>
          <w:noProof/>
        </w:rPr>
        <w:t>The intervention: ‘what actions are supported by the ISA² programme?’</w:t>
      </w:r>
    </w:p>
    <w:p>
      <w:pPr>
        <w:jc w:val="both"/>
        <w:rPr>
          <w:rFonts w:cs="Times New Roman"/>
          <w:noProof/>
          <w:lang w:val="en-GB"/>
        </w:rPr>
      </w:pPr>
      <w:r>
        <w:rPr>
          <w:rFonts w:cs="Times New Roman"/>
          <w:noProof/>
          <w:lang w:val="en-GB"/>
        </w:rPr>
        <w:t xml:space="preserve">After identifying the needs, problems and objectives underlying the ISA² programme, the intervention logic approach requires the assessment of the main features (activities/inputs) of the programme itself. Within the intervention logic, activities and inputs represent the means to address the needs and problems, and to meet the identified objectives. In this context, these means largely correspond to the </w:t>
      </w:r>
      <w:r>
        <w:rPr>
          <w:rFonts w:cs="Times New Roman"/>
          <w:b/>
          <w:noProof/>
          <w:lang w:val="en-GB"/>
        </w:rPr>
        <w:t>actions of the ISA² programme</w:t>
      </w:r>
      <w:r>
        <w:rPr>
          <w:rFonts w:cs="Times New Roman"/>
          <w:noProof/>
          <w:lang w:val="en-GB"/>
        </w:rPr>
        <w:t>, as defined in the ISA</w:t>
      </w:r>
      <w:r>
        <w:rPr>
          <w:rFonts w:cs="Times New Roman"/>
          <w:noProof/>
          <w:vertAlign w:val="superscript"/>
          <w:lang w:val="en-GB"/>
        </w:rPr>
        <w:t>2</w:t>
      </w:r>
      <w:r>
        <w:rPr>
          <w:rFonts w:cs="Times New Roman"/>
          <w:noProof/>
          <w:lang w:val="en-GB"/>
        </w:rPr>
        <w:t xml:space="preserve"> Rolling Work Programme</w:t>
      </w:r>
      <w:r>
        <w:rPr>
          <w:rFonts w:cs="Times New Roman"/>
          <w:noProof/>
          <w:vertAlign w:val="superscript"/>
        </w:rPr>
        <w:footnoteReference w:id="117"/>
      </w:r>
      <w:r>
        <w:rPr>
          <w:rFonts w:cs="Times New Roman"/>
          <w:noProof/>
          <w:lang w:val="en-GB"/>
        </w:rPr>
        <w:t>. The ISA</w:t>
      </w:r>
      <w:r>
        <w:rPr>
          <w:rFonts w:cs="Times New Roman"/>
          <w:noProof/>
          <w:vertAlign w:val="superscript"/>
          <w:lang w:val="en-GB"/>
        </w:rPr>
        <w:t>2</w:t>
      </w:r>
      <w:r>
        <w:rPr>
          <w:rFonts w:cs="Times New Roman"/>
          <w:noProof/>
          <w:lang w:val="en-GB"/>
        </w:rPr>
        <w:t xml:space="preserve"> actions are grouped into the following nine packages.</w:t>
      </w:r>
    </w:p>
    <w:p>
      <w:pPr>
        <w:pStyle w:val="Firstlevellist"/>
        <w:rPr>
          <w:noProof/>
        </w:rPr>
      </w:pPr>
      <w:r>
        <w:rPr>
          <w:b/>
          <w:noProof/>
        </w:rPr>
        <w:t>Key and generic interoperability enablers</w:t>
      </w:r>
      <w:r>
        <w:rPr>
          <w:noProof/>
        </w:rPr>
        <w:t xml:space="preserve"> are actions that develop interoperability solutions to support public administrations in providing services, ranging from the secure exchange of files to improving cross-border access to government data and information. Examples include TESTA</w:t>
      </w:r>
      <w:r>
        <w:rPr>
          <w:noProof/>
          <w:vertAlign w:val="superscript"/>
        </w:rPr>
        <w:footnoteReference w:id="118"/>
      </w:r>
      <w:r>
        <w:rPr>
          <w:noProof/>
        </w:rPr>
        <w:t xml:space="preserve"> and Open e-TrustEx</w:t>
      </w:r>
      <w:r>
        <w:rPr>
          <w:noProof/>
          <w:vertAlign w:val="superscript"/>
        </w:rPr>
        <w:footnoteReference w:id="119"/>
      </w:r>
      <w:r>
        <w:rPr>
          <w:noProof/>
        </w:rPr>
        <w:t>.</w:t>
      </w:r>
    </w:p>
    <w:p>
      <w:pPr>
        <w:pStyle w:val="Firstlevellist"/>
        <w:rPr>
          <w:noProof/>
        </w:rPr>
      </w:pPr>
      <w:r>
        <w:rPr>
          <w:b/>
          <w:noProof/>
        </w:rPr>
        <w:t>The semantic interoperability package</w:t>
      </w:r>
      <w:r>
        <w:rPr>
          <w:noProof/>
        </w:rPr>
        <w:t xml:space="preserve"> consists of initiatives to establish and increase semantic interoperability among public administrations through information standards and specifications. Examples include Core Vocabularies</w:t>
      </w:r>
      <w:r>
        <w:rPr>
          <w:noProof/>
          <w:vertAlign w:val="superscript"/>
        </w:rPr>
        <w:footnoteReference w:id="120"/>
      </w:r>
      <w:r>
        <w:rPr>
          <w:noProof/>
        </w:rPr>
        <w:t xml:space="preserve"> and DCAT Application Profile for data portals in Europe</w:t>
      </w:r>
      <w:r>
        <w:rPr>
          <w:noProof/>
          <w:vertAlign w:val="superscript"/>
        </w:rPr>
        <w:footnoteReference w:id="121"/>
      </w:r>
      <w:r>
        <w:rPr>
          <w:noProof/>
        </w:rPr>
        <w:t>.</w:t>
      </w:r>
    </w:p>
    <w:p>
      <w:pPr>
        <w:pStyle w:val="Firstlevellist"/>
        <w:rPr>
          <w:noProof/>
        </w:rPr>
      </w:pPr>
      <w:r>
        <w:rPr>
          <w:noProof/>
        </w:rPr>
        <w:t xml:space="preserve">Under </w:t>
      </w:r>
      <w:r>
        <w:rPr>
          <w:b/>
          <w:noProof/>
        </w:rPr>
        <w:t>the access to data / data sharing / open data package,</w:t>
      </w:r>
      <w:r>
        <w:rPr>
          <w:noProof/>
        </w:rPr>
        <w:t xml:space="preserve"> the ISA² programme funds actions that help facilitate the reuse of national data repositories, of data across borders and sectors and widen access to data created by the public sector. Example include ‘Providing big data opportunities for public administrations’</w:t>
      </w:r>
      <w:r>
        <w:rPr>
          <w:noProof/>
          <w:vertAlign w:val="superscript"/>
        </w:rPr>
        <w:footnoteReference w:id="122"/>
      </w:r>
      <w:r>
        <w:rPr>
          <w:noProof/>
        </w:rPr>
        <w:t xml:space="preserve"> and ‘FISMA: Financial Data Standardisation’</w:t>
      </w:r>
      <w:r>
        <w:rPr>
          <w:noProof/>
          <w:vertAlign w:val="superscript"/>
        </w:rPr>
        <w:footnoteReference w:id="123"/>
      </w:r>
      <w:r>
        <w:rPr>
          <w:noProof/>
        </w:rPr>
        <w:t>.</w:t>
      </w:r>
    </w:p>
    <w:p>
      <w:pPr>
        <w:pStyle w:val="Firstlevellist"/>
        <w:rPr>
          <w:noProof/>
        </w:rPr>
      </w:pPr>
      <w:r>
        <w:rPr>
          <w:b/>
          <w:noProof/>
        </w:rPr>
        <w:t>The geospatial solutions package</w:t>
      </w:r>
      <w:r>
        <w:rPr>
          <w:noProof/>
        </w:rPr>
        <w:t xml:space="preserve"> consists of legal/policy, organisational, semantic and technical interoperability solutions that aims to facilitate efficient and effective electronic cross-border and cross-sector interaction between European public administrations, and between them and citizens and companies, in the field of location information and services. This package led to the Re3gistry</w:t>
      </w:r>
      <w:r>
        <w:rPr>
          <w:noProof/>
          <w:vertAlign w:val="superscript"/>
        </w:rPr>
        <w:footnoteReference w:id="124"/>
      </w:r>
      <w:r>
        <w:rPr>
          <w:noProof/>
        </w:rPr>
        <w:t xml:space="preserve"> solution.</w:t>
      </w:r>
    </w:p>
    <w:p>
      <w:pPr>
        <w:pStyle w:val="Firstlevellist"/>
        <w:rPr>
          <w:noProof/>
        </w:rPr>
      </w:pPr>
      <w:r>
        <w:rPr>
          <w:b/>
          <w:noProof/>
        </w:rPr>
        <w:t>The eProcurement/eInvoicing package</w:t>
      </w:r>
      <w:r>
        <w:rPr>
          <w:noProof/>
        </w:rPr>
        <w:t xml:space="preserve"> helps update and improve existing EU tools for e-procurement. It aims to develop a common public procurement knowledge base to facilitate the creation, exchange, dissemination and reuse of procurement data. Examples include Open e-Prior</w:t>
      </w:r>
      <w:r>
        <w:rPr>
          <w:noProof/>
          <w:vertAlign w:val="superscript"/>
        </w:rPr>
        <w:footnoteReference w:id="125"/>
      </w:r>
      <w:r>
        <w:rPr>
          <w:noProof/>
        </w:rPr>
        <w:t>, ESPD</w:t>
      </w:r>
      <w:r>
        <w:rPr>
          <w:noProof/>
          <w:vertAlign w:val="superscript"/>
        </w:rPr>
        <w:footnoteReference w:id="126"/>
      </w:r>
      <w:r>
        <w:rPr>
          <w:noProof/>
        </w:rPr>
        <w:t xml:space="preserve"> and eCertis</w:t>
      </w:r>
      <w:r>
        <w:rPr>
          <w:noProof/>
          <w:vertAlign w:val="superscript"/>
        </w:rPr>
        <w:footnoteReference w:id="127"/>
      </w:r>
      <w:r>
        <w:rPr>
          <w:noProof/>
        </w:rPr>
        <w:t>.</w:t>
      </w:r>
    </w:p>
    <w:p>
      <w:pPr>
        <w:pStyle w:val="Firstlevellist"/>
        <w:rPr>
          <w:noProof/>
        </w:rPr>
      </w:pPr>
      <w:r>
        <w:rPr>
          <w:b/>
          <w:noProof/>
        </w:rPr>
        <w:t xml:space="preserve">The decision-making and legislation package </w:t>
      </w:r>
      <w:r>
        <w:rPr>
          <w:noProof/>
        </w:rPr>
        <w:t>covers actions that support the decision-making process, in particular by improving interoperability between EU institutions and between them and the Member States. These actions address several processes – ranging from collecting feedback from various stakeholders to drafting new legislation and monitoring that this legislation is implemented. The package led to the LEOS</w:t>
      </w:r>
      <w:r>
        <w:rPr>
          <w:noProof/>
          <w:vertAlign w:val="superscript"/>
        </w:rPr>
        <w:footnoteReference w:id="128"/>
      </w:r>
      <w:r>
        <w:rPr>
          <w:noProof/>
        </w:rPr>
        <w:t xml:space="preserve"> solution.</w:t>
      </w:r>
    </w:p>
    <w:p>
      <w:pPr>
        <w:pStyle w:val="Firstlevellist"/>
        <w:rPr>
          <w:noProof/>
        </w:rPr>
      </w:pPr>
      <w:r>
        <w:rPr>
          <w:b/>
          <w:noProof/>
        </w:rPr>
        <w:t>The EU policies — supporting instruments package</w:t>
      </w:r>
      <w:r>
        <w:rPr>
          <w:noProof/>
        </w:rPr>
        <w:t xml:space="preserve"> covers actions that support the implementation of EU policies for which interoperability aspects need to be considered. The package has led to the following solution: Online Collection Software to support European Citizens' Initiatives.</w:t>
      </w:r>
      <w:r>
        <w:rPr>
          <w:noProof/>
          <w:vertAlign w:val="superscript"/>
        </w:rPr>
        <w:footnoteReference w:id="129"/>
      </w:r>
    </w:p>
    <w:p>
      <w:pPr>
        <w:pStyle w:val="Firstlevellist"/>
        <w:rPr>
          <w:noProof/>
        </w:rPr>
      </w:pPr>
      <w:r>
        <w:rPr>
          <w:b/>
          <w:noProof/>
        </w:rPr>
        <w:t xml:space="preserve">The supporting instruments for public administrations package </w:t>
      </w:r>
      <w:r>
        <w:rPr>
          <w:noProof/>
        </w:rPr>
        <w:t>maps the EU’s interoperability landscape and provides solutions to support greater interoperability, ranging from sharing best practices to supporting the reuse of solutions.</w:t>
      </w:r>
      <w:r>
        <w:rPr>
          <w:b/>
          <w:noProof/>
        </w:rPr>
        <w:t xml:space="preserve"> </w:t>
      </w:r>
      <w:r>
        <w:rPr>
          <w:noProof/>
        </w:rPr>
        <w:t xml:space="preserve"> Examples include EUSurvey</w:t>
      </w:r>
      <w:r>
        <w:rPr>
          <w:noProof/>
          <w:vertAlign w:val="superscript"/>
        </w:rPr>
        <w:footnoteReference w:id="130"/>
      </w:r>
      <w:r>
        <w:rPr>
          <w:noProof/>
        </w:rPr>
        <w:t>, Joinup – European Collaborative Platform and Catalogue</w:t>
      </w:r>
      <w:r>
        <w:rPr>
          <w:noProof/>
          <w:vertAlign w:val="superscript"/>
        </w:rPr>
        <w:footnoteReference w:id="131"/>
      </w:r>
      <w:r>
        <w:rPr>
          <w:noProof/>
        </w:rPr>
        <w:t xml:space="preserve"> and the National Interoperability Framework Observatory (NIFO)</w:t>
      </w:r>
      <w:r>
        <w:rPr>
          <w:noProof/>
          <w:vertAlign w:val="superscript"/>
        </w:rPr>
        <w:footnoteReference w:id="132"/>
      </w:r>
      <w:r>
        <w:rPr>
          <w:noProof/>
        </w:rPr>
        <w:t>.</w:t>
      </w:r>
    </w:p>
    <w:p>
      <w:pPr>
        <w:pStyle w:val="FirstlevellistLAST"/>
        <w:rPr>
          <w:noProof/>
        </w:rPr>
      </w:pPr>
      <w:r>
        <w:rPr>
          <w:b/>
          <w:noProof/>
        </w:rPr>
        <w:t>The accompanying measures package</w:t>
      </w:r>
      <w:r>
        <w:rPr>
          <w:noProof/>
        </w:rPr>
        <w:t xml:space="preserve"> consists of activities to raise awareness of interoperability and monitoring and evaluating the programme’s implementation. Examples include the annual SEMIC Conference</w:t>
      </w:r>
      <w:r>
        <w:rPr>
          <w:noProof/>
          <w:vertAlign w:val="superscript"/>
        </w:rPr>
        <w:footnoteReference w:id="133"/>
      </w:r>
      <w:r>
        <w:rPr>
          <w:noProof/>
        </w:rPr>
        <w:t>, the ISA</w:t>
      </w:r>
      <w:r>
        <w:rPr>
          <w:noProof/>
          <w:vertAlign w:val="superscript"/>
        </w:rPr>
        <w:t>2</w:t>
      </w:r>
      <w:r>
        <w:rPr>
          <w:noProof/>
        </w:rPr>
        <w:t xml:space="preserve"> Mid-Term Conference</w:t>
      </w:r>
      <w:r>
        <w:rPr>
          <w:noProof/>
          <w:vertAlign w:val="superscript"/>
        </w:rPr>
        <w:footnoteReference w:id="134"/>
      </w:r>
      <w:r>
        <w:rPr>
          <w:noProof/>
        </w:rPr>
        <w:t xml:space="preserve"> and the ISA</w:t>
      </w:r>
      <w:r>
        <w:rPr>
          <w:noProof/>
          <w:vertAlign w:val="superscript"/>
        </w:rPr>
        <w:t>2</w:t>
      </w:r>
      <w:r>
        <w:rPr>
          <w:noProof/>
        </w:rPr>
        <w:t xml:space="preserve"> Dashboard</w:t>
      </w:r>
      <w:r>
        <w:rPr>
          <w:noProof/>
          <w:vertAlign w:val="superscript"/>
        </w:rPr>
        <w:footnoteReference w:id="135"/>
      </w:r>
      <w:r>
        <w:rPr>
          <w:noProof/>
        </w:rPr>
        <w:t>.</w:t>
      </w:r>
    </w:p>
    <w:p>
      <w:pPr>
        <w:pStyle w:val="ListParagraph"/>
        <w:numPr>
          <w:ilvl w:val="0"/>
          <w:numId w:val="24"/>
        </w:numPr>
        <w:spacing w:before="200" w:after="200" w:line="276" w:lineRule="auto"/>
        <w:ind w:left="357" w:hanging="357"/>
        <w:rPr>
          <w:b/>
          <w:smallCaps/>
          <w:noProof/>
        </w:rPr>
      </w:pPr>
      <w:r>
        <w:rPr>
          <w:b/>
          <w:smallCaps/>
          <w:noProof/>
        </w:rPr>
        <w:t>The expected results of the intervention: ‘what are the expected effects of the actions supported by the ISA² programme?’</w:t>
      </w:r>
    </w:p>
    <w:p>
      <w:pPr>
        <w:jc w:val="both"/>
        <w:rPr>
          <w:rFonts w:cs="Times New Roman"/>
          <w:b/>
          <w:noProof/>
          <w:lang w:val="en-GB"/>
        </w:rPr>
      </w:pPr>
      <w:r>
        <w:rPr>
          <w:rFonts w:cs="Times New Roman"/>
          <w:noProof/>
          <w:lang w:val="en-GB"/>
        </w:rPr>
        <w:t xml:space="preserve">When it began, the ISA² programme was expected to have certain effects (i.e. to cause changes) on certain categories of stakeholders. These </w:t>
      </w:r>
      <w:r>
        <w:rPr>
          <w:rFonts w:cs="Times New Roman"/>
          <w:b/>
          <w:noProof/>
          <w:lang w:val="en-GB"/>
        </w:rPr>
        <w:t>effects</w:t>
      </w:r>
      <w:r>
        <w:rPr>
          <w:rFonts w:cs="Times New Roman"/>
          <w:noProof/>
          <w:lang w:val="en-GB"/>
        </w:rPr>
        <w:t xml:space="preserve"> fall under</w:t>
      </w:r>
      <w:r>
        <w:rPr>
          <w:rFonts w:cs="Times New Roman"/>
          <w:b/>
          <w:noProof/>
          <w:lang w:val="en-GB"/>
        </w:rPr>
        <w:t xml:space="preserve"> three categories</w:t>
      </w:r>
      <w:r>
        <w:rPr>
          <w:rFonts w:cs="Times New Roman"/>
          <w:noProof/>
          <w:lang w:val="en-GB"/>
        </w:rPr>
        <w:t xml:space="preserve"> (outputs, outcomes and impacts) depending on when they occur and the groups they address. Note that external factors and other EU policies may influence the performance of the ISA² programme.</w:t>
      </w:r>
    </w:p>
    <w:p>
      <w:pPr>
        <w:jc w:val="both"/>
        <w:rPr>
          <w:rFonts w:cs="Times New Roman"/>
          <w:b/>
          <w:iCs/>
          <w:noProof/>
          <w:u w:val="single"/>
          <w:lang w:val="en-GB"/>
        </w:rPr>
      </w:pPr>
      <w:r>
        <w:rPr>
          <w:rFonts w:cs="Times New Roman"/>
          <w:b/>
          <w:iCs/>
          <w:noProof/>
          <w:u w:val="single"/>
          <w:lang w:val="en-GB"/>
        </w:rPr>
        <w:t>Outputs (expected)</w:t>
      </w:r>
    </w:p>
    <w:p>
      <w:pPr>
        <w:jc w:val="both"/>
        <w:rPr>
          <w:rFonts w:cs="Times New Roman"/>
          <w:noProof/>
          <w:lang w:val="en-GB"/>
        </w:rPr>
      </w:pPr>
      <w:r>
        <w:rPr>
          <w:rFonts w:cs="Times New Roman"/>
          <w:noProof/>
          <w:lang w:val="en-GB"/>
        </w:rPr>
        <w:t xml:space="preserve">The outputs of the ISA² programme are its </w:t>
      </w:r>
      <w:r>
        <w:rPr>
          <w:rFonts w:cs="Times New Roman"/>
          <w:b/>
          <w:noProof/>
          <w:lang w:val="en-GB"/>
        </w:rPr>
        <w:t>most immediate effects</w:t>
      </w:r>
      <w:r>
        <w:rPr>
          <w:rFonts w:cs="Times New Roman"/>
          <w:noProof/>
          <w:lang w:val="en-GB"/>
        </w:rPr>
        <w:t xml:space="preserve">, i.e. the deliverables/products of the funded actions. As the intervention logic looks at a certain intervention by simulating an </w:t>
      </w:r>
      <w:r>
        <w:rPr>
          <w:rFonts w:cs="Times New Roman"/>
          <w:i/>
          <w:iCs/>
          <w:noProof/>
          <w:lang w:val="en-GB"/>
        </w:rPr>
        <w:t>ex ante</w:t>
      </w:r>
      <w:r>
        <w:rPr>
          <w:rFonts w:cs="Times New Roman"/>
          <w:noProof/>
          <w:lang w:val="en-GB"/>
        </w:rPr>
        <w:t xml:space="preserve"> perspective, one must identify the outputs that were expected to stem from the programme when it was initially adopted. Note that expected outputs usually reflect the operational objectives identified in previous analytical steps. In this respect, the expected outputs and related indicators are listed in the ex-ante evaluation of ISA². </w:t>
      </w:r>
      <w:r>
        <w:rPr>
          <w:rFonts w:cs="Times New Roman"/>
          <w:noProof/>
        </w:rPr>
        <w:fldChar w:fldCharType="begin"/>
      </w:r>
      <w:r>
        <w:rPr>
          <w:rFonts w:cs="Times New Roman"/>
          <w:noProof/>
          <w:lang w:val="en-GB"/>
        </w:rPr>
        <w:instrText xml:space="preserve"> REF _Ref9329003 \h  \* MERGEFORMAT </w:instrText>
      </w:r>
      <w:r>
        <w:rPr>
          <w:rFonts w:cs="Times New Roman"/>
          <w:noProof/>
        </w:rPr>
      </w:r>
      <w:r>
        <w:rPr>
          <w:rFonts w:cs="Times New Roman"/>
          <w:noProof/>
        </w:rPr>
        <w:fldChar w:fldCharType="separate"/>
      </w:r>
      <w:r>
        <w:rPr>
          <w:rFonts w:cs="Times New Roman"/>
          <w:noProof/>
          <w:lang w:val="en-GB"/>
        </w:rPr>
        <w:t>Table 6</w:t>
      </w:r>
      <w:r>
        <w:rPr>
          <w:rFonts w:cs="Times New Roman"/>
          <w:noProof/>
        </w:rPr>
        <w:fldChar w:fldCharType="end"/>
      </w:r>
      <w:r>
        <w:rPr>
          <w:rFonts w:cs="Times New Roman"/>
          <w:noProof/>
          <w:lang w:val="en-GB"/>
        </w:rPr>
        <w:t xml:space="preserve"> above summarises the expected outcomes and a series of key performance indicators for each operational objective of the ISA² programme.</w:t>
      </w:r>
    </w:p>
    <w:p>
      <w:pPr>
        <w:jc w:val="both"/>
        <w:rPr>
          <w:rFonts w:cs="Times New Roman"/>
          <w:b/>
          <w:iCs/>
          <w:noProof/>
          <w:u w:val="single"/>
          <w:lang w:val="en-GB"/>
        </w:rPr>
      </w:pPr>
      <w:r>
        <w:rPr>
          <w:rFonts w:cs="Times New Roman"/>
          <w:b/>
          <w:iCs/>
          <w:noProof/>
          <w:u w:val="single"/>
          <w:lang w:val="en-GB"/>
        </w:rPr>
        <w:t>Outcomes (expected)</w:t>
      </w:r>
    </w:p>
    <w:p>
      <w:pPr>
        <w:jc w:val="both"/>
        <w:rPr>
          <w:rFonts w:cs="Times New Roman"/>
          <w:noProof/>
          <w:lang w:val="en-GB"/>
        </w:rPr>
      </w:pPr>
      <w:r>
        <w:rPr>
          <w:rFonts w:cs="Times New Roman"/>
          <w:noProof/>
          <w:lang w:val="en-GB"/>
        </w:rPr>
        <w:t xml:space="preserve">The outcomes are the </w:t>
      </w:r>
      <w:r>
        <w:rPr>
          <w:rFonts w:cs="Times New Roman"/>
          <w:b/>
          <w:noProof/>
          <w:lang w:val="en-GB"/>
        </w:rPr>
        <w:t>short-term and medium-term changes for the groups the programme directly addresses</w:t>
      </w:r>
      <w:r>
        <w:rPr>
          <w:rFonts w:cs="Times New Roman"/>
          <w:noProof/>
          <w:lang w:val="en-GB"/>
        </w:rPr>
        <w:t>. As outcomes are usually connected to the specific objectives, they can be summarised as follows:</w:t>
      </w:r>
    </w:p>
    <w:p>
      <w:pPr>
        <w:pStyle w:val="Firstlevellist"/>
        <w:rPr>
          <w:noProof/>
        </w:rPr>
      </w:pPr>
      <w:r>
        <w:rPr>
          <w:noProof/>
        </w:rPr>
        <w:t>a coherent interoperability landscape in the Union based on a holistic approach to interoperability;</w:t>
      </w:r>
    </w:p>
    <w:p>
      <w:pPr>
        <w:pStyle w:val="Firstlevellist"/>
        <w:rPr>
          <w:noProof/>
        </w:rPr>
      </w:pPr>
      <w:r>
        <w:rPr>
          <w:noProof/>
        </w:rPr>
        <w:t>efficient and effective electronic cross-border or cross-sectoral interactions between European Public Administrations as well as between European public administrations and businesses/citizens;</w:t>
      </w:r>
    </w:p>
    <w:p>
      <w:pPr>
        <w:pStyle w:val="Firstlevellist"/>
        <w:rPr>
          <w:noProof/>
        </w:rPr>
      </w:pPr>
      <w:r>
        <w:rPr>
          <w:noProof/>
        </w:rPr>
        <w:t>more effective, simplified and user-friendly e-administrations in European public administrations;</w:t>
      </w:r>
    </w:p>
    <w:p>
      <w:pPr>
        <w:pStyle w:val="Firstlevellist"/>
        <w:rPr>
          <w:noProof/>
        </w:rPr>
      </w:pPr>
      <w:r>
        <w:rPr>
          <w:noProof/>
        </w:rPr>
        <w:t>advancement of Union policies and activities by supporting their implementation; and</w:t>
      </w:r>
    </w:p>
    <w:p>
      <w:pPr>
        <w:pStyle w:val="FirstlevellistLAST"/>
        <w:rPr>
          <w:noProof/>
        </w:rPr>
      </w:pPr>
      <w:r>
        <w:rPr>
          <w:noProof/>
        </w:rPr>
        <w:t>take-up and re-use of the ISA</w:t>
      </w:r>
      <w:r>
        <w:rPr>
          <w:noProof/>
          <w:vertAlign w:val="superscript"/>
        </w:rPr>
        <w:t>2</w:t>
      </w:r>
      <w:r>
        <w:rPr>
          <w:noProof/>
        </w:rPr>
        <w:t xml:space="preserve"> programme’s results by European public administrations.</w:t>
      </w:r>
    </w:p>
    <w:p>
      <w:pPr>
        <w:jc w:val="both"/>
        <w:rPr>
          <w:rFonts w:cs="Times New Roman"/>
          <w:b/>
          <w:iCs/>
          <w:noProof/>
          <w:u w:val="single"/>
          <w:lang w:val="en-GB"/>
        </w:rPr>
      </w:pPr>
      <w:r>
        <w:rPr>
          <w:rFonts w:cs="Times New Roman"/>
          <w:b/>
          <w:iCs/>
          <w:noProof/>
          <w:u w:val="single"/>
          <w:lang w:val="en-GB"/>
        </w:rPr>
        <w:t>Impacts (expected)</w:t>
      </w:r>
    </w:p>
    <w:p>
      <w:pPr>
        <w:jc w:val="both"/>
        <w:rPr>
          <w:rFonts w:cs="Times New Roman"/>
          <w:noProof/>
          <w:lang w:val="en-GB"/>
        </w:rPr>
      </w:pPr>
      <w:r>
        <w:rPr>
          <w:rFonts w:cs="Times New Roman"/>
          <w:noProof/>
          <w:lang w:val="en-GB"/>
        </w:rPr>
        <w:t xml:space="preserve">As mentioned above, the intervention logic also includes the </w:t>
      </w:r>
      <w:r>
        <w:rPr>
          <w:rFonts w:cs="Times New Roman"/>
          <w:b/>
          <w:noProof/>
          <w:lang w:val="en-GB"/>
        </w:rPr>
        <w:t>impacts</w:t>
      </w:r>
      <w:r>
        <w:rPr>
          <w:rFonts w:cs="Times New Roman"/>
          <w:noProof/>
          <w:lang w:val="en-GB"/>
        </w:rPr>
        <w:t xml:space="preserve">, i.e. the changes caused by an EU intervention </w:t>
      </w:r>
      <w:r>
        <w:rPr>
          <w:rFonts w:cs="Times New Roman"/>
          <w:b/>
          <w:noProof/>
          <w:lang w:val="en-GB"/>
        </w:rPr>
        <w:t>over a longer period</w:t>
      </w:r>
      <w:r>
        <w:rPr>
          <w:rFonts w:cs="Times New Roman"/>
          <w:noProof/>
          <w:lang w:val="en-GB"/>
        </w:rPr>
        <w:t xml:space="preserve"> and also </w:t>
      </w:r>
      <w:r>
        <w:rPr>
          <w:rFonts w:cs="Times New Roman"/>
          <w:b/>
          <w:noProof/>
          <w:lang w:val="en-GB"/>
        </w:rPr>
        <w:t>affecting the society as a whole</w:t>
      </w:r>
      <w:r>
        <w:rPr>
          <w:rFonts w:cs="Times New Roman"/>
          <w:noProof/>
          <w:lang w:val="en-GB"/>
        </w:rPr>
        <w:t xml:space="preserve"> rather than only the direct addressees of the intervention itself. These changes are related to the general objectives of a certain intervention. By analysing the ISA</w:t>
      </w:r>
      <w:r>
        <w:rPr>
          <w:rFonts w:cs="Times New Roman"/>
          <w:noProof/>
          <w:vertAlign w:val="superscript"/>
          <w:lang w:val="en-GB"/>
        </w:rPr>
        <w:t>2</w:t>
      </w:r>
      <w:r>
        <w:rPr>
          <w:rFonts w:cs="Times New Roman"/>
          <w:noProof/>
          <w:lang w:val="en-GB"/>
        </w:rPr>
        <w:t xml:space="preserve"> Decision and the ISA</w:t>
      </w:r>
      <w:r>
        <w:rPr>
          <w:rFonts w:cs="Times New Roman"/>
          <w:noProof/>
          <w:vertAlign w:val="superscript"/>
          <w:lang w:val="en-GB"/>
        </w:rPr>
        <w:t>2</w:t>
      </w:r>
      <w:r>
        <w:rPr>
          <w:rFonts w:cs="Times New Roman"/>
          <w:noProof/>
          <w:lang w:val="en-GB"/>
        </w:rPr>
        <w:t xml:space="preserve"> proposal, the following impacts are expected:</w:t>
      </w:r>
    </w:p>
    <w:p>
      <w:pPr>
        <w:pStyle w:val="Firstlevellist"/>
        <w:rPr>
          <w:noProof/>
        </w:rPr>
      </w:pPr>
      <w:r>
        <w:rPr>
          <w:noProof/>
        </w:rPr>
        <w:t xml:space="preserve">increasing the speed, efficiency and quality in the creation and delivery of cross-border and cross-sector electronic public services to meet the needs of businesses and citizens; </w:t>
      </w:r>
    </w:p>
    <w:p>
      <w:pPr>
        <w:pStyle w:val="Firstlevellist"/>
        <w:rPr>
          <w:noProof/>
        </w:rPr>
      </w:pPr>
      <w:r>
        <w:rPr>
          <w:noProof/>
        </w:rPr>
        <w:t>improving the efficiency and productivity of the European public administrations, which can be a strong driver of economic growth through its support for, and governance of, the private sector;</w:t>
      </w:r>
    </w:p>
    <w:p>
      <w:pPr>
        <w:pStyle w:val="Firstlevellist"/>
        <w:rPr>
          <w:noProof/>
        </w:rPr>
      </w:pPr>
      <w:r>
        <w:rPr>
          <w:noProof/>
        </w:rPr>
        <w:t>reducing the cost and administrative burden of cross-border interaction, removing administrative e-barriers and contributing to the swift implementation of ICT systems supporting EU legislation; and</w:t>
      </w:r>
    </w:p>
    <w:p>
      <w:pPr>
        <w:pStyle w:val="FirstlevellistLAST"/>
        <w:rPr>
          <w:noProof/>
        </w:rPr>
      </w:pPr>
      <w:r>
        <w:rPr>
          <w:noProof/>
        </w:rPr>
        <w:t>contributing to the successful achievement of the DSM.</w:t>
      </w:r>
    </w:p>
    <w:p>
      <w:pPr>
        <w:rPr>
          <w:rFonts w:cs="Times New Roman"/>
          <w:noProof/>
          <w:lang w:val="en-GB"/>
        </w:rPr>
        <w:sectPr>
          <w:headerReference w:type="even" r:id="rId218"/>
          <w:headerReference w:type="default" r:id="rId219"/>
          <w:footerReference w:type="even" r:id="rId220"/>
          <w:footerReference w:type="default" r:id="rId221"/>
          <w:headerReference w:type="first" r:id="rId222"/>
          <w:footerReference w:type="first" r:id="rId223"/>
          <w:pgSz w:w="11906" w:h="16838"/>
          <w:pgMar w:top="1020" w:right="1701" w:bottom="1020" w:left="1587" w:header="601" w:footer="1077" w:gutter="0"/>
          <w:cols w:space="720"/>
          <w:titlePg/>
          <w:docGrid w:linePitch="326"/>
        </w:sectPr>
      </w:pPr>
    </w:p>
    <w:p>
      <w:pPr>
        <w:pStyle w:val="AnnexTitle"/>
        <w:rPr>
          <w:noProof/>
        </w:rPr>
      </w:pPr>
      <w:bookmarkStart w:id="29" w:name="_Toc14708152"/>
      <w:r>
        <w:rPr>
          <w:noProof/>
        </w:rPr>
        <w:t xml:space="preserve">Annex </w:t>
      </w:r>
      <w:r>
        <w:rPr>
          <w:noProof/>
        </w:rPr>
        <w:fldChar w:fldCharType="begin"/>
      </w:r>
      <w:r>
        <w:rPr>
          <w:noProof/>
        </w:rPr>
        <w:instrText xml:space="preserve"> SEQ Annex \* ARABIC </w:instrText>
      </w:r>
      <w:r>
        <w:rPr>
          <w:noProof/>
        </w:rPr>
        <w:fldChar w:fldCharType="separate"/>
      </w:r>
      <w:r>
        <w:rPr>
          <w:noProof/>
        </w:rPr>
        <w:t>4</w:t>
      </w:r>
      <w:r>
        <w:rPr>
          <w:noProof/>
        </w:rPr>
        <w:fldChar w:fldCharType="end"/>
      </w:r>
      <w:r>
        <w:rPr>
          <w:noProof/>
        </w:rPr>
        <w:t>: Evaluation Framework</w:t>
      </w:r>
      <w:bookmarkEnd w:id="29"/>
    </w:p>
    <w:p>
      <w:pPr>
        <w:rPr>
          <w:rFonts w:cs="Times New Roman"/>
          <w:noProof/>
          <w:lang w:val="en-GB" w:eastAsia="de-DE"/>
        </w:rPr>
      </w:pPr>
      <w:r>
        <w:rPr>
          <w:rFonts w:cs="Times New Roman"/>
          <w:noProof/>
          <w:lang w:val="en-GB" w:eastAsia="de-DE"/>
        </w:rPr>
        <w:t>This annex presents the evaluation framework</w:t>
      </w:r>
      <w:r>
        <w:rPr>
          <w:rStyle w:val="FootnoteReference"/>
          <w:noProof/>
          <w:lang w:eastAsia="de-DE"/>
        </w:rPr>
        <w:footnoteReference w:id="136"/>
      </w:r>
      <w:r>
        <w:rPr>
          <w:rFonts w:cs="Times New Roman"/>
          <w:noProof/>
          <w:lang w:val="en-GB" w:eastAsia="de-DE"/>
        </w:rPr>
        <w:t xml:space="preserve"> on which the entire evaluation is based.</w:t>
      </w:r>
    </w:p>
    <w:tbl>
      <w:tblPr>
        <w:tblStyle w:val="GridTable4Accent1"/>
        <w:tblW w:w="4950" w:type="pct"/>
        <w:tblLook w:val="0420" w:firstRow="1" w:lastRow="0" w:firstColumn="0" w:lastColumn="0" w:noHBand="0" w:noVBand="1"/>
      </w:tblPr>
      <w:tblGrid>
        <w:gridCol w:w="2417"/>
        <w:gridCol w:w="2488"/>
        <w:gridCol w:w="3148"/>
        <w:gridCol w:w="3312"/>
        <w:gridCol w:w="3499"/>
      </w:tblGrid>
      <w:tr>
        <w:trPr>
          <w:cnfStyle w:val="100000000000" w:firstRow="1" w:lastRow="0" w:firstColumn="0" w:lastColumn="0" w:oddVBand="0" w:evenVBand="0" w:oddHBand="0" w:evenHBand="0" w:firstRowFirstColumn="0" w:firstRowLastColumn="0" w:lastRowFirstColumn="0" w:lastRowLastColumn="0"/>
          <w:trHeight w:val="341"/>
          <w:tblHeader/>
        </w:trPr>
        <w:tc>
          <w:tcPr>
            <w:tcW w:w="813" w:type="pct"/>
            <w:hideMark/>
          </w:tcPr>
          <w:p>
            <w:pPr>
              <w:spacing w:after="120" w:line="264" w:lineRule="auto"/>
              <w:jc w:val="center"/>
              <w:rPr>
                <w:rFonts w:eastAsia="Calibri" w:cs="Times New Roman"/>
                <w:noProof/>
                <w:sz w:val="20"/>
                <w:szCs w:val="20"/>
                <w:lang w:val="en-GB"/>
              </w:rPr>
            </w:pPr>
            <w:r>
              <w:rPr>
                <w:rFonts w:eastAsia="Calibri" w:cs="Times New Roman"/>
                <w:noProof/>
                <w:sz w:val="20"/>
                <w:szCs w:val="20"/>
                <w:lang w:val="en-GB"/>
              </w:rPr>
              <w:t>Evaluation questions</w:t>
            </w:r>
          </w:p>
        </w:tc>
        <w:tc>
          <w:tcPr>
            <w:tcW w:w="837" w:type="pct"/>
            <w:hideMark/>
          </w:tcPr>
          <w:p>
            <w:pPr>
              <w:spacing w:after="120" w:line="264" w:lineRule="auto"/>
              <w:jc w:val="center"/>
              <w:rPr>
                <w:rFonts w:eastAsia="Calibri" w:cs="Times New Roman"/>
                <w:noProof/>
                <w:sz w:val="20"/>
                <w:szCs w:val="20"/>
                <w:lang w:val="en-GB"/>
              </w:rPr>
            </w:pPr>
            <w:r>
              <w:rPr>
                <w:rFonts w:eastAsia="Calibri" w:cs="Times New Roman"/>
                <w:noProof/>
                <w:sz w:val="20"/>
                <w:szCs w:val="20"/>
                <w:lang w:val="en-GB"/>
              </w:rPr>
              <w:t>Success/judgment criteria</w:t>
            </w:r>
          </w:p>
        </w:tc>
        <w:tc>
          <w:tcPr>
            <w:tcW w:w="1059" w:type="pct"/>
            <w:hideMark/>
          </w:tcPr>
          <w:p>
            <w:pPr>
              <w:spacing w:after="120" w:line="264" w:lineRule="auto"/>
              <w:jc w:val="center"/>
              <w:rPr>
                <w:rFonts w:eastAsia="Calibri" w:cs="Times New Roman"/>
                <w:noProof/>
                <w:sz w:val="20"/>
                <w:szCs w:val="20"/>
                <w:lang w:val="en-GB"/>
              </w:rPr>
            </w:pPr>
            <w:r>
              <w:rPr>
                <w:rFonts w:eastAsia="Calibri" w:cs="Times New Roman"/>
                <w:noProof/>
                <w:sz w:val="20"/>
                <w:szCs w:val="20"/>
                <w:lang w:val="en-GB"/>
              </w:rPr>
              <w:t>Indicators</w:t>
            </w:r>
          </w:p>
        </w:tc>
        <w:tc>
          <w:tcPr>
            <w:tcW w:w="1114" w:type="pct"/>
            <w:hideMark/>
          </w:tcPr>
          <w:p>
            <w:pPr>
              <w:spacing w:after="120" w:line="264" w:lineRule="auto"/>
              <w:jc w:val="center"/>
              <w:rPr>
                <w:rFonts w:eastAsia="Calibri" w:cs="Times New Roman"/>
                <w:noProof/>
                <w:sz w:val="20"/>
                <w:szCs w:val="20"/>
                <w:lang w:val="en-GB"/>
              </w:rPr>
            </w:pPr>
            <w:r>
              <w:rPr>
                <w:rFonts w:eastAsia="Calibri" w:cs="Times New Roman"/>
                <w:noProof/>
                <w:sz w:val="20"/>
                <w:szCs w:val="20"/>
                <w:lang w:val="en-GB"/>
              </w:rPr>
              <w:t>Data sources</w:t>
            </w:r>
          </w:p>
        </w:tc>
        <w:tc>
          <w:tcPr>
            <w:tcW w:w="1177" w:type="pct"/>
            <w:hideMark/>
          </w:tcPr>
          <w:p>
            <w:pPr>
              <w:spacing w:after="120" w:line="264" w:lineRule="auto"/>
              <w:jc w:val="center"/>
              <w:rPr>
                <w:rFonts w:eastAsia="Calibri" w:cs="Times New Roman"/>
                <w:noProof/>
                <w:sz w:val="20"/>
                <w:szCs w:val="20"/>
                <w:lang w:val="en-GB"/>
              </w:rPr>
            </w:pPr>
            <w:r>
              <w:rPr>
                <w:rFonts w:eastAsia="Calibri" w:cs="Times New Roman"/>
                <w:noProof/>
                <w:sz w:val="20"/>
                <w:szCs w:val="20"/>
                <w:lang w:val="en-GB"/>
              </w:rPr>
              <w:t>Data collection / analysis methods</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5"/>
            <w:hideMark/>
          </w:tcPr>
          <w:p>
            <w:pPr>
              <w:jc w:val="center"/>
              <w:rPr>
                <w:rFonts w:eastAsia="Calibri" w:cs="Times New Roman"/>
                <w:b/>
                <w:noProof/>
                <w:sz w:val="20"/>
                <w:szCs w:val="20"/>
                <w:lang w:val="en-GB" w:eastAsia="fr-FR"/>
              </w:rPr>
            </w:pPr>
            <w:r>
              <w:rPr>
                <w:rFonts w:eastAsia="Calibri" w:cs="Times New Roman"/>
                <w:b/>
                <w:noProof/>
                <w:sz w:val="20"/>
                <w:szCs w:val="20"/>
                <w:lang w:val="en-GB" w:eastAsia="fr-FR"/>
              </w:rPr>
              <w:t>Evaluation criterion #1: Relevance</w:t>
            </w:r>
          </w:p>
        </w:tc>
      </w:tr>
      <w:tr>
        <w:trPr>
          <w:trHeight w:val="1592"/>
        </w:trPr>
        <w:tc>
          <w:tcPr>
            <w:tcW w:w="813" w:type="pct"/>
            <w:hideMark/>
          </w:tcPr>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To what extent are the objectives of the ISA² programme still pertinent in relation to the evolving needs and problems at both national and EU levels?</w:t>
            </w:r>
          </w:p>
        </w:tc>
        <w:tc>
          <w:tcPr>
            <w:tcW w:w="83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alignment between stakeholders’ perception of needs and problems at national and sub-national levels and the objectives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alignment between stakeholders’ perception of needs and problems at EU level and the objectives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alignment between needs and problems originally addressed by the programme and stakeholders’ perception of needs and problems</w:t>
            </w:r>
          </w:p>
        </w:tc>
        <w:tc>
          <w:tcPr>
            <w:tcW w:w="1059" w:type="pct"/>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the alignment between needs and problems addressed by the programme and current needs and problems.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the alignment between the objectives of the programme and current needs and problems at national and sub-national levels.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the alignment between the objectives of the programme and current needs and problems at EU level.</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the alignment between the objectives of the programme and current needs and problems.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the alignment between needs and problems addressed by the programme and current needs and problems.</w:t>
            </w:r>
          </w:p>
          <w:p>
            <w:pPr>
              <w:ind w:left="360"/>
              <w:rPr>
                <w:rFonts w:eastAsia="Calibri" w:cs="Times New Roman"/>
                <w:noProof/>
                <w:sz w:val="20"/>
                <w:szCs w:val="20"/>
                <w:lang w:val="en-GB" w:eastAsia="fr-FR"/>
              </w:rPr>
            </w:pPr>
          </w:p>
        </w:tc>
        <w:tc>
          <w:tcPr>
            <w:tcW w:w="1114"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Primary information on needs and problems from the following categories of stakeholders:</w:t>
            </w:r>
          </w:p>
          <w:p>
            <w:pPr>
              <w:numPr>
                <w:ilvl w:val="1"/>
                <w:numId w:val="16"/>
              </w:numPr>
              <w:ind w:left="844" w:hanging="425"/>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44" w:hanging="425"/>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44" w:hanging="425"/>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44" w:hanging="425"/>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44" w:hanging="425"/>
              <w:rPr>
                <w:rFonts w:eastAsia="Calibri" w:cs="Times New Roman"/>
                <w:noProof/>
                <w:sz w:val="20"/>
                <w:szCs w:val="20"/>
                <w:lang w:val="en-GB" w:eastAsia="fr-FR"/>
              </w:rPr>
            </w:pPr>
            <w:r>
              <w:rPr>
                <w:rFonts w:eastAsia="Calibri" w:cs="Times New Roman"/>
                <w:noProof/>
                <w:sz w:val="20"/>
                <w:szCs w:val="20"/>
                <w:lang w:val="en-GB" w:eastAsia="fr-FR"/>
              </w:rPr>
              <w:t>Stakeholders responsible for linked EU policies/initiatives.</w:t>
            </w:r>
          </w:p>
          <w:p>
            <w:pPr>
              <w:numPr>
                <w:ilvl w:val="1"/>
                <w:numId w:val="16"/>
              </w:numPr>
              <w:ind w:left="844" w:hanging="425"/>
              <w:rPr>
                <w:rFonts w:eastAsia="Calibri" w:cs="Times New Roman"/>
                <w:noProof/>
                <w:sz w:val="20"/>
                <w:szCs w:val="20"/>
                <w:lang w:val="en-GB" w:eastAsia="fr-FR"/>
              </w:rPr>
            </w:pPr>
            <w:r>
              <w:rPr>
                <w:rFonts w:eastAsia="Calibri" w:cs="Times New Roman"/>
                <w:noProof/>
                <w:sz w:val="20"/>
                <w:szCs w:val="20"/>
                <w:lang w:val="en-GB" w:eastAsia="fr-FR"/>
              </w:rPr>
              <w:t>Experts.</w:t>
            </w:r>
          </w:p>
          <w:p>
            <w:pPr>
              <w:numPr>
                <w:ilvl w:val="1"/>
                <w:numId w:val="16"/>
              </w:numPr>
              <w:ind w:left="844" w:hanging="425"/>
              <w:rPr>
                <w:rFonts w:eastAsia="Calibri" w:cs="Times New Roman"/>
                <w:noProof/>
                <w:sz w:val="20"/>
                <w:szCs w:val="20"/>
                <w:lang w:val="en-GB" w:eastAsia="fr-FR"/>
              </w:rPr>
            </w:pPr>
            <w:r>
              <w:rPr>
                <w:rFonts w:eastAsia="Calibri" w:cs="Times New Roman"/>
                <w:noProof/>
                <w:sz w:val="20"/>
                <w:szCs w:val="20"/>
                <w:lang w:val="en-GB" w:eastAsia="fr-FR"/>
              </w:rPr>
              <w:t>Indirect beneficiaries and wider public.</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Secondary information on needs and problems from operational documents, other official documents and relevant literature, such as:</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ISA² Decision and accompanying documents.</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ISA² Rolling Work Programme.</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eGovernment factsheets.</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Study on the role of eGovernment and interoperability in the European Semester.</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State of Play of Interoperability in Europe.</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Data on the digital economy from Eurostat.</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Interim review of the DSM Strategy.</w:t>
            </w:r>
          </w:p>
        </w:tc>
        <w:tc>
          <w:tcPr>
            <w:tcW w:w="117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Interviews with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Stakeholders responsible for linked EU policies/initiatives.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Standardisation organisations.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Online surveys targeted to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Stakeholders responsible for linked policies/initiatives.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Short questionnaire to be administered during the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Mid-Term Conference.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Public consultation.</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responses to interviews and surveys (Likert scale).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responses to interviews and surveys and data and information collected via desk research.</w:t>
            </w:r>
          </w:p>
        </w:tc>
      </w:tr>
      <w:tr>
        <w:trPr>
          <w:cnfStyle w:val="000000100000" w:firstRow="0" w:lastRow="0" w:firstColumn="0" w:lastColumn="0" w:oddVBand="0" w:evenVBand="0" w:oddHBand="1" w:evenHBand="0" w:firstRowFirstColumn="0" w:firstRowLastColumn="0" w:lastRowFirstColumn="0" w:lastRowLastColumn="0"/>
          <w:trHeight w:val="395"/>
        </w:trPr>
        <w:tc>
          <w:tcPr>
            <w:tcW w:w="5000" w:type="pct"/>
            <w:gridSpan w:val="5"/>
            <w:hideMark/>
          </w:tcPr>
          <w:p>
            <w:pPr>
              <w:jc w:val="center"/>
              <w:rPr>
                <w:rFonts w:eastAsia="Calibri" w:cs="Times New Roman"/>
                <w:noProof/>
                <w:sz w:val="20"/>
                <w:szCs w:val="20"/>
                <w:lang w:val="en-GB" w:eastAsia="fr-FR"/>
              </w:rPr>
            </w:pPr>
            <w:r>
              <w:rPr>
                <w:rFonts w:eastAsia="Calibri" w:cs="Times New Roman"/>
                <w:b/>
                <w:noProof/>
                <w:sz w:val="20"/>
                <w:szCs w:val="20"/>
                <w:lang w:val="en-GB" w:eastAsia="fr-FR"/>
              </w:rPr>
              <w:t>Evaluation criterion #2: Effectiveness</w:t>
            </w:r>
          </w:p>
        </w:tc>
      </w:tr>
      <w:tr>
        <w:trPr>
          <w:trHeight w:val="46"/>
        </w:trPr>
        <w:tc>
          <w:tcPr>
            <w:tcW w:w="813" w:type="pct"/>
            <w:hideMark/>
          </w:tcPr>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How far are the ISA² programme's results in the process of achieving the programme's objectives?</w:t>
            </w:r>
          </w:p>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Are there aspects that are more or less effective than others, and if so, what lessons can be drawn from this?</w:t>
            </w:r>
          </w:p>
        </w:tc>
        <w:tc>
          <w:tcPr>
            <w:tcW w:w="83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 xml:space="preserve">Degree of alignment between actual and expected results and objectives of the programme. </w:t>
            </w:r>
          </w:p>
          <w:p>
            <w:pPr>
              <w:numPr>
                <w:ilvl w:val="0"/>
                <w:numId w:val="16"/>
              </w:numPr>
              <w:rPr>
                <w:rFonts w:eastAsia="Times New Roman" w:cs="Times New Roman"/>
                <w:noProof/>
                <w:sz w:val="20"/>
                <w:szCs w:val="20"/>
                <w:lang w:val="en-GB"/>
              </w:rPr>
            </w:pPr>
            <w:r>
              <w:rPr>
                <w:rFonts w:eastAsia="Calibri" w:cs="Times New Roman"/>
                <w:noProof/>
                <w:sz w:val="20"/>
                <w:szCs w:val="20"/>
                <w:lang w:val="en-GB" w:eastAsia="fr-FR"/>
              </w:rPr>
              <w:t>Impact of external factors on the performance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Measurement of the indicators summarising the outputs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alignment with principles spelled out in Article 4 of the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Decision.</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Awareness of the programme.</w:t>
            </w:r>
          </w:p>
        </w:tc>
        <w:tc>
          <w:tcPr>
            <w:tcW w:w="1059"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the alignment between actual and expected results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the alignment between the objectives and actual results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who are aware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identifying external factors contributing to/jeopardising the performance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who are aware of specific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packages/ actions/ solutions.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the alignment between objectives, expected and actual results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performance indicators of outputs.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the alignment with principles spelled out in Article 4 of the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Decision.</w:t>
            </w:r>
          </w:p>
        </w:tc>
        <w:tc>
          <w:tcPr>
            <w:tcW w:w="1114"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Primary information actual results and contribution to the programme’s objectives from the following categories of stakeholders:</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Experts.</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Indirect beneficiaries and wider public.</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Secondary information from operational documents and other official documents, such as: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ISA² Rolling Work Programme</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ISA² Annual Monitoring and Evaluation Reports.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ISA² Quarterly Monitoring Reports.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ISA² Dashboard.</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Documentary evidence on funded actions (e.g. deliverables, final reports).</w:t>
            </w:r>
          </w:p>
        </w:tc>
        <w:tc>
          <w:tcPr>
            <w:tcW w:w="117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Interviews with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Standardisation organisations.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Online surveys targeted to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Short questionnaire to be administered during the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Mid-Term Conference.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Public consultation.</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responses to interviews and surveys (Likert scale).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responses to interviews and surveys and data and information collected via 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Multi-criteria analysis.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Success stories/lessons learnt.</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5"/>
            <w:hideMark/>
          </w:tcPr>
          <w:p>
            <w:pPr>
              <w:jc w:val="center"/>
              <w:rPr>
                <w:rFonts w:eastAsia="Calibri" w:cs="Times New Roman"/>
                <w:noProof/>
                <w:sz w:val="20"/>
                <w:szCs w:val="20"/>
                <w:lang w:val="en-GB" w:eastAsia="fr-FR"/>
              </w:rPr>
            </w:pPr>
            <w:r>
              <w:rPr>
                <w:rFonts w:eastAsia="Calibri" w:cs="Times New Roman"/>
                <w:b/>
                <w:noProof/>
                <w:sz w:val="20"/>
                <w:szCs w:val="20"/>
                <w:lang w:val="en-GB" w:eastAsia="fr-FR"/>
              </w:rPr>
              <w:t>Evaluation criterion #3: Efficiency</w:t>
            </w:r>
          </w:p>
        </w:tc>
      </w:tr>
      <w:tr>
        <w:tc>
          <w:tcPr>
            <w:tcW w:w="813" w:type="pct"/>
          </w:tcPr>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To what extent has the programme been cost-effective?</w:t>
            </w:r>
          </w:p>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Which aspects of the programme are the most efficient or inefficient, especially in terms of resources mobilised?</w:t>
            </w:r>
          </w:p>
          <w:p>
            <w:pPr>
              <w:ind w:left="709" w:hanging="349"/>
              <w:rPr>
                <w:rFonts w:eastAsia="Calibri" w:cs="Times New Roman"/>
                <w:noProof/>
                <w:sz w:val="20"/>
                <w:szCs w:val="20"/>
                <w:lang w:val="en-GB" w:eastAsia="fr-FR"/>
              </w:rPr>
            </w:pPr>
            <w:r>
              <w:rPr>
                <w:rFonts w:eastAsia="Calibri" w:cs="Times New Roman"/>
                <w:noProof/>
                <w:sz w:val="20"/>
                <w:szCs w:val="20"/>
                <w:lang w:val="en-GB" w:eastAsia="fr-FR"/>
              </w:rPr>
              <w:t>5.1</w:t>
            </w:r>
            <w:r>
              <w:rPr>
                <w:rFonts w:eastAsia="Calibri" w:cs="Times New Roman"/>
                <w:noProof/>
                <w:sz w:val="20"/>
                <w:szCs w:val="20"/>
                <w:lang w:val="en-GB" w:eastAsia="fr-FR"/>
              </w:rPr>
              <w:tab/>
              <w:t xml:space="preserve">How is the programme performing relative to the planned work and budget?  </w:t>
            </w:r>
          </w:p>
          <w:p>
            <w:pPr>
              <w:ind w:left="179"/>
              <w:rPr>
                <w:rFonts w:eastAsia="Calibri" w:cs="Times New Roman"/>
                <w:noProof/>
                <w:sz w:val="20"/>
                <w:szCs w:val="20"/>
                <w:lang w:val="en-GB" w:eastAsia="fr-FR"/>
              </w:rPr>
            </w:pPr>
          </w:p>
        </w:tc>
        <w:tc>
          <w:tcPr>
            <w:tcW w:w="837" w:type="pct"/>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Cost-effectiveness analysis to assess the ratio between allocated funds and actual results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Earned value management analysis.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Efficiency of the selection process of the actions to be included in the Rolling Work Programme.</w:t>
            </w:r>
          </w:p>
          <w:p>
            <w:pPr>
              <w:ind w:left="360"/>
              <w:rPr>
                <w:rFonts w:eastAsia="Calibri" w:cs="Times New Roman"/>
                <w:noProof/>
                <w:sz w:val="20"/>
                <w:szCs w:val="20"/>
                <w:lang w:val="en-GB" w:eastAsia="fr-FR"/>
              </w:rPr>
            </w:pPr>
          </w:p>
        </w:tc>
        <w:tc>
          <w:tcPr>
            <w:tcW w:w="1059"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Comparison between the costs of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packages and the results measured via performance indicators.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Earned Value, Actual Costs, Planned Value, and Schedule Performance Index of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packages.</w:t>
            </w:r>
            <w:r>
              <w:rPr>
                <w:rFonts w:eastAsia="Calibri" w:cs="Times New Roman"/>
                <w:noProof/>
                <w:color w:val="000000"/>
                <w:sz w:val="20"/>
                <w:szCs w:val="20"/>
                <w:vertAlign w:val="superscript"/>
                <w:lang w:val="en-GB" w:eastAsia="fr-FR"/>
              </w:rPr>
              <w:footnoteReference w:id="137"/>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that the selection process of the actions is fit-for-purpose.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Assessment of regulatory costs linked to the selection process of the actions included in the Rolling Work Programme.</w:t>
            </w:r>
          </w:p>
        </w:tc>
        <w:tc>
          <w:tcPr>
            <w:tcW w:w="1114"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Primary information on costs from the following categories of stakeholders: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Secondary information from operational documents and other official documents, such as:</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ISA² Rolling Work Programme</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ISA² Annual Monitoring and Evaluation Reports.</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ISA² Quarterly Monitoring Reports.</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ISA² Dashboard.</w:t>
            </w:r>
          </w:p>
          <w:p>
            <w:pPr>
              <w:numPr>
                <w:ilvl w:val="1"/>
                <w:numId w:val="16"/>
              </w:numPr>
              <w:ind w:left="878" w:hanging="427"/>
              <w:rPr>
                <w:rFonts w:eastAsia="Calibri" w:cs="Times New Roman"/>
                <w:noProof/>
                <w:sz w:val="20"/>
                <w:szCs w:val="20"/>
                <w:lang w:val="en-GB" w:eastAsia="fr-FR"/>
              </w:rPr>
            </w:pPr>
            <w:r>
              <w:rPr>
                <w:rFonts w:eastAsia="Calibri" w:cs="Times New Roman"/>
                <w:noProof/>
                <w:sz w:val="20"/>
                <w:szCs w:val="20"/>
                <w:lang w:val="en-GB" w:eastAsia="fr-FR"/>
              </w:rPr>
              <w:t>Documentary evidence on funded actions (e.g. deliverables, final reports).</w:t>
            </w:r>
          </w:p>
        </w:tc>
        <w:tc>
          <w:tcPr>
            <w:tcW w:w="117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Interviews with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Online surveys targeted to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responses to surveys (Likert Scale).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responses to interviews and surveys and data and information collected via 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Cost-effectiveness analysis.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Standard cost model.</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Earned value management.</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Success stories/lessons learnt.</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5"/>
            <w:hideMark/>
          </w:tcPr>
          <w:p>
            <w:pPr>
              <w:jc w:val="center"/>
              <w:rPr>
                <w:rFonts w:eastAsia="Calibri" w:cs="Times New Roman"/>
                <w:noProof/>
                <w:sz w:val="20"/>
                <w:szCs w:val="20"/>
                <w:lang w:val="en-GB" w:eastAsia="fr-FR"/>
              </w:rPr>
            </w:pPr>
            <w:r>
              <w:rPr>
                <w:rFonts w:eastAsia="Calibri" w:cs="Times New Roman"/>
                <w:b/>
                <w:noProof/>
                <w:sz w:val="20"/>
                <w:szCs w:val="20"/>
                <w:lang w:val="en-GB" w:eastAsia="fr-FR"/>
              </w:rPr>
              <w:t>Evaluation criterion #4: Coherence</w:t>
            </w:r>
          </w:p>
        </w:tc>
      </w:tr>
      <w:tr>
        <w:tc>
          <w:tcPr>
            <w:tcW w:w="813" w:type="pct"/>
            <w:hideMark/>
          </w:tcPr>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To what extent do the ISA² actions form part of a ‘holistic’ approach within the framework of the programme? (</w:t>
            </w:r>
            <w:r>
              <w:rPr>
                <w:rFonts w:eastAsia="Calibri" w:cs="Times New Roman"/>
                <w:noProof/>
                <w:sz w:val="20"/>
                <w:szCs w:val="20"/>
                <w:u w:val="single"/>
                <w:lang w:val="en-GB" w:eastAsia="fr-FR"/>
              </w:rPr>
              <w:t>internal coherence</w:t>
            </w:r>
            <w:r>
              <w:rPr>
                <w:rFonts w:eastAsia="Calibri" w:cs="Times New Roman"/>
                <w:noProof/>
                <w:sz w:val="20"/>
                <w:szCs w:val="20"/>
                <w:lang w:val="en-GB" w:eastAsia="fr-FR"/>
              </w:rPr>
              <w:t>)</w:t>
            </w:r>
          </w:p>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To what extent is the ISA² programme coherent with other EU interventions that have similar objectives and with global initiatives in the same field? (</w:t>
            </w:r>
            <w:r>
              <w:rPr>
                <w:rFonts w:eastAsia="Calibri" w:cs="Times New Roman"/>
                <w:noProof/>
                <w:sz w:val="20"/>
                <w:szCs w:val="20"/>
                <w:u w:val="single"/>
                <w:lang w:val="en-GB" w:eastAsia="fr-FR"/>
              </w:rPr>
              <w:t>external coherence</w:t>
            </w:r>
            <w:r>
              <w:rPr>
                <w:rFonts w:eastAsia="Calibri" w:cs="Times New Roman"/>
                <w:noProof/>
                <w:sz w:val="20"/>
                <w:szCs w:val="20"/>
                <w:lang w:val="en-GB" w:eastAsia="fr-FR"/>
              </w:rPr>
              <w:t>)</w:t>
            </w:r>
          </w:p>
        </w:tc>
        <w:tc>
          <w:tcPr>
            <w:tcW w:w="83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coherence among actions funded by the ISA² programme (internal coherence).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coherence between the programme and other EU supported programmes (external coherence).</w:t>
            </w:r>
          </w:p>
          <w:p>
            <w:pPr>
              <w:numPr>
                <w:ilvl w:val="1"/>
                <w:numId w:val="16"/>
              </w:numPr>
              <w:ind w:left="573" w:hanging="284"/>
              <w:rPr>
                <w:rFonts w:eastAsia="Calibri" w:cs="Times New Roman"/>
                <w:noProof/>
                <w:sz w:val="20"/>
                <w:szCs w:val="20"/>
                <w:lang w:val="en-GB" w:eastAsia="fr-FR"/>
              </w:rPr>
            </w:pPr>
            <w:r>
              <w:rPr>
                <w:rFonts w:eastAsia="Calibri" w:cs="Times New Roman"/>
                <w:noProof/>
                <w:sz w:val="20"/>
                <w:szCs w:val="20"/>
                <w:lang w:val="en-GB" w:eastAsia="fr-FR"/>
              </w:rPr>
              <w:t>Focus on CEF, SRSP, Horizon 2020</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coherence between the programme and other EU policies (external coherence).</w:t>
            </w:r>
          </w:p>
          <w:p>
            <w:pPr>
              <w:numPr>
                <w:ilvl w:val="1"/>
                <w:numId w:val="16"/>
              </w:numPr>
              <w:ind w:left="573" w:hanging="284"/>
              <w:rPr>
                <w:rFonts w:eastAsia="Calibri" w:cs="Times New Roman"/>
                <w:noProof/>
                <w:sz w:val="20"/>
                <w:szCs w:val="20"/>
                <w:lang w:val="en-GB" w:eastAsia="fr-FR"/>
              </w:rPr>
            </w:pPr>
            <w:r>
              <w:rPr>
                <w:rFonts w:eastAsia="Calibri" w:cs="Times New Roman"/>
                <w:noProof/>
                <w:sz w:val="20"/>
                <w:szCs w:val="20"/>
                <w:lang w:val="en-GB" w:eastAsia="fr-FR"/>
              </w:rPr>
              <w:t>Focus on DSM, Digital Strategy (forthcoming), ICT standardisation, Single digital gateway, eGovernment Action Plan, Tallinn Declaration on eGovernment.</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coherence between the programme and global initiatives in the field (external coherence).</w:t>
            </w:r>
          </w:p>
          <w:p>
            <w:pPr>
              <w:numPr>
                <w:ilvl w:val="1"/>
                <w:numId w:val="16"/>
              </w:numPr>
              <w:ind w:left="637" w:hanging="283"/>
              <w:rPr>
                <w:rFonts w:eastAsia="Calibri" w:cs="Times New Roman"/>
                <w:noProof/>
                <w:sz w:val="20"/>
                <w:szCs w:val="20"/>
                <w:lang w:val="en-GB" w:eastAsia="fr-FR"/>
              </w:rPr>
            </w:pPr>
            <w:r>
              <w:rPr>
                <w:rFonts w:eastAsia="Calibri" w:cs="Times New Roman"/>
                <w:noProof/>
                <w:sz w:val="20"/>
                <w:szCs w:val="20"/>
                <w:lang w:val="en-GB" w:eastAsia="fr-FR"/>
              </w:rPr>
              <w:t>Focus on OECD Digital Government and the UNPAN.</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Level of reuse of results of a funded action by another action within the ISA² programme (internal coherence).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Level of reuse of results delivered by ISA² actions by other EU programmes (external coherence).</w:t>
            </w:r>
          </w:p>
        </w:tc>
        <w:tc>
          <w:tcPr>
            <w:tcW w:w="1059"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identifying synergies/overlaps between funded actions.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identifying synergies/overlaps between the programme and other relevant EU programmes/policies.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synergies/overlaps and links between funded actions.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synergies/overlaps between objectives of the programme and other relevant EU programmes/policies.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synergies/overlaps between funded actions and those of other relevant EU programmes.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synergies/overlaps between the programme and global initiatives in the same field.</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Instances of reuse of results delivered by funded actions by other actions within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Instances of reuse of results delivered by funded actions by other EU programmes.</w:t>
            </w:r>
          </w:p>
        </w:tc>
        <w:tc>
          <w:tcPr>
            <w:tcW w:w="1114"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Primary information on internal coherence from the following categories of stakeholders: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Primary information on external coherence from the following categories of stakeholders: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Stakeholders responsible for linked EU policies/initiatives.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Experts.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Indirect beneficiaries and wider public.</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Secondary information from operational documents and other official documents, such as: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ISA² Decision and accompanying documents.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ISA² Rolling Work programme.</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ISA² Annual Monitoring and Evaluation Reports.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ISA² Quarterly Monitoring Reports.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Documentary evidence on funded actions (e.g. official deliverables, final reports).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 xml:space="preserve">Legal texts establishing other relevant programmes accompanying documents. </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Legal texts devising other relevant EU policies and accompanying documents.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Documents describing global initiatives in the same field.</w:t>
            </w:r>
          </w:p>
        </w:tc>
        <w:tc>
          <w:tcPr>
            <w:tcW w:w="117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Interviews with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Stakeholders responsible for linked EU policies/initiatives.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Standardisation organisations.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Online surveys targeted to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Stakeholders responsible for linked policies/initiatives.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Short questionnaire to be administered during the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Mid-Term Conference.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Public consultation.</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responses to interviews and surveys (Likert scale).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responses to interviews and surveys and data and information collected via 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Success stories/lessons learnt.</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5"/>
            <w:hideMark/>
          </w:tcPr>
          <w:p>
            <w:pPr>
              <w:jc w:val="center"/>
              <w:rPr>
                <w:rFonts w:eastAsia="Calibri" w:cs="Times New Roman"/>
                <w:b/>
                <w:noProof/>
                <w:sz w:val="20"/>
                <w:szCs w:val="20"/>
                <w:lang w:val="en-GB" w:eastAsia="fr-FR"/>
              </w:rPr>
            </w:pPr>
            <w:r>
              <w:rPr>
                <w:rFonts w:eastAsia="Calibri" w:cs="Times New Roman"/>
                <w:b/>
                <w:noProof/>
                <w:sz w:val="20"/>
                <w:szCs w:val="20"/>
                <w:lang w:val="en-GB" w:eastAsia="fr-FR"/>
              </w:rPr>
              <w:t>Evaluation criterion #5: EU added value</w:t>
            </w:r>
          </w:p>
        </w:tc>
      </w:tr>
      <w:tr>
        <w:tc>
          <w:tcPr>
            <w:tcW w:w="813" w:type="pct"/>
            <w:hideMark/>
          </w:tcPr>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What is the additional value resulting from the ISA² programme, compared to what could reasonably have been expected from Member States acting at national, regional and/or local levels?</w:t>
            </w:r>
          </w:p>
        </w:tc>
        <w:tc>
          <w:tcPr>
            <w:tcW w:w="837" w:type="pct"/>
            <w:hideMark/>
          </w:tcPr>
          <w:p>
            <w:pPr>
              <w:numPr>
                <w:ilvl w:val="0"/>
                <w:numId w:val="16"/>
              </w:numPr>
              <w:ind w:left="542"/>
              <w:rPr>
                <w:rFonts w:eastAsia="Calibri" w:cs="Times New Roman"/>
                <w:noProof/>
                <w:sz w:val="20"/>
                <w:szCs w:val="20"/>
                <w:lang w:val="en-GB" w:eastAsia="fr-FR"/>
              </w:rPr>
            </w:pPr>
            <w:r>
              <w:rPr>
                <w:rFonts w:eastAsia="Calibri" w:cs="Times New Roman"/>
                <w:noProof/>
                <w:sz w:val="20"/>
                <w:szCs w:val="20"/>
                <w:lang w:val="en-GB" w:eastAsia="fr-FR"/>
              </w:rPr>
              <w:t>Achievement of objectives that could not be otherwise attained with national or sub-national interventions.</w:t>
            </w:r>
          </w:p>
          <w:p>
            <w:pPr>
              <w:numPr>
                <w:ilvl w:val="0"/>
                <w:numId w:val="16"/>
              </w:numPr>
              <w:ind w:left="542"/>
              <w:rPr>
                <w:rFonts w:eastAsia="Calibri" w:cs="Times New Roman"/>
                <w:noProof/>
                <w:sz w:val="20"/>
                <w:szCs w:val="20"/>
                <w:lang w:val="en-GB" w:eastAsia="fr-FR"/>
              </w:rPr>
            </w:pPr>
            <w:r>
              <w:rPr>
                <w:rFonts w:eastAsia="Calibri" w:cs="Times New Roman"/>
                <w:noProof/>
                <w:sz w:val="20"/>
                <w:szCs w:val="20"/>
                <w:lang w:val="en-GB" w:eastAsia="fr-FR"/>
              </w:rPr>
              <w:t>Achievement of objectives at a cost lower than what could be attained via national or sub-national interventions.</w:t>
            </w:r>
          </w:p>
          <w:p>
            <w:pPr>
              <w:numPr>
                <w:ilvl w:val="0"/>
                <w:numId w:val="16"/>
              </w:numPr>
              <w:ind w:left="542"/>
              <w:rPr>
                <w:rFonts w:eastAsia="Calibri" w:cs="Times New Roman"/>
                <w:noProof/>
                <w:sz w:val="20"/>
                <w:szCs w:val="20"/>
                <w:lang w:val="en-GB" w:eastAsia="fr-FR"/>
              </w:rPr>
            </w:pPr>
            <w:r>
              <w:rPr>
                <w:rFonts w:eastAsia="Calibri" w:cs="Times New Roman"/>
                <w:noProof/>
                <w:sz w:val="20"/>
                <w:szCs w:val="20"/>
                <w:lang w:val="en-GB" w:eastAsia="fr-FR"/>
              </w:rPr>
              <w:t>Achievement in terms of cross-border interoperability.</w:t>
            </w:r>
          </w:p>
          <w:p>
            <w:pPr>
              <w:numPr>
                <w:ilvl w:val="0"/>
                <w:numId w:val="16"/>
              </w:numPr>
              <w:ind w:left="542"/>
              <w:rPr>
                <w:rFonts w:eastAsia="Calibri" w:cs="Times New Roman"/>
                <w:noProof/>
                <w:sz w:val="20"/>
                <w:szCs w:val="20"/>
                <w:lang w:val="en-GB" w:eastAsia="fr-FR"/>
              </w:rPr>
            </w:pPr>
            <w:r>
              <w:rPr>
                <w:rFonts w:eastAsia="Calibri" w:cs="Times New Roman"/>
                <w:noProof/>
                <w:sz w:val="20"/>
                <w:szCs w:val="20"/>
                <w:lang w:val="en-GB" w:eastAsia="fr-FR"/>
              </w:rPr>
              <w:t>Contribution to the advancement of common EU policies.</w:t>
            </w:r>
          </w:p>
        </w:tc>
        <w:tc>
          <w:tcPr>
            <w:tcW w:w="1059"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the need for an EU intervention to achieve the objectives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that an EU intervention is able to achieve the objectives of the programme at cost lower than costs of national or sub-national interventions.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providing positive feedback on achievements in terms of cross-border interoperability.</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the contribution to the advancement of common EU policies.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indicators summarising cross-border outputs of the programme.</w:t>
            </w:r>
          </w:p>
        </w:tc>
        <w:tc>
          <w:tcPr>
            <w:tcW w:w="1114"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Primary information on cross-border interoperability and EU added value from the following categories of stakeholders: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Experts.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Indirect beneficiaries and wider public.</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Secondary information from operational documents and other official documents, such as: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ISA² Decision and accompanying documents.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ISA² Rolling Work programme.</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ISA² Annual Monitoring and Evaluation Reports.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ISA² Quarterly Monitoring Reports.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Documentary evidence on funded actions (e.g. official deliverables, final reports).</w:t>
            </w:r>
          </w:p>
        </w:tc>
        <w:tc>
          <w:tcPr>
            <w:tcW w:w="117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Interviews with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Standardisation organisations.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Online surveys targeted to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Short questionnaire to be administered during the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Mid-Term Conference.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Public consultation.</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responses to interviews and surveys (Likert scale).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responses to interviews and surveys and of data and information collected via 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Success stories/lessons learnt.</w:t>
            </w:r>
          </w:p>
        </w:tc>
      </w:tr>
      <w:tr>
        <w:trPr>
          <w:cnfStyle w:val="000000100000" w:firstRow="0" w:lastRow="0" w:firstColumn="0" w:lastColumn="0" w:oddVBand="0" w:evenVBand="0" w:oddHBand="1" w:evenHBand="0" w:firstRowFirstColumn="0" w:firstRowLastColumn="0" w:lastRowFirstColumn="0" w:lastRowLastColumn="0"/>
        </w:trPr>
        <w:tc>
          <w:tcPr>
            <w:tcW w:w="5000" w:type="pct"/>
            <w:gridSpan w:val="5"/>
            <w:hideMark/>
          </w:tcPr>
          <w:p>
            <w:pPr>
              <w:jc w:val="center"/>
              <w:rPr>
                <w:rFonts w:eastAsia="Calibri" w:cs="Times New Roman"/>
                <w:b/>
                <w:noProof/>
                <w:sz w:val="20"/>
                <w:szCs w:val="20"/>
                <w:lang w:val="en-GB" w:eastAsia="fr-FR"/>
              </w:rPr>
            </w:pPr>
            <w:r>
              <w:rPr>
                <w:rFonts w:eastAsia="Calibri" w:cs="Times New Roman"/>
                <w:b/>
                <w:noProof/>
                <w:sz w:val="20"/>
                <w:szCs w:val="20"/>
                <w:lang w:val="en-GB" w:eastAsia="fr-FR"/>
              </w:rPr>
              <w:t>Evaluation criterion #6: Utility</w:t>
            </w:r>
            <w:r>
              <w:rPr>
                <w:rStyle w:val="FootnoteReference"/>
                <w:rFonts w:eastAsia="Calibri"/>
                <w:b/>
                <w:noProof/>
                <w:lang w:val="en-GB" w:eastAsia="fr-FR"/>
              </w:rPr>
              <w:footnoteReference w:id="138"/>
            </w:r>
          </w:p>
        </w:tc>
      </w:tr>
      <w:tr>
        <w:tc>
          <w:tcPr>
            <w:tcW w:w="813" w:type="pct"/>
            <w:hideMark/>
          </w:tcPr>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How do the ISA² programme’s actions and results, achieved and anticipated, compare with the needs they are supposed to address?</w:t>
            </w:r>
            <w:r>
              <w:rPr>
                <w:rStyle w:val="FootnoteReference"/>
                <w:rFonts w:eastAsia="Calibri"/>
                <w:noProof/>
                <w:lang w:val="en-GB" w:eastAsia="fr-FR"/>
              </w:rPr>
              <w:footnoteReference w:id="139"/>
            </w:r>
          </w:p>
        </w:tc>
        <w:tc>
          <w:tcPr>
            <w:tcW w:w="83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alignment between stakeholders’ perception of needs and problems at national and sub-national levels and the results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Degree of alignment between stakeholders’ perception of needs and problems at EU level and the results of the programme.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User satisfaction, with a breakdown by stakeholder group.</w:t>
            </w:r>
          </w:p>
        </w:tc>
        <w:tc>
          <w:tcPr>
            <w:tcW w:w="1059"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the alignment between the results of the programme and current needs and problems at national and sub-national levels.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stakeholders confirming the alignment between the results of the programme and current needs and problems at EU level.</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the alignment between the results of the programme and current needs and problems.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users’ satisfaction (Likert Scale).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the take-up by EU, national and sub-national administrations of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outputs.</w:t>
            </w:r>
          </w:p>
        </w:tc>
        <w:tc>
          <w:tcPr>
            <w:tcW w:w="1114"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Primary information on user satisfaction and utility from the following categories of stakeholders: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Stakeholders responsible for linked EU policies/initiatives.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Experts.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Indirect beneficiaries and wider public.</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Secondary information on utility from operational documents, other official documents and relevant literature, such as:</w:t>
            </w:r>
          </w:p>
          <w:p>
            <w:pPr>
              <w:numPr>
                <w:ilvl w:val="1"/>
                <w:numId w:val="16"/>
              </w:numPr>
              <w:ind w:left="734" w:hanging="283"/>
              <w:rPr>
                <w:rFonts w:eastAsia="Calibri" w:cs="Times New Roman"/>
                <w:noProof/>
                <w:sz w:val="20"/>
                <w:szCs w:val="20"/>
                <w:lang w:val="en-GB" w:eastAsia="fr-FR"/>
              </w:rPr>
            </w:pPr>
            <w:r>
              <w:rPr>
                <w:rFonts w:eastAsia="Calibri" w:cs="Times New Roman"/>
                <w:noProof/>
                <w:sz w:val="20"/>
                <w:szCs w:val="20"/>
                <w:lang w:val="en-GB" w:eastAsia="fr-FR"/>
              </w:rPr>
              <w:t>ISA² Rolling Work Programme.</w:t>
            </w:r>
          </w:p>
          <w:p>
            <w:pPr>
              <w:numPr>
                <w:ilvl w:val="1"/>
                <w:numId w:val="16"/>
              </w:numPr>
              <w:ind w:left="734" w:hanging="283"/>
              <w:rPr>
                <w:rFonts w:eastAsia="Calibri" w:cs="Times New Roman"/>
                <w:noProof/>
                <w:sz w:val="20"/>
                <w:szCs w:val="20"/>
                <w:lang w:val="en-GB" w:eastAsia="fr-FR"/>
              </w:rPr>
            </w:pPr>
            <w:r>
              <w:rPr>
                <w:rFonts w:eastAsia="Calibri" w:cs="Times New Roman"/>
                <w:noProof/>
                <w:sz w:val="20"/>
                <w:szCs w:val="20"/>
                <w:lang w:val="en-GB" w:eastAsia="fr-FR"/>
              </w:rPr>
              <w:t>ISA² Annual Monitoring and Evaluation Reports.</w:t>
            </w:r>
          </w:p>
          <w:p>
            <w:pPr>
              <w:numPr>
                <w:ilvl w:val="1"/>
                <w:numId w:val="16"/>
              </w:numPr>
              <w:ind w:left="734" w:hanging="283"/>
              <w:rPr>
                <w:rFonts w:eastAsia="Calibri" w:cs="Times New Roman"/>
                <w:noProof/>
                <w:sz w:val="20"/>
                <w:szCs w:val="20"/>
                <w:lang w:val="en-GB" w:eastAsia="fr-FR"/>
              </w:rPr>
            </w:pPr>
            <w:r>
              <w:rPr>
                <w:rFonts w:eastAsia="Calibri" w:cs="Times New Roman"/>
                <w:noProof/>
                <w:sz w:val="20"/>
                <w:szCs w:val="20"/>
                <w:lang w:val="en-GB" w:eastAsia="fr-FR"/>
              </w:rPr>
              <w:t>ISA² Quarterly Monitoring Reports.</w:t>
            </w:r>
          </w:p>
          <w:p>
            <w:pPr>
              <w:numPr>
                <w:ilvl w:val="1"/>
                <w:numId w:val="16"/>
              </w:numPr>
              <w:ind w:left="876" w:hanging="425"/>
              <w:rPr>
                <w:rFonts w:eastAsia="Calibri" w:cs="Times New Roman"/>
                <w:noProof/>
                <w:sz w:val="20"/>
                <w:szCs w:val="20"/>
                <w:lang w:val="en-GB" w:eastAsia="fr-FR"/>
              </w:rPr>
            </w:pPr>
            <w:r>
              <w:rPr>
                <w:rFonts w:eastAsia="Calibri" w:cs="Times New Roman"/>
                <w:noProof/>
                <w:sz w:val="20"/>
                <w:szCs w:val="20"/>
                <w:lang w:val="en-GB" w:eastAsia="fr-FR"/>
              </w:rPr>
              <w:t>Documentary evidence on funded actions (e.g. official deliverables, final reports).</w:t>
            </w:r>
          </w:p>
        </w:tc>
        <w:tc>
          <w:tcPr>
            <w:tcW w:w="1177" w:type="pct"/>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Interviews with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Stakeholders responsible for linked EU policies/initiatives.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Standardisation organisations.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Online surveys targeted to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Stakeholders responsible for linked policies/initiatives.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Short questionnaire to be administered during the ISA</w:t>
            </w:r>
            <w:r>
              <w:rPr>
                <w:rFonts w:eastAsia="Calibri" w:cs="Times New Roman"/>
                <w:noProof/>
                <w:sz w:val="20"/>
                <w:szCs w:val="20"/>
                <w:vertAlign w:val="superscript"/>
                <w:lang w:val="en-GB" w:eastAsia="fr-FR"/>
              </w:rPr>
              <w:t>2</w:t>
            </w:r>
            <w:r>
              <w:rPr>
                <w:rFonts w:eastAsia="Calibri" w:cs="Times New Roman"/>
                <w:noProof/>
                <w:sz w:val="20"/>
                <w:szCs w:val="20"/>
                <w:lang w:val="en-GB" w:eastAsia="fr-FR"/>
              </w:rPr>
              <w:t xml:space="preserve"> Mid-Term Conference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Public consultation</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responses to interviews and surveys (Likert scale)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responses to interviews and surveys and of data and information collected via 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Success stories/lessons learnt.</w:t>
            </w: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p>
            <w:pPr>
              <w:rPr>
                <w:rFonts w:eastAsia="Calibri" w:cs="Times New Roman"/>
                <w:noProof/>
                <w:sz w:val="20"/>
                <w:szCs w:val="20"/>
                <w:lang w:val="en-GB" w:eastAsia="fr-FR"/>
              </w:rPr>
            </w:pPr>
          </w:p>
        </w:tc>
      </w:tr>
      <w:tr>
        <w:trPr>
          <w:cnfStyle w:val="000000100000" w:firstRow="0" w:lastRow="0" w:firstColumn="0" w:lastColumn="0" w:oddVBand="0" w:evenVBand="0" w:oddHBand="1" w:evenHBand="0" w:firstRowFirstColumn="0" w:firstRowLastColumn="0" w:lastRowFirstColumn="0" w:lastRowLastColumn="0"/>
          <w:trHeight w:val="296"/>
        </w:trPr>
        <w:tc>
          <w:tcPr>
            <w:tcW w:w="5000" w:type="pct"/>
            <w:gridSpan w:val="5"/>
            <w:hideMark/>
          </w:tcPr>
          <w:p>
            <w:pPr>
              <w:jc w:val="center"/>
              <w:rPr>
                <w:rFonts w:eastAsia="Calibri" w:cs="Times New Roman"/>
                <w:b/>
                <w:noProof/>
                <w:sz w:val="20"/>
                <w:szCs w:val="20"/>
                <w:lang w:val="en-GB" w:eastAsia="fr-FR"/>
              </w:rPr>
            </w:pPr>
            <w:r>
              <w:rPr>
                <w:rFonts w:eastAsia="Calibri" w:cs="Times New Roman"/>
                <w:b/>
                <w:noProof/>
                <w:sz w:val="20"/>
                <w:szCs w:val="20"/>
                <w:lang w:val="en-GB" w:eastAsia="fr-FR"/>
              </w:rPr>
              <w:t>Evaluation criterion #7: Sustainability</w:t>
            </w:r>
          </w:p>
        </w:tc>
      </w:tr>
      <w:tr>
        <w:trPr>
          <w:trHeight w:val="1466"/>
        </w:trPr>
        <w:tc>
          <w:tcPr>
            <w:tcW w:w="813" w:type="pct"/>
            <w:hideMark/>
          </w:tcPr>
          <w:p>
            <w:pPr>
              <w:numPr>
                <w:ilvl w:val="0"/>
                <w:numId w:val="15"/>
              </w:numPr>
              <w:rPr>
                <w:rFonts w:eastAsia="Calibri" w:cs="Times New Roman"/>
                <w:noProof/>
                <w:sz w:val="20"/>
                <w:szCs w:val="20"/>
                <w:lang w:val="en-GB" w:eastAsia="fr-FR"/>
              </w:rPr>
            </w:pPr>
            <w:r>
              <w:rPr>
                <w:rFonts w:eastAsia="Calibri" w:cs="Times New Roman"/>
                <w:noProof/>
                <w:sz w:val="20"/>
                <w:szCs w:val="20"/>
                <w:lang w:val="en-GB" w:eastAsia="fr-FR"/>
              </w:rPr>
              <w:t>To what extent is the financial, technical and operational sustainability of the developed solutions – maintained and operated through the ISA² programme –ensured?</w:t>
            </w:r>
          </w:p>
        </w:tc>
        <w:tc>
          <w:tcPr>
            <w:tcW w:w="83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rPr>
              <w:t>Extent to which the results achieved by the ISA</w:t>
            </w:r>
            <w:r>
              <w:rPr>
                <w:rFonts w:eastAsia="Calibri" w:cs="Times New Roman"/>
                <w:noProof/>
                <w:sz w:val="20"/>
                <w:szCs w:val="20"/>
                <w:vertAlign w:val="superscript"/>
                <w:lang w:val="en-GB"/>
              </w:rPr>
              <w:t>2</w:t>
            </w:r>
            <w:r>
              <w:rPr>
                <w:rFonts w:eastAsia="Calibri" w:cs="Times New Roman"/>
                <w:noProof/>
                <w:sz w:val="20"/>
                <w:szCs w:val="20"/>
                <w:lang w:val="en-GB"/>
              </w:rPr>
              <w:t xml:space="preserve"> programme are expected to last if funding for actions covered by the programme would not be available in the future.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Extent to which ‘cost recovery’ solutions could be introduced.</w:t>
            </w:r>
          </w:p>
        </w:tc>
        <w:tc>
          <w:tcPr>
            <w:tcW w:w="1059" w:type="pct"/>
          </w:tcPr>
          <w:p>
            <w:pPr>
              <w:numPr>
                <w:ilvl w:val="0"/>
                <w:numId w:val="16"/>
              </w:numPr>
              <w:rPr>
                <w:rFonts w:eastAsia="Calibri" w:cs="Times New Roman"/>
                <w:noProof/>
                <w:sz w:val="20"/>
                <w:szCs w:val="20"/>
                <w:lang w:val="en-GB"/>
              </w:rPr>
            </w:pPr>
            <w:r>
              <w:rPr>
                <w:rFonts w:eastAsia="Calibri" w:cs="Times New Roman"/>
                <w:noProof/>
                <w:sz w:val="20"/>
                <w:szCs w:val="20"/>
                <w:lang w:val="en-GB"/>
              </w:rPr>
              <w:t>Share of stakeholders expecting that results achieved so far would last if funding for actions covered by the programme would not be available in the future.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actions requiring operation and maintenance costs to deliver their results.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Share of actions requiring technical and operational support to deliver their results.</w:t>
            </w:r>
          </w:p>
          <w:p>
            <w:pPr>
              <w:numPr>
                <w:ilvl w:val="0"/>
                <w:numId w:val="16"/>
              </w:numPr>
              <w:rPr>
                <w:rFonts w:eastAsia="Calibri" w:cs="Times New Roman"/>
                <w:noProof/>
                <w:sz w:val="20"/>
                <w:szCs w:val="20"/>
                <w:lang w:val="en-GB"/>
              </w:rPr>
            </w:pPr>
            <w:r>
              <w:rPr>
                <w:rFonts w:eastAsia="Calibri" w:cs="Times New Roman"/>
                <w:noProof/>
                <w:sz w:val="20"/>
                <w:szCs w:val="20"/>
                <w:lang w:val="en-GB"/>
              </w:rPr>
              <w:t>Share of stakeholders who would pay to keep on using specific ISA</w:t>
            </w:r>
            <w:r>
              <w:rPr>
                <w:rFonts w:eastAsia="Calibri" w:cs="Times New Roman"/>
                <w:noProof/>
                <w:sz w:val="20"/>
                <w:szCs w:val="20"/>
                <w:vertAlign w:val="superscript"/>
                <w:lang w:val="en-GB"/>
              </w:rPr>
              <w:t>2</w:t>
            </w:r>
            <w:r>
              <w:rPr>
                <w:rFonts w:eastAsia="Calibri" w:cs="Times New Roman"/>
                <w:noProof/>
                <w:sz w:val="20"/>
                <w:szCs w:val="20"/>
                <w:lang w:val="en-GB"/>
              </w:rPr>
              <w:t xml:space="preserve"> solutions.</w:t>
            </w:r>
          </w:p>
          <w:p>
            <w:pPr>
              <w:ind w:left="360"/>
              <w:rPr>
                <w:rFonts w:eastAsia="Calibri" w:cs="Times New Roman"/>
                <w:noProof/>
                <w:sz w:val="20"/>
                <w:szCs w:val="20"/>
                <w:lang w:val="en-GB" w:eastAsia="fr-FR"/>
              </w:rPr>
            </w:pPr>
          </w:p>
        </w:tc>
        <w:tc>
          <w:tcPr>
            <w:tcW w:w="1114"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Primary information on sustainability from the following categories of stakeholders:</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Experts.</w:t>
            </w:r>
          </w:p>
          <w:p>
            <w:pPr>
              <w:numPr>
                <w:ilvl w:val="1"/>
                <w:numId w:val="16"/>
              </w:numPr>
              <w:ind w:left="878" w:hanging="426"/>
              <w:rPr>
                <w:rFonts w:eastAsia="Calibri" w:cs="Times New Roman"/>
                <w:noProof/>
                <w:sz w:val="20"/>
                <w:szCs w:val="20"/>
                <w:lang w:val="en-GB" w:eastAsia="fr-FR"/>
              </w:rPr>
            </w:pPr>
            <w:r>
              <w:rPr>
                <w:rFonts w:eastAsia="Calibri" w:cs="Times New Roman"/>
                <w:noProof/>
                <w:sz w:val="20"/>
                <w:szCs w:val="20"/>
                <w:lang w:val="en-GB" w:eastAsia="fr-FR"/>
              </w:rPr>
              <w:t>Indirect beneficiaries and wider public.</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Secondary information on sustainability from operational documents, other official documents and relevant literature, such as: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ISA² Rolling Work Programme.</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ISA² Annual Monitoring and Evaluation Reports.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ISA² Quarterly Monitoring Reports.</w:t>
            </w:r>
          </w:p>
          <w:p>
            <w:pPr>
              <w:numPr>
                <w:ilvl w:val="1"/>
                <w:numId w:val="16"/>
              </w:numPr>
              <w:ind w:left="878" w:hanging="439"/>
              <w:rPr>
                <w:rFonts w:eastAsia="Calibri" w:cs="Times New Roman"/>
                <w:noProof/>
                <w:sz w:val="20"/>
                <w:szCs w:val="20"/>
                <w:lang w:val="en-GB" w:eastAsia="fr-FR"/>
              </w:rPr>
            </w:pPr>
            <w:r>
              <w:rPr>
                <w:rFonts w:eastAsia="Calibri" w:cs="Times New Roman"/>
                <w:noProof/>
                <w:sz w:val="20"/>
                <w:szCs w:val="20"/>
                <w:lang w:val="en-GB" w:eastAsia="fr-FR"/>
              </w:rPr>
              <w:t>Documentary evidence on funded actions (e.g. official deliverables, final reports).</w:t>
            </w:r>
          </w:p>
        </w:tc>
        <w:tc>
          <w:tcPr>
            <w:tcW w:w="1177" w:type="pct"/>
            <w:hideMark/>
          </w:tcPr>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Interviews with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Standardisation organisations.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Online surveys targeted to the following categories of stakeholders: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Programme governance.</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Action owners.</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European Commission.</w:t>
            </w:r>
          </w:p>
          <w:p>
            <w:pPr>
              <w:numPr>
                <w:ilvl w:val="1"/>
                <w:numId w:val="16"/>
              </w:numPr>
              <w:ind w:left="820" w:hanging="381"/>
              <w:rPr>
                <w:rFonts w:eastAsia="Calibri" w:cs="Times New Roman"/>
                <w:noProof/>
                <w:sz w:val="20"/>
                <w:szCs w:val="20"/>
                <w:lang w:val="en-GB" w:eastAsia="fr-FR"/>
              </w:rPr>
            </w:pPr>
            <w:r>
              <w:rPr>
                <w:rFonts w:eastAsia="Calibri" w:cs="Times New Roman"/>
                <w:noProof/>
                <w:sz w:val="20"/>
                <w:szCs w:val="20"/>
                <w:lang w:val="en-GB" w:eastAsia="fr-FR"/>
              </w:rPr>
              <w:t>Solution Users – Member States.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responses to interviews and surveys (Likert scale).</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Qualitative assessment of responses to interviews and surveys and of data and information collected via desk research.</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Quantitative assessment of operation and maintenance costs.</w:t>
            </w:r>
          </w:p>
          <w:p>
            <w:pPr>
              <w:numPr>
                <w:ilvl w:val="0"/>
                <w:numId w:val="16"/>
              </w:numPr>
              <w:rPr>
                <w:rFonts w:eastAsia="Calibri" w:cs="Times New Roman"/>
                <w:noProof/>
                <w:sz w:val="20"/>
                <w:szCs w:val="20"/>
                <w:lang w:val="en-GB" w:eastAsia="fr-FR"/>
              </w:rPr>
            </w:pPr>
            <w:r>
              <w:rPr>
                <w:rFonts w:eastAsia="Calibri" w:cs="Times New Roman"/>
                <w:noProof/>
                <w:sz w:val="20"/>
                <w:szCs w:val="20"/>
                <w:lang w:val="en-GB" w:eastAsia="fr-FR"/>
              </w:rPr>
              <w:t>Success stories/lessons learnt.</w:t>
            </w:r>
          </w:p>
        </w:tc>
      </w:tr>
    </w:tbl>
    <w:p>
      <w:pPr>
        <w:rPr>
          <w:rFonts w:cs="Times New Roman"/>
          <w:i/>
          <w:noProof/>
          <w:sz w:val="20"/>
          <w:szCs w:val="24"/>
          <w:highlight w:val="yellow"/>
          <w:lang w:val="en-GB"/>
        </w:rPr>
      </w:pPr>
      <w:r>
        <w:rPr>
          <w:rFonts w:cs="Times New Roman"/>
          <w:i/>
          <w:noProof/>
          <w:sz w:val="20"/>
          <w:szCs w:val="20"/>
          <w:lang w:val="en-GB"/>
        </w:rPr>
        <w:t xml:space="preserve">Source: </w:t>
      </w:r>
      <w:hyperlink r:id="rId224" w:history="1">
        <w:r>
          <w:rPr>
            <w:rStyle w:val="Hyperlink"/>
            <w:rFonts w:cs="Times New Roman"/>
            <w:i/>
            <w:noProof/>
            <w:sz w:val="20"/>
            <w:lang w:val="en-GB"/>
          </w:rPr>
          <w:t>CEPS final study</w:t>
        </w:r>
      </w:hyperlink>
    </w:p>
    <w:p>
      <w:pPr>
        <w:rPr>
          <w:rFonts w:cs="Times New Roman"/>
          <w:noProof/>
        </w:rPr>
      </w:pPr>
    </w:p>
    <w:p>
      <w:pPr>
        <w:rPr>
          <w:rFonts w:cs="Times New Roman"/>
          <w:noProof/>
        </w:rPr>
        <w:sectPr>
          <w:headerReference w:type="even" r:id="rId225"/>
          <w:headerReference w:type="default" r:id="rId226"/>
          <w:footerReference w:type="even" r:id="rId227"/>
          <w:footerReference w:type="default" r:id="rId228"/>
          <w:headerReference w:type="first" r:id="rId229"/>
          <w:footerReference w:type="first" r:id="rId230"/>
          <w:pgSz w:w="16838" w:h="11906" w:orient="landscape"/>
          <w:pgMar w:top="1587" w:right="1020" w:bottom="1701" w:left="1020" w:header="601" w:footer="1077" w:gutter="0"/>
          <w:cols w:space="720"/>
          <w:titlePg/>
          <w:docGrid w:linePitch="326"/>
        </w:sectPr>
      </w:pPr>
    </w:p>
    <w:p>
      <w:pPr>
        <w:pStyle w:val="AnnexTitle"/>
        <w:rPr>
          <w:rStyle w:val="Strong"/>
          <w:noProof/>
        </w:rPr>
      </w:pPr>
      <w:bookmarkStart w:id="30" w:name="_Toc14708153"/>
      <w:r>
        <w:rPr>
          <w:noProof/>
        </w:rPr>
        <w:t xml:space="preserve">Annex </w:t>
      </w:r>
      <w:r>
        <w:rPr>
          <w:noProof/>
        </w:rPr>
        <w:fldChar w:fldCharType="begin"/>
      </w:r>
      <w:r>
        <w:rPr>
          <w:noProof/>
        </w:rPr>
        <w:instrText xml:space="preserve"> SEQ Annex \* ARABIC </w:instrText>
      </w:r>
      <w:r>
        <w:rPr>
          <w:noProof/>
        </w:rPr>
        <w:fldChar w:fldCharType="separate"/>
      </w:r>
      <w:r>
        <w:rPr>
          <w:noProof/>
        </w:rPr>
        <w:t>5</w:t>
      </w:r>
      <w:r>
        <w:rPr>
          <w:noProof/>
        </w:rPr>
        <w:fldChar w:fldCharType="end"/>
      </w:r>
      <w:r>
        <w:rPr>
          <w:noProof/>
        </w:rPr>
        <w:t xml:space="preserve">: </w:t>
      </w:r>
      <w:r>
        <w:rPr>
          <w:rStyle w:val="Strong"/>
          <w:b/>
          <w:noProof/>
        </w:rPr>
        <w:t>Sample of actions</w:t>
      </w:r>
      <w:bookmarkEnd w:id="30"/>
    </w:p>
    <w:p>
      <w:pPr>
        <w:jc w:val="both"/>
        <w:rPr>
          <w:rFonts w:cs="Times New Roman"/>
          <w:bCs/>
          <w:noProof/>
          <w:lang w:val="en-GB"/>
        </w:rPr>
      </w:pPr>
      <w:r>
        <w:rPr>
          <w:rFonts w:cs="Times New Roman"/>
          <w:bCs/>
          <w:noProof/>
          <w:lang w:val="en-GB"/>
        </w:rPr>
        <w:t>The purpose of the interim evaluation is to provide an overall assessment of the performance of ISA</w:t>
      </w:r>
      <w:r>
        <w:rPr>
          <w:rFonts w:cs="Times New Roman"/>
          <w:bCs/>
          <w:noProof/>
          <w:vertAlign w:val="superscript"/>
          <w:lang w:val="en-GB"/>
        </w:rPr>
        <w:t>2</w:t>
      </w:r>
      <w:r>
        <w:rPr>
          <w:rFonts w:cs="Times New Roman"/>
          <w:bCs/>
          <w:noProof/>
          <w:lang w:val="en-GB"/>
        </w:rPr>
        <w:t>. A sample of actions has therefore been selected to better guide the data collection activities.</w:t>
      </w:r>
      <w:r>
        <w:rPr>
          <w:rFonts w:cs="Times New Roman"/>
          <w:bCs/>
          <w:noProof/>
          <w:vertAlign w:val="superscript"/>
        </w:rPr>
        <w:footnoteReference w:id="140"/>
      </w:r>
      <w:r>
        <w:rPr>
          <w:rFonts w:cs="Times New Roman"/>
          <w:bCs/>
          <w:noProof/>
          <w:lang w:val="en-GB"/>
        </w:rPr>
        <w:t xml:space="preserve"> More specifically, the evaluation is based on a sample of 20 of the 53 actions included in the 2018 Rolling Work Programme. The following </w:t>
      </w:r>
      <w:r>
        <w:rPr>
          <w:rFonts w:cs="Times New Roman"/>
          <w:b/>
          <w:bCs/>
          <w:noProof/>
          <w:lang w:val="en-GB"/>
        </w:rPr>
        <w:t>four criteria</w:t>
      </w:r>
      <w:r>
        <w:rPr>
          <w:rFonts w:cs="Times New Roman"/>
          <w:bCs/>
          <w:noProof/>
          <w:lang w:val="en-GB"/>
        </w:rPr>
        <w:t xml:space="preserve"> were used when selecting the sample:</w:t>
      </w:r>
    </w:p>
    <w:p>
      <w:pPr>
        <w:numPr>
          <w:ilvl w:val="0"/>
          <w:numId w:val="17"/>
        </w:numPr>
        <w:spacing w:after="120"/>
        <w:ind w:left="714" w:hanging="357"/>
        <w:jc w:val="both"/>
        <w:rPr>
          <w:rFonts w:cs="Times New Roman"/>
          <w:bCs/>
          <w:noProof/>
          <w:lang w:val="en-GB"/>
        </w:rPr>
      </w:pPr>
      <w:r>
        <w:rPr>
          <w:rFonts w:cs="Times New Roman"/>
          <w:b/>
          <w:bCs/>
          <w:noProof/>
          <w:lang w:val="en-GB"/>
        </w:rPr>
        <w:t>Action packages</w:t>
      </w:r>
      <w:r>
        <w:rPr>
          <w:rFonts w:cs="Times New Roman"/>
          <w:bCs/>
          <w:noProof/>
          <w:lang w:val="en-GB"/>
        </w:rPr>
        <w:t>: the selected actions should be largely representative of the nine ISA</w:t>
      </w:r>
      <w:r>
        <w:rPr>
          <w:rFonts w:cs="Times New Roman"/>
          <w:bCs/>
          <w:noProof/>
          <w:vertAlign w:val="superscript"/>
          <w:lang w:val="en-GB"/>
        </w:rPr>
        <w:t>2</w:t>
      </w:r>
      <w:r>
        <w:rPr>
          <w:rFonts w:cs="Times New Roman"/>
          <w:bCs/>
          <w:noProof/>
          <w:lang w:val="en-GB"/>
        </w:rPr>
        <w:t xml:space="preserve"> packages of actions, as they are defined in the Rolling Work Programme. </w:t>
      </w:r>
    </w:p>
    <w:p>
      <w:pPr>
        <w:numPr>
          <w:ilvl w:val="0"/>
          <w:numId w:val="17"/>
        </w:numPr>
        <w:spacing w:after="120"/>
        <w:ind w:left="714" w:hanging="357"/>
        <w:jc w:val="both"/>
        <w:rPr>
          <w:rFonts w:cs="Times New Roman"/>
          <w:bCs/>
          <w:noProof/>
          <w:lang w:val="en-GB"/>
        </w:rPr>
      </w:pPr>
      <w:r>
        <w:rPr>
          <w:rFonts w:cs="Times New Roman"/>
          <w:b/>
          <w:bCs/>
          <w:noProof/>
          <w:lang w:val="en-GB"/>
        </w:rPr>
        <w:t>New actions and actions continued from ISA</w:t>
      </w:r>
      <w:r>
        <w:rPr>
          <w:rFonts w:cs="Times New Roman"/>
          <w:bCs/>
          <w:noProof/>
          <w:lang w:val="en-GB"/>
        </w:rPr>
        <w:t>: within each action package, the selected actions should be representative of two clusters, namely those actions that have been continued from ISA and those actions that have been started under ISA</w:t>
      </w:r>
      <w:r>
        <w:rPr>
          <w:rFonts w:cs="Times New Roman"/>
          <w:bCs/>
          <w:noProof/>
          <w:vertAlign w:val="superscript"/>
          <w:lang w:val="en-GB"/>
        </w:rPr>
        <w:t>2</w:t>
      </w:r>
      <w:r>
        <w:rPr>
          <w:rFonts w:cs="Times New Roman"/>
          <w:bCs/>
          <w:noProof/>
          <w:lang w:val="en-GB"/>
        </w:rPr>
        <w:t>.</w:t>
      </w:r>
    </w:p>
    <w:p>
      <w:pPr>
        <w:numPr>
          <w:ilvl w:val="0"/>
          <w:numId w:val="17"/>
        </w:numPr>
        <w:spacing w:after="120"/>
        <w:ind w:left="714" w:hanging="357"/>
        <w:jc w:val="both"/>
        <w:rPr>
          <w:rFonts w:cs="Times New Roman"/>
          <w:bCs/>
          <w:noProof/>
          <w:lang w:val="en-GB"/>
        </w:rPr>
      </w:pPr>
      <w:r>
        <w:rPr>
          <w:rFonts w:cs="Times New Roman"/>
          <w:b/>
          <w:bCs/>
          <w:noProof/>
          <w:lang w:val="en-GB"/>
        </w:rPr>
        <w:t>Action start date</w:t>
      </w:r>
      <w:r>
        <w:rPr>
          <w:rFonts w:cs="Times New Roman"/>
          <w:bCs/>
          <w:noProof/>
          <w:lang w:val="en-GB"/>
        </w:rPr>
        <w:t xml:space="preserve">: to provide the evaluation with enough data, no action started in 2018 should be selected. </w:t>
      </w:r>
    </w:p>
    <w:p>
      <w:pPr>
        <w:numPr>
          <w:ilvl w:val="0"/>
          <w:numId w:val="17"/>
        </w:numPr>
        <w:jc w:val="both"/>
        <w:rPr>
          <w:rFonts w:cs="Times New Roman"/>
          <w:bCs/>
          <w:noProof/>
          <w:lang w:val="en-GB"/>
        </w:rPr>
      </w:pPr>
      <w:r>
        <w:rPr>
          <w:rFonts w:cs="Times New Roman"/>
          <w:b/>
          <w:bCs/>
          <w:noProof/>
          <w:lang w:val="en-GB"/>
        </w:rPr>
        <w:t>Action end date</w:t>
      </w:r>
      <w:r>
        <w:rPr>
          <w:rFonts w:cs="Times New Roman"/>
          <w:bCs/>
          <w:noProof/>
          <w:lang w:val="en-GB"/>
        </w:rPr>
        <w:t>: to the extent possible, those actions that have already ended should be included in the sample.</w:t>
      </w:r>
    </w:p>
    <w:p>
      <w:pPr>
        <w:jc w:val="both"/>
        <w:rPr>
          <w:rFonts w:cs="Times New Roman"/>
          <w:bCs/>
          <w:noProof/>
          <w:lang w:val="en-GB"/>
        </w:rPr>
      </w:pPr>
      <w:r>
        <w:rPr>
          <w:rFonts w:cs="Times New Roman"/>
          <w:bCs/>
          <w:noProof/>
          <w:lang w:val="en-GB"/>
        </w:rPr>
        <w:t>To build the sample, a number of steps were taken. First, the 53 actions funded by ISA</w:t>
      </w:r>
      <w:r>
        <w:rPr>
          <w:rFonts w:cs="Times New Roman"/>
          <w:bCs/>
          <w:noProof/>
          <w:vertAlign w:val="superscript"/>
          <w:lang w:val="en-GB"/>
        </w:rPr>
        <w:t>2</w:t>
      </w:r>
      <w:r>
        <w:rPr>
          <w:rFonts w:cs="Times New Roman"/>
          <w:bCs/>
          <w:noProof/>
          <w:lang w:val="en-GB"/>
        </w:rPr>
        <w:t xml:space="preserve"> were grouped according to the packages to which they belong. Second, within each package, the evaluation team identified those actions that were continued from ISA and those that were created under ISA</w:t>
      </w:r>
      <w:r>
        <w:rPr>
          <w:rFonts w:cs="Times New Roman"/>
          <w:bCs/>
          <w:noProof/>
          <w:vertAlign w:val="superscript"/>
          <w:lang w:val="en-GB"/>
        </w:rPr>
        <w:t>2</w:t>
      </w:r>
      <w:r>
        <w:rPr>
          <w:rFonts w:cs="Times New Roman"/>
          <w:bCs/>
          <w:noProof/>
          <w:lang w:val="en-GB"/>
        </w:rPr>
        <w:t xml:space="preserve">. Third, a target sample size of 20 actions (i.e. more than one-third of the total) was set to ensure the feasibility of the evaluation while allowing for a comprehensive sample of typical actions. Then the evaluation team identified the </w:t>
      </w:r>
      <w:r>
        <w:rPr>
          <w:rFonts w:cs="Times New Roman"/>
          <w:b/>
          <w:bCs/>
          <w:noProof/>
          <w:lang w:val="en-GB"/>
        </w:rPr>
        <w:t>number of actions to be selected</w:t>
      </w:r>
      <w:r>
        <w:rPr>
          <w:rFonts w:cs="Times New Roman"/>
          <w:bCs/>
          <w:noProof/>
          <w:lang w:val="en-GB"/>
        </w:rPr>
        <w:t xml:space="preserve"> in order to reflect: i) the proportions of actions from each package relative to the total action population; and ii) the proportion of old and new actions compared to the total number of actions per package. The relative proportions were rounded off, taking into consideration the third and fourth sampling criteria, namely the exclusion of actions started in 2018 and, to the extent possible, the inclusion of actions that have already ended (</w:t>
      </w:r>
      <w:r>
        <w:rPr>
          <w:rFonts w:cs="Times New Roman"/>
          <w:bCs/>
          <w:noProof/>
        </w:rPr>
        <w:fldChar w:fldCharType="begin"/>
      </w:r>
      <w:r>
        <w:rPr>
          <w:rFonts w:cs="Times New Roman"/>
          <w:bCs/>
          <w:noProof/>
          <w:lang w:val="en-GB"/>
        </w:rPr>
        <w:instrText xml:space="preserve"> REF _Ref9347455 \h  \* MERGEFORMAT </w:instrText>
      </w:r>
      <w:r>
        <w:rPr>
          <w:rFonts w:cs="Times New Roman"/>
          <w:bCs/>
          <w:noProof/>
        </w:rPr>
      </w:r>
      <w:r>
        <w:rPr>
          <w:rFonts w:cs="Times New Roman"/>
          <w:bCs/>
          <w:noProof/>
        </w:rPr>
        <w:fldChar w:fldCharType="separate"/>
      </w:r>
      <w:r>
        <w:rPr>
          <w:rFonts w:cs="Times New Roman"/>
          <w:noProof/>
          <w:lang w:val="en-GB"/>
        </w:rPr>
        <w:t>Table 7</w:t>
      </w:r>
      <w:r>
        <w:rPr>
          <w:rFonts w:cs="Times New Roman"/>
          <w:bCs/>
          <w:noProof/>
        </w:rPr>
        <w:fldChar w:fldCharType="end"/>
      </w:r>
      <w:r>
        <w:rPr>
          <w:rFonts w:cs="Times New Roman"/>
          <w:bCs/>
          <w:noProof/>
          <w:lang w:val="en-GB"/>
        </w:rPr>
        <w:t xml:space="preserve">). The final sample is presented in </w:t>
      </w:r>
      <w:r>
        <w:rPr>
          <w:rFonts w:cs="Times New Roman"/>
          <w:bCs/>
          <w:noProof/>
        </w:rPr>
        <w:fldChar w:fldCharType="begin"/>
      </w:r>
      <w:r>
        <w:rPr>
          <w:rFonts w:cs="Times New Roman"/>
          <w:bCs/>
          <w:noProof/>
          <w:lang w:val="en-GB"/>
        </w:rPr>
        <w:instrText xml:space="preserve"> REF _Ref9347844 \h  \* MERGEFORMAT </w:instrText>
      </w:r>
      <w:r>
        <w:rPr>
          <w:rFonts w:cs="Times New Roman"/>
          <w:bCs/>
          <w:noProof/>
        </w:rPr>
      </w:r>
      <w:r>
        <w:rPr>
          <w:rFonts w:cs="Times New Roman"/>
          <w:bCs/>
          <w:noProof/>
        </w:rPr>
        <w:fldChar w:fldCharType="separate"/>
      </w:r>
      <w:r>
        <w:rPr>
          <w:rFonts w:cs="Times New Roman"/>
          <w:noProof/>
          <w:lang w:val="en-GB"/>
        </w:rPr>
        <w:t>Table 8</w:t>
      </w:r>
      <w:r>
        <w:rPr>
          <w:rFonts w:cs="Times New Roman"/>
          <w:bCs/>
          <w:noProof/>
        </w:rPr>
        <w:fldChar w:fldCharType="end"/>
      </w:r>
      <w:r>
        <w:rPr>
          <w:rFonts w:cs="Times New Roman"/>
          <w:bCs/>
          <w:noProof/>
          <w:lang w:val="en-GB"/>
        </w:rPr>
        <w:t xml:space="preserve">, which also provides an overview of the solutions stemming from selected actions. Sampled actions have been randomly selected to avoid any selection bias. </w:t>
      </w:r>
    </w:p>
    <w:p>
      <w:pPr>
        <w:jc w:val="both"/>
        <w:rPr>
          <w:rStyle w:val="Strong"/>
          <w:rFonts w:cs="Times New Roman"/>
          <w:b w:val="0"/>
          <w:noProof/>
          <w:lang w:val="en-GB"/>
        </w:rPr>
        <w:sectPr>
          <w:headerReference w:type="even" r:id="rId231"/>
          <w:headerReference w:type="default" r:id="rId232"/>
          <w:footerReference w:type="even" r:id="rId233"/>
          <w:footerReference w:type="default" r:id="rId234"/>
          <w:headerReference w:type="first" r:id="rId235"/>
          <w:footerReference w:type="first" r:id="rId236"/>
          <w:pgSz w:w="11906" w:h="16838"/>
          <w:pgMar w:top="1020" w:right="1701" w:bottom="1020" w:left="1587" w:header="601" w:footer="1077" w:gutter="0"/>
          <w:cols w:space="720"/>
          <w:titlePg/>
        </w:sectPr>
      </w:pP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7</w:t>
      </w:r>
      <w:r>
        <w:rPr>
          <w:rFonts w:cs="Times New Roman"/>
          <w:noProof/>
        </w:rPr>
        <w:fldChar w:fldCharType="end"/>
      </w:r>
      <w:r>
        <w:rPr>
          <w:rFonts w:cs="Times New Roman"/>
          <w:noProof/>
        </w:rPr>
        <w:t>: Number of sampled actions by package and programme</w:t>
      </w:r>
    </w:p>
    <w:tbl>
      <w:tblPr>
        <w:tblStyle w:val="GridTable4Accent1"/>
        <w:tblW w:w="5000" w:type="pct"/>
        <w:tblLook w:val="0420" w:firstRow="1" w:lastRow="0" w:firstColumn="0" w:lastColumn="0" w:noHBand="0" w:noVBand="1"/>
      </w:tblPr>
      <w:tblGrid>
        <w:gridCol w:w="5520"/>
        <w:gridCol w:w="999"/>
        <w:gridCol w:w="1281"/>
        <w:gridCol w:w="1536"/>
        <w:gridCol w:w="1848"/>
        <w:gridCol w:w="1314"/>
        <w:gridCol w:w="1236"/>
        <w:gridCol w:w="1278"/>
      </w:tblGrid>
      <w:tr>
        <w:trPr>
          <w:cnfStyle w:val="100000000000" w:firstRow="1" w:lastRow="0" w:firstColumn="0" w:lastColumn="0" w:oddVBand="0" w:evenVBand="0" w:oddHBand="0" w:evenHBand="0" w:firstRowFirstColumn="0" w:firstRowLastColumn="0" w:lastRowFirstColumn="0" w:lastRowLastColumn="0"/>
          <w:trHeight w:val="20"/>
        </w:trPr>
        <w:tc>
          <w:tcPr>
            <w:tcW w:w="1813" w:type="pct"/>
            <w:vAlign w:val="center"/>
            <w:hideMark/>
          </w:tcPr>
          <w:p>
            <w:pPr>
              <w:spacing w:before="20" w:after="20"/>
              <w:jc w:val="center"/>
              <w:rPr>
                <w:rFonts w:cs="Times New Roman"/>
                <w:noProof/>
                <w:sz w:val="22"/>
                <w:lang w:val="en-GB"/>
              </w:rPr>
            </w:pPr>
            <w:r>
              <w:rPr>
                <w:rFonts w:cs="Times New Roman"/>
                <w:noProof/>
                <w:sz w:val="22"/>
                <w:lang w:val="en-GB"/>
              </w:rPr>
              <w:t>Package</w:t>
            </w:r>
          </w:p>
        </w:tc>
        <w:tc>
          <w:tcPr>
            <w:tcW w:w="334" w:type="pct"/>
            <w:vAlign w:val="center"/>
            <w:hideMark/>
          </w:tcPr>
          <w:p>
            <w:pPr>
              <w:spacing w:before="20" w:after="20"/>
              <w:jc w:val="center"/>
              <w:rPr>
                <w:rFonts w:cs="Times New Roman"/>
                <w:noProof/>
                <w:sz w:val="22"/>
                <w:lang w:val="en-GB"/>
              </w:rPr>
            </w:pPr>
            <w:r>
              <w:rPr>
                <w:rFonts w:cs="Times New Roman"/>
                <w:noProof/>
                <w:sz w:val="22"/>
                <w:lang w:val="en-GB"/>
              </w:rPr>
              <w:t>Number of actions</w:t>
            </w:r>
          </w:p>
        </w:tc>
        <w:tc>
          <w:tcPr>
            <w:tcW w:w="432" w:type="pct"/>
            <w:vAlign w:val="center"/>
            <w:hideMark/>
          </w:tcPr>
          <w:p>
            <w:pPr>
              <w:spacing w:before="20" w:after="20"/>
              <w:jc w:val="center"/>
              <w:rPr>
                <w:rFonts w:cs="Times New Roman"/>
                <w:noProof/>
                <w:sz w:val="22"/>
                <w:lang w:val="en-GB"/>
              </w:rPr>
            </w:pPr>
            <w:r>
              <w:rPr>
                <w:rFonts w:cs="Times New Roman"/>
                <w:noProof/>
                <w:sz w:val="22"/>
                <w:lang w:val="en-GB"/>
              </w:rPr>
              <w:t>Number of ISA actions</w:t>
            </w:r>
          </w:p>
        </w:tc>
        <w:tc>
          <w:tcPr>
            <w:tcW w:w="515" w:type="pct"/>
            <w:vAlign w:val="center"/>
            <w:hideMark/>
          </w:tcPr>
          <w:p>
            <w:pPr>
              <w:spacing w:before="20" w:after="20"/>
              <w:jc w:val="center"/>
              <w:rPr>
                <w:rFonts w:cs="Times New Roman"/>
                <w:noProof/>
                <w:sz w:val="22"/>
                <w:lang w:val="en-GB"/>
              </w:rPr>
            </w:pPr>
            <w:r>
              <w:rPr>
                <w:rFonts w:cs="Times New Roman"/>
                <w:noProof/>
                <w:sz w:val="22"/>
                <w:lang w:val="en-GB"/>
              </w:rPr>
              <w:t>Number of ISA</w:t>
            </w:r>
            <w:r>
              <w:rPr>
                <w:rFonts w:cs="Times New Roman"/>
                <w:noProof/>
                <w:sz w:val="22"/>
                <w:vertAlign w:val="superscript"/>
                <w:lang w:val="en-GB"/>
              </w:rPr>
              <w:t>2</w:t>
            </w:r>
            <w:r>
              <w:rPr>
                <w:rFonts w:cs="Times New Roman"/>
                <w:noProof/>
                <w:sz w:val="22"/>
                <w:lang w:val="en-GB"/>
              </w:rPr>
              <w:t xml:space="preserve"> actions</w:t>
            </w:r>
          </w:p>
        </w:tc>
        <w:tc>
          <w:tcPr>
            <w:tcW w:w="619" w:type="pct"/>
            <w:vAlign w:val="center"/>
            <w:hideMark/>
          </w:tcPr>
          <w:p>
            <w:pPr>
              <w:spacing w:before="20" w:after="20"/>
              <w:jc w:val="center"/>
              <w:rPr>
                <w:rFonts w:cs="Times New Roman"/>
                <w:noProof/>
                <w:sz w:val="22"/>
                <w:lang w:val="en-GB"/>
              </w:rPr>
            </w:pPr>
            <w:r>
              <w:rPr>
                <w:rFonts w:cs="Times New Roman"/>
                <w:noProof/>
                <w:sz w:val="22"/>
                <w:lang w:val="en-GB"/>
              </w:rPr>
              <w:t>Package actions / Total actions proportion</w:t>
            </w:r>
          </w:p>
        </w:tc>
        <w:tc>
          <w:tcPr>
            <w:tcW w:w="441" w:type="pct"/>
            <w:vAlign w:val="center"/>
            <w:hideMark/>
          </w:tcPr>
          <w:p>
            <w:pPr>
              <w:spacing w:before="20" w:after="20"/>
              <w:jc w:val="center"/>
              <w:rPr>
                <w:rFonts w:cs="Times New Roman"/>
                <w:noProof/>
                <w:sz w:val="22"/>
                <w:lang w:val="en-GB"/>
              </w:rPr>
            </w:pPr>
            <w:r>
              <w:rPr>
                <w:rFonts w:cs="Times New Roman"/>
                <w:noProof/>
                <w:sz w:val="22"/>
                <w:lang w:val="en-GB"/>
              </w:rPr>
              <w:t>Number of sampled actions (total)</w:t>
            </w:r>
          </w:p>
        </w:tc>
        <w:tc>
          <w:tcPr>
            <w:tcW w:w="415" w:type="pct"/>
            <w:vAlign w:val="center"/>
            <w:hideMark/>
          </w:tcPr>
          <w:p>
            <w:pPr>
              <w:spacing w:before="20" w:after="20"/>
              <w:jc w:val="center"/>
              <w:rPr>
                <w:rFonts w:cs="Times New Roman"/>
                <w:noProof/>
                <w:sz w:val="22"/>
                <w:lang w:val="en-GB"/>
              </w:rPr>
            </w:pPr>
            <w:r>
              <w:rPr>
                <w:rFonts w:cs="Times New Roman"/>
                <w:noProof/>
                <w:sz w:val="22"/>
                <w:lang w:val="en-GB"/>
              </w:rPr>
              <w:t>Number of sampled actions (ISA)</w:t>
            </w:r>
          </w:p>
        </w:tc>
        <w:tc>
          <w:tcPr>
            <w:tcW w:w="429" w:type="pct"/>
            <w:vAlign w:val="center"/>
            <w:hideMark/>
          </w:tcPr>
          <w:p>
            <w:pPr>
              <w:spacing w:before="20" w:after="20"/>
              <w:jc w:val="center"/>
              <w:rPr>
                <w:rFonts w:cs="Times New Roman"/>
                <w:noProof/>
                <w:sz w:val="22"/>
                <w:lang w:val="en-GB"/>
              </w:rPr>
            </w:pPr>
            <w:r>
              <w:rPr>
                <w:rFonts w:cs="Times New Roman"/>
                <w:noProof/>
                <w:sz w:val="22"/>
                <w:lang w:val="en-GB"/>
              </w:rPr>
              <w:t>Number of sampled actions (ISA</w:t>
            </w:r>
            <w:r>
              <w:rPr>
                <w:rFonts w:cs="Times New Roman"/>
                <w:noProof/>
                <w:sz w:val="22"/>
                <w:vertAlign w:val="superscript"/>
                <w:lang w:val="en-GB"/>
              </w:rPr>
              <w:t>2</w:t>
            </w:r>
            <w:r>
              <w:rPr>
                <w:rFonts w:cs="Times New Roman"/>
                <w:noProof/>
                <w:sz w:val="22"/>
                <w:lang w:val="en-GB"/>
              </w:rPr>
              <w:t>)</w:t>
            </w:r>
          </w:p>
        </w:tc>
      </w:tr>
      <w:tr>
        <w:trPr>
          <w:cnfStyle w:val="000000100000" w:firstRow="0" w:lastRow="0" w:firstColumn="0" w:lastColumn="0" w:oddVBand="0" w:evenVBand="0" w:oddHBand="1" w:evenHBand="0" w:firstRowFirstColumn="0" w:firstRowLastColumn="0" w:lastRowFirstColumn="0" w:lastRowLastColumn="0"/>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1. Key and generic interoperability enablers</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7</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5</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2</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13%</w:t>
            </w:r>
          </w:p>
        </w:tc>
        <w:tc>
          <w:tcPr>
            <w:tcW w:w="441" w:type="pct"/>
            <w:noWrap/>
            <w:hideMark/>
          </w:tcPr>
          <w:p>
            <w:pPr>
              <w:spacing w:before="20" w:after="20"/>
              <w:jc w:val="center"/>
              <w:rPr>
                <w:rFonts w:cs="Times New Roman"/>
                <w:bCs/>
                <w:noProof/>
                <w:sz w:val="22"/>
              </w:rPr>
            </w:pPr>
            <w:r>
              <w:rPr>
                <w:rFonts w:cs="Times New Roman"/>
                <w:bCs/>
                <w:noProof/>
                <w:sz w:val="22"/>
              </w:rPr>
              <w:t>2</w:t>
            </w:r>
          </w:p>
        </w:tc>
        <w:tc>
          <w:tcPr>
            <w:tcW w:w="415" w:type="pct"/>
            <w:noWrap/>
            <w:hideMark/>
          </w:tcPr>
          <w:p>
            <w:pPr>
              <w:spacing w:before="20" w:after="20"/>
              <w:jc w:val="center"/>
              <w:rPr>
                <w:rFonts w:cs="Times New Roman"/>
                <w:bCs/>
                <w:noProof/>
                <w:sz w:val="22"/>
              </w:rPr>
            </w:pPr>
            <w:r>
              <w:rPr>
                <w:rFonts w:cs="Times New Roman"/>
                <w:bCs/>
                <w:noProof/>
                <w:sz w:val="22"/>
              </w:rPr>
              <w:t>2</w:t>
            </w:r>
          </w:p>
        </w:tc>
        <w:tc>
          <w:tcPr>
            <w:tcW w:w="429" w:type="pct"/>
            <w:noWrap/>
            <w:hideMark/>
          </w:tcPr>
          <w:p>
            <w:pPr>
              <w:spacing w:before="20" w:after="20"/>
              <w:jc w:val="center"/>
              <w:rPr>
                <w:rFonts w:cs="Times New Roman"/>
                <w:bCs/>
                <w:noProof/>
                <w:sz w:val="22"/>
              </w:rPr>
            </w:pPr>
            <w:r>
              <w:rPr>
                <w:rFonts w:cs="Times New Roman"/>
                <w:bCs/>
                <w:noProof/>
                <w:sz w:val="22"/>
              </w:rPr>
              <w:t>0</w:t>
            </w:r>
          </w:p>
        </w:tc>
      </w:tr>
      <w:tr>
        <w:trPr>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2. Semantic interoperability</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4</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1</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3</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8%</w:t>
            </w:r>
          </w:p>
        </w:tc>
        <w:tc>
          <w:tcPr>
            <w:tcW w:w="441" w:type="pct"/>
            <w:noWrap/>
            <w:hideMark/>
          </w:tcPr>
          <w:p>
            <w:pPr>
              <w:spacing w:before="20" w:after="20"/>
              <w:jc w:val="center"/>
              <w:rPr>
                <w:rFonts w:cs="Times New Roman"/>
                <w:bCs/>
                <w:noProof/>
                <w:sz w:val="22"/>
              </w:rPr>
            </w:pPr>
            <w:r>
              <w:rPr>
                <w:rFonts w:cs="Times New Roman"/>
                <w:bCs/>
                <w:noProof/>
                <w:sz w:val="22"/>
              </w:rPr>
              <w:t>2</w:t>
            </w:r>
          </w:p>
        </w:tc>
        <w:tc>
          <w:tcPr>
            <w:tcW w:w="415" w:type="pct"/>
            <w:noWrap/>
            <w:hideMark/>
          </w:tcPr>
          <w:p>
            <w:pPr>
              <w:spacing w:before="20" w:after="20"/>
              <w:jc w:val="center"/>
              <w:rPr>
                <w:rFonts w:cs="Times New Roman"/>
                <w:bCs/>
                <w:noProof/>
                <w:sz w:val="22"/>
              </w:rPr>
            </w:pPr>
            <w:r>
              <w:rPr>
                <w:rFonts w:cs="Times New Roman"/>
                <w:bCs/>
                <w:noProof/>
                <w:sz w:val="22"/>
              </w:rPr>
              <w:t>1</w:t>
            </w:r>
          </w:p>
        </w:tc>
        <w:tc>
          <w:tcPr>
            <w:tcW w:w="429" w:type="pct"/>
            <w:noWrap/>
            <w:hideMark/>
          </w:tcPr>
          <w:p>
            <w:pPr>
              <w:spacing w:before="20" w:after="20"/>
              <w:jc w:val="center"/>
              <w:rPr>
                <w:rFonts w:cs="Times New Roman"/>
                <w:bCs/>
                <w:noProof/>
                <w:sz w:val="22"/>
              </w:rPr>
            </w:pPr>
            <w:r>
              <w:rPr>
                <w:rFonts w:cs="Times New Roman"/>
                <w:bCs/>
                <w:noProof/>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3. Access to data/data sharing/open data</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7</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2</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5</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13%</w:t>
            </w:r>
          </w:p>
        </w:tc>
        <w:tc>
          <w:tcPr>
            <w:tcW w:w="441" w:type="pct"/>
            <w:noWrap/>
            <w:hideMark/>
          </w:tcPr>
          <w:p>
            <w:pPr>
              <w:spacing w:before="20" w:after="20"/>
              <w:jc w:val="center"/>
              <w:rPr>
                <w:rFonts w:cs="Times New Roman"/>
                <w:bCs/>
                <w:noProof/>
                <w:sz w:val="22"/>
              </w:rPr>
            </w:pPr>
            <w:r>
              <w:rPr>
                <w:rFonts w:cs="Times New Roman"/>
                <w:bCs/>
                <w:noProof/>
                <w:sz w:val="22"/>
              </w:rPr>
              <w:t>3</w:t>
            </w:r>
          </w:p>
        </w:tc>
        <w:tc>
          <w:tcPr>
            <w:tcW w:w="415" w:type="pct"/>
            <w:noWrap/>
            <w:hideMark/>
          </w:tcPr>
          <w:p>
            <w:pPr>
              <w:spacing w:before="20" w:after="20"/>
              <w:jc w:val="center"/>
              <w:rPr>
                <w:rFonts w:cs="Times New Roman"/>
                <w:bCs/>
                <w:noProof/>
                <w:sz w:val="22"/>
              </w:rPr>
            </w:pPr>
            <w:r>
              <w:rPr>
                <w:rFonts w:cs="Times New Roman"/>
                <w:bCs/>
                <w:noProof/>
                <w:sz w:val="22"/>
              </w:rPr>
              <w:t>1</w:t>
            </w:r>
          </w:p>
        </w:tc>
        <w:tc>
          <w:tcPr>
            <w:tcW w:w="429" w:type="pct"/>
            <w:noWrap/>
            <w:hideMark/>
          </w:tcPr>
          <w:p>
            <w:pPr>
              <w:spacing w:before="20" w:after="20"/>
              <w:jc w:val="center"/>
              <w:rPr>
                <w:rFonts w:cs="Times New Roman"/>
                <w:bCs/>
                <w:noProof/>
                <w:sz w:val="22"/>
              </w:rPr>
            </w:pPr>
            <w:r>
              <w:rPr>
                <w:rFonts w:cs="Times New Roman"/>
                <w:bCs/>
                <w:noProof/>
                <w:sz w:val="22"/>
              </w:rPr>
              <w:t>2</w:t>
            </w:r>
          </w:p>
        </w:tc>
      </w:tr>
      <w:tr>
        <w:trPr>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4. Geospatial solutions</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1</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1</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0</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2%</w:t>
            </w:r>
          </w:p>
        </w:tc>
        <w:tc>
          <w:tcPr>
            <w:tcW w:w="441" w:type="pct"/>
            <w:noWrap/>
            <w:hideMark/>
          </w:tcPr>
          <w:p>
            <w:pPr>
              <w:spacing w:before="20" w:after="20"/>
              <w:jc w:val="center"/>
              <w:rPr>
                <w:rFonts w:cs="Times New Roman"/>
                <w:bCs/>
                <w:noProof/>
                <w:sz w:val="22"/>
              </w:rPr>
            </w:pPr>
            <w:r>
              <w:rPr>
                <w:rFonts w:cs="Times New Roman"/>
                <w:bCs/>
                <w:noProof/>
                <w:sz w:val="22"/>
              </w:rPr>
              <w:t>1</w:t>
            </w:r>
          </w:p>
        </w:tc>
        <w:tc>
          <w:tcPr>
            <w:tcW w:w="415" w:type="pct"/>
            <w:noWrap/>
            <w:hideMark/>
          </w:tcPr>
          <w:p>
            <w:pPr>
              <w:spacing w:before="20" w:after="20"/>
              <w:jc w:val="center"/>
              <w:rPr>
                <w:rFonts w:cs="Times New Roman"/>
                <w:bCs/>
                <w:noProof/>
                <w:sz w:val="22"/>
              </w:rPr>
            </w:pPr>
            <w:r>
              <w:rPr>
                <w:rFonts w:cs="Times New Roman"/>
                <w:bCs/>
                <w:noProof/>
                <w:sz w:val="22"/>
              </w:rPr>
              <w:t>1</w:t>
            </w:r>
          </w:p>
        </w:tc>
        <w:tc>
          <w:tcPr>
            <w:tcW w:w="429" w:type="pct"/>
            <w:noWrap/>
            <w:hideMark/>
          </w:tcPr>
          <w:p>
            <w:pPr>
              <w:spacing w:before="20" w:after="20"/>
              <w:jc w:val="center"/>
              <w:rPr>
                <w:rFonts w:cs="Times New Roman"/>
                <w:bCs/>
                <w:noProof/>
                <w:sz w:val="22"/>
              </w:rPr>
            </w:pPr>
            <w:r>
              <w:rPr>
                <w:rFonts w:cs="Times New Roman"/>
                <w:bCs/>
                <w:noProof/>
                <w:sz w:val="22"/>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5. eProcurement/ eInvoicing - Supporting instruments</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1</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1</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0</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2%</w:t>
            </w:r>
          </w:p>
        </w:tc>
        <w:tc>
          <w:tcPr>
            <w:tcW w:w="441" w:type="pct"/>
            <w:noWrap/>
            <w:hideMark/>
          </w:tcPr>
          <w:p>
            <w:pPr>
              <w:spacing w:before="20" w:after="20"/>
              <w:jc w:val="center"/>
              <w:rPr>
                <w:rFonts w:cs="Times New Roman"/>
                <w:bCs/>
                <w:noProof/>
                <w:sz w:val="22"/>
              </w:rPr>
            </w:pPr>
            <w:r>
              <w:rPr>
                <w:rFonts w:cs="Times New Roman"/>
                <w:bCs/>
                <w:noProof/>
                <w:sz w:val="22"/>
              </w:rPr>
              <w:t>1</w:t>
            </w:r>
          </w:p>
        </w:tc>
        <w:tc>
          <w:tcPr>
            <w:tcW w:w="415" w:type="pct"/>
            <w:noWrap/>
            <w:hideMark/>
          </w:tcPr>
          <w:p>
            <w:pPr>
              <w:spacing w:before="20" w:after="20"/>
              <w:jc w:val="center"/>
              <w:rPr>
                <w:rFonts w:cs="Times New Roman"/>
                <w:bCs/>
                <w:noProof/>
                <w:sz w:val="22"/>
              </w:rPr>
            </w:pPr>
            <w:r>
              <w:rPr>
                <w:rFonts w:cs="Times New Roman"/>
                <w:bCs/>
                <w:noProof/>
                <w:sz w:val="22"/>
              </w:rPr>
              <w:t>1</w:t>
            </w:r>
          </w:p>
        </w:tc>
        <w:tc>
          <w:tcPr>
            <w:tcW w:w="429" w:type="pct"/>
            <w:noWrap/>
            <w:hideMark/>
          </w:tcPr>
          <w:p>
            <w:pPr>
              <w:spacing w:before="20" w:after="20"/>
              <w:jc w:val="center"/>
              <w:rPr>
                <w:rFonts w:cs="Times New Roman"/>
                <w:bCs/>
                <w:noProof/>
                <w:sz w:val="22"/>
              </w:rPr>
            </w:pPr>
            <w:r>
              <w:rPr>
                <w:rFonts w:cs="Times New Roman"/>
                <w:bCs/>
                <w:noProof/>
                <w:sz w:val="22"/>
              </w:rPr>
              <w:t>0</w:t>
            </w:r>
          </w:p>
        </w:tc>
      </w:tr>
      <w:tr>
        <w:trPr>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6. Decision making and legislation - Supporting instruments</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10</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5</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5</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19%</w:t>
            </w:r>
          </w:p>
        </w:tc>
        <w:tc>
          <w:tcPr>
            <w:tcW w:w="441" w:type="pct"/>
            <w:noWrap/>
            <w:hideMark/>
          </w:tcPr>
          <w:p>
            <w:pPr>
              <w:spacing w:before="20" w:after="20"/>
              <w:jc w:val="center"/>
              <w:rPr>
                <w:rFonts w:cs="Times New Roman"/>
                <w:bCs/>
                <w:noProof/>
                <w:sz w:val="22"/>
              </w:rPr>
            </w:pPr>
            <w:r>
              <w:rPr>
                <w:rFonts w:cs="Times New Roman"/>
                <w:bCs/>
                <w:noProof/>
                <w:sz w:val="22"/>
              </w:rPr>
              <w:t>3</w:t>
            </w:r>
          </w:p>
        </w:tc>
        <w:tc>
          <w:tcPr>
            <w:tcW w:w="415" w:type="pct"/>
            <w:noWrap/>
            <w:hideMark/>
          </w:tcPr>
          <w:p>
            <w:pPr>
              <w:spacing w:before="20" w:after="20"/>
              <w:jc w:val="center"/>
              <w:rPr>
                <w:rFonts w:cs="Times New Roman"/>
                <w:bCs/>
                <w:noProof/>
                <w:sz w:val="22"/>
              </w:rPr>
            </w:pPr>
            <w:r>
              <w:rPr>
                <w:rFonts w:cs="Times New Roman"/>
                <w:bCs/>
                <w:noProof/>
                <w:sz w:val="22"/>
              </w:rPr>
              <w:t>1</w:t>
            </w:r>
          </w:p>
        </w:tc>
        <w:tc>
          <w:tcPr>
            <w:tcW w:w="429" w:type="pct"/>
            <w:noWrap/>
            <w:hideMark/>
          </w:tcPr>
          <w:p>
            <w:pPr>
              <w:spacing w:before="20" w:after="20"/>
              <w:jc w:val="center"/>
              <w:rPr>
                <w:rFonts w:cs="Times New Roman"/>
                <w:bCs/>
                <w:noProof/>
                <w:sz w:val="22"/>
              </w:rPr>
            </w:pPr>
            <w:r>
              <w:rPr>
                <w:rFonts w:cs="Times New Roman"/>
                <w:bCs/>
                <w:noProof/>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7. EU Policies - Supporting instruments</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5</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3</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2</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9%</w:t>
            </w:r>
          </w:p>
        </w:tc>
        <w:tc>
          <w:tcPr>
            <w:tcW w:w="441" w:type="pct"/>
            <w:noWrap/>
            <w:hideMark/>
          </w:tcPr>
          <w:p>
            <w:pPr>
              <w:spacing w:before="20" w:after="20"/>
              <w:jc w:val="center"/>
              <w:rPr>
                <w:rFonts w:cs="Times New Roman"/>
                <w:bCs/>
                <w:noProof/>
                <w:sz w:val="22"/>
              </w:rPr>
            </w:pPr>
            <w:r>
              <w:rPr>
                <w:rFonts w:cs="Times New Roman"/>
                <w:bCs/>
                <w:noProof/>
                <w:sz w:val="22"/>
              </w:rPr>
              <w:t>1</w:t>
            </w:r>
          </w:p>
        </w:tc>
        <w:tc>
          <w:tcPr>
            <w:tcW w:w="415" w:type="pct"/>
            <w:noWrap/>
            <w:hideMark/>
          </w:tcPr>
          <w:p>
            <w:pPr>
              <w:spacing w:before="20" w:after="20"/>
              <w:jc w:val="center"/>
              <w:rPr>
                <w:rFonts w:cs="Times New Roman"/>
                <w:bCs/>
                <w:noProof/>
                <w:sz w:val="22"/>
              </w:rPr>
            </w:pPr>
            <w:r>
              <w:rPr>
                <w:rFonts w:cs="Times New Roman"/>
                <w:bCs/>
                <w:noProof/>
                <w:sz w:val="22"/>
              </w:rPr>
              <w:t>1</w:t>
            </w:r>
          </w:p>
        </w:tc>
        <w:tc>
          <w:tcPr>
            <w:tcW w:w="429" w:type="pct"/>
            <w:noWrap/>
            <w:hideMark/>
          </w:tcPr>
          <w:p>
            <w:pPr>
              <w:spacing w:before="20" w:after="20"/>
              <w:jc w:val="center"/>
              <w:rPr>
                <w:rFonts w:cs="Times New Roman"/>
                <w:bCs/>
                <w:noProof/>
                <w:sz w:val="22"/>
              </w:rPr>
            </w:pPr>
            <w:r>
              <w:rPr>
                <w:rFonts w:cs="Times New Roman"/>
                <w:bCs/>
                <w:noProof/>
                <w:sz w:val="22"/>
              </w:rPr>
              <w:t>0</w:t>
            </w:r>
          </w:p>
        </w:tc>
      </w:tr>
      <w:tr>
        <w:trPr>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8. Supporting instruments for public administrations</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16</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11</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5</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30%</w:t>
            </w:r>
          </w:p>
        </w:tc>
        <w:tc>
          <w:tcPr>
            <w:tcW w:w="441" w:type="pct"/>
            <w:noWrap/>
            <w:hideMark/>
          </w:tcPr>
          <w:p>
            <w:pPr>
              <w:spacing w:before="20" w:after="20"/>
              <w:jc w:val="center"/>
              <w:rPr>
                <w:rFonts w:cs="Times New Roman"/>
                <w:bCs/>
                <w:noProof/>
                <w:sz w:val="22"/>
              </w:rPr>
            </w:pPr>
            <w:r>
              <w:rPr>
                <w:rFonts w:cs="Times New Roman"/>
                <w:bCs/>
                <w:noProof/>
                <w:sz w:val="22"/>
              </w:rPr>
              <w:t>6</w:t>
            </w:r>
          </w:p>
        </w:tc>
        <w:tc>
          <w:tcPr>
            <w:tcW w:w="415" w:type="pct"/>
            <w:noWrap/>
            <w:hideMark/>
          </w:tcPr>
          <w:p>
            <w:pPr>
              <w:spacing w:before="20" w:after="20"/>
              <w:jc w:val="center"/>
              <w:rPr>
                <w:rFonts w:cs="Times New Roman"/>
                <w:bCs/>
                <w:noProof/>
                <w:sz w:val="22"/>
              </w:rPr>
            </w:pPr>
            <w:r>
              <w:rPr>
                <w:rFonts w:cs="Times New Roman"/>
                <w:bCs/>
                <w:noProof/>
                <w:sz w:val="22"/>
              </w:rPr>
              <w:t>5</w:t>
            </w:r>
          </w:p>
        </w:tc>
        <w:tc>
          <w:tcPr>
            <w:tcW w:w="429" w:type="pct"/>
            <w:noWrap/>
            <w:hideMark/>
          </w:tcPr>
          <w:p>
            <w:pPr>
              <w:spacing w:before="20" w:after="20"/>
              <w:jc w:val="center"/>
              <w:rPr>
                <w:rFonts w:cs="Times New Roman"/>
                <w:bCs/>
                <w:noProof/>
                <w:sz w:val="22"/>
              </w:rPr>
            </w:pPr>
            <w:r>
              <w:rPr>
                <w:rFonts w:cs="Times New Roman"/>
                <w:bCs/>
                <w:noProof/>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9. Accompanying measures</w:t>
            </w:r>
          </w:p>
        </w:tc>
        <w:tc>
          <w:tcPr>
            <w:tcW w:w="334" w:type="pct"/>
            <w:noWrap/>
            <w:hideMark/>
          </w:tcPr>
          <w:p>
            <w:pPr>
              <w:spacing w:before="20" w:after="20"/>
              <w:jc w:val="center"/>
              <w:rPr>
                <w:rFonts w:cs="Times New Roman"/>
                <w:bCs/>
                <w:noProof/>
                <w:sz w:val="22"/>
                <w:lang w:val="en-GB"/>
              </w:rPr>
            </w:pPr>
            <w:r>
              <w:rPr>
                <w:rFonts w:cs="Times New Roman"/>
                <w:bCs/>
                <w:noProof/>
                <w:sz w:val="22"/>
                <w:lang w:val="en-GB"/>
              </w:rPr>
              <w:t>2</w:t>
            </w:r>
          </w:p>
        </w:tc>
        <w:tc>
          <w:tcPr>
            <w:tcW w:w="432" w:type="pct"/>
            <w:noWrap/>
            <w:hideMark/>
          </w:tcPr>
          <w:p>
            <w:pPr>
              <w:spacing w:before="20" w:after="20"/>
              <w:jc w:val="center"/>
              <w:rPr>
                <w:rFonts w:cs="Times New Roman"/>
                <w:bCs/>
                <w:noProof/>
                <w:sz w:val="22"/>
                <w:lang w:val="en-GB"/>
              </w:rPr>
            </w:pPr>
            <w:r>
              <w:rPr>
                <w:rFonts w:cs="Times New Roman"/>
                <w:bCs/>
                <w:noProof/>
                <w:sz w:val="22"/>
                <w:lang w:val="en-GB"/>
              </w:rPr>
              <w:t>0</w:t>
            </w:r>
          </w:p>
        </w:tc>
        <w:tc>
          <w:tcPr>
            <w:tcW w:w="515" w:type="pct"/>
            <w:noWrap/>
            <w:hideMark/>
          </w:tcPr>
          <w:p>
            <w:pPr>
              <w:spacing w:before="20" w:after="20"/>
              <w:jc w:val="center"/>
              <w:rPr>
                <w:rFonts w:cs="Times New Roman"/>
                <w:bCs/>
                <w:noProof/>
                <w:sz w:val="22"/>
                <w:lang w:val="en-GB"/>
              </w:rPr>
            </w:pPr>
            <w:r>
              <w:rPr>
                <w:rFonts w:cs="Times New Roman"/>
                <w:bCs/>
                <w:noProof/>
                <w:sz w:val="22"/>
                <w:lang w:val="en-GB"/>
              </w:rPr>
              <w:t>2</w:t>
            </w:r>
          </w:p>
        </w:tc>
        <w:tc>
          <w:tcPr>
            <w:tcW w:w="619" w:type="pct"/>
            <w:noWrap/>
            <w:hideMark/>
          </w:tcPr>
          <w:p>
            <w:pPr>
              <w:spacing w:before="20" w:after="20"/>
              <w:jc w:val="center"/>
              <w:rPr>
                <w:rFonts w:cs="Times New Roman"/>
                <w:bCs/>
                <w:noProof/>
                <w:sz w:val="22"/>
                <w:lang w:val="en-GB"/>
              </w:rPr>
            </w:pPr>
            <w:r>
              <w:rPr>
                <w:rFonts w:cs="Times New Roman"/>
                <w:bCs/>
                <w:noProof/>
                <w:sz w:val="22"/>
                <w:lang w:val="en-GB"/>
              </w:rPr>
              <w:t>4%</w:t>
            </w:r>
          </w:p>
        </w:tc>
        <w:tc>
          <w:tcPr>
            <w:tcW w:w="441" w:type="pct"/>
            <w:noWrap/>
            <w:hideMark/>
          </w:tcPr>
          <w:p>
            <w:pPr>
              <w:spacing w:before="20" w:after="20"/>
              <w:jc w:val="center"/>
              <w:rPr>
                <w:rFonts w:cs="Times New Roman"/>
                <w:bCs/>
                <w:noProof/>
                <w:sz w:val="22"/>
              </w:rPr>
            </w:pPr>
            <w:r>
              <w:rPr>
                <w:rFonts w:cs="Times New Roman"/>
                <w:bCs/>
                <w:noProof/>
                <w:sz w:val="22"/>
              </w:rPr>
              <w:t>1</w:t>
            </w:r>
          </w:p>
        </w:tc>
        <w:tc>
          <w:tcPr>
            <w:tcW w:w="415" w:type="pct"/>
            <w:noWrap/>
            <w:hideMark/>
          </w:tcPr>
          <w:p>
            <w:pPr>
              <w:spacing w:before="20" w:after="20"/>
              <w:jc w:val="center"/>
              <w:rPr>
                <w:rFonts w:cs="Times New Roman"/>
                <w:bCs/>
                <w:noProof/>
                <w:sz w:val="22"/>
              </w:rPr>
            </w:pPr>
            <w:r>
              <w:rPr>
                <w:rFonts w:cs="Times New Roman"/>
                <w:bCs/>
                <w:noProof/>
                <w:sz w:val="22"/>
              </w:rPr>
              <w:t>0</w:t>
            </w:r>
          </w:p>
        </w:tc>
        <w:tc>
          <w:tcPr>
            <w:tcW w:w="429" w:type="pct"/>
            <w:noWrap/>
            <w:hideMark/>
          </w:tcPr>
          <w:p>
            <w:pPr>
              <w:spacing w:before="20" w:after="20"/>
              <w:jc w:val="center"/>
              <w:rPr>
                <w:rFonts w:cs="Times New Roman"/>
                <w:bCs/>
                <w:noProof/>
                <w:sz w:val="22"/>
              </w:rPr>
            </w:pPr>
            <w:r>
              <w:rPr>
                <w:rFonts w:cs="Times New Roman"/>
                <w:bCs/>
                <w:noProof/>
                <w:sz w:val="22"/>
              </w:rPr>
              <w:t>1</w:t>
            </w:r>
          </w:p>
        </w:tc>
      </w:tr>
      <w:tr>
        <w:trPr>
          <w:trHeight w:val="20"/>
        </w:trPr>
        <w:tc>
          <w:tcPr>
            <w:tcW w:w="1813" w:type="pct"/>
            <w:noWrap/>
            <w:hideMark/>
          </w:tcPr>
          <w:p>
            <w:pPr>
              <w:spacing w:before="20" w:after="20"/>
              <w:jc w:val="both"/>
              <w:rPr>
                <w:rFonts w:cs="Times New Roman"/>
                <w:bCs/>
                <w:noProof/>
                <w:sz w:val="22"/>
                <w:lang w:val="en-GB"/>
              </w:rPr>
            </w:pPr>
            <w:r>
              <w:rPr>
                <w:rFonts w:cs="Times New Roman"/>
                <w:bCs/>
                <w:noProof/>
                <w:sz w:val="22"/>
                <w:lang w:val="en-GB"/>
              </w:rPr>
              <w:t>TOTAL</w:t>
            </w:r>
          </w:p>
        </w:tc>
        <w:tc>
          <w:tcPr>
            <w:tcW w:w="334" w:type="pct"/>
            <w:noWrap/>
            <w:hideMark/>
          </w:tcPr>
          <w:p>
            <w:pPr>
              <w:spacing w:before="20" w:after="20"/>
              <w:jc w:val="center"/>
              <w:rPr>
                <w:rFonts w:cs="Times New Roman"/>
                <w:b/>
                <w:bCs/>
                <w:noProof/>
                <w:sz w:val="22"/>
                <w:lang w:val="en-GB"/>
              </w:rPr>
            </w:pPr>
            <w:r>
              <w:rPr>
                <w:rFonts w:cs="Times New Roman"/>
                <w:b/>
                <w:bCs/>
                <w:noProof/>
                <w:sz w:val="22"/>
                <w:lang w:val="en-GB"/>
              </w:rPr>
              <w:t>53</w:t>
            </w:r>
          </w:p>
        </w:tc>
        <w:tc>
          <w:tcPr>
            <w:tcW w:w="432" w:type="pct"/>
            <w:noWrap/>
            <w:hideMark/>
          </w:tcPr>
          <w:p>
            <w:pPr>
              <w:spacing w:before="20" w:after="20"/>
              <w:jc w:val="center"/>
              <w:rPr>
                <w:rFonts w:cs="Times New Roman"/>
                <w:b/>
                <w:bCs/>
                <w:noProof/>
                <w:sz w:val="22"/>
                <w:lang w:val="en-GB"/>
              </w:rPr>
            </w:pPr>
            <w:r>
              <w:rPr>
                <w:rFonts w:cs="Times New Roman"/>
                <w:b/>
                <w:bCs/>
                <w:noProof/>
                <w:sz w:val="22"/>
                <w:lang w:val="en-GB"/>
              </w:rPr>
              <w:t>29</w:t>
            </w:r>
          </w:p>
        </w:tc>
        <w:tc>
          <w:tcPr>
            <w:tcW w:w="515" w:type="pct"/>
            <w:noWrap/>
            <w:hideMark/>
          </w:tcPr>
          <w:p>
            <w:pPr>
              <w:spacing w:before="20" w:after="20"/>
              <w:jc w:val="center"/>
              <w:rPr>
                <w:rFonts w:cs="Times New Roman"/>
                <w:b/>
                <w:bCs/>
                <w:noProof/>
                <w:sz w:val="22"/>
                <w:lang w:val="en-GB"/>
              </w:rPr>
            </w:pPr>
            <w:r>
              <w:rPr>
                <w:rFonts w:cs="Times New Roman"/>
                <w:b/>
                <w:bCs/>
                <w:noProof/>
                <w:sz w:val="22"/>
                <w:lang w:val="en-GB"/>
              </w:rPr>
              <w:t>24</w:t>
            </w:r>
          </w:p>
        </w:tc>
        <w:tc>
          <w:tcPr>
            <w:tcW w:w="619" w:type="pct"/>
            <w:noWrap/>
            <w:hideMark/>
          </w:tcPr>
          <w:p>
            <w:pPr>
              <w:spacing w:before="20" w:after="20"/>
              <w:jc w:val="center"/>
              <w:rPr>
                <w:rFonts w:cs="Times New Roman"/>
                <w:b/>
                <w:bCs/>
                <w:noProof/>
                <w:sz w:val="22"/>
                <w:lang w:val="en-GB"/>
              </w:rPr>
            </w:pPr>
            <w:r>
              <w:rPr>
                <w:rFonts w:cs="Times New Roman"/>
                <w:b/>
                <w:bCs/>
                <w:noProof/>
                <w:sz w:val="22"/>
                <w:lang w:val="en-GB"/>
              </w:rPr>
              <w:t>100%</w:t>
            </w:r>
          </w:p>
        </w:tc>
        <w:tc>
          <w:tcPr>
            <w:tcW w:w="441" w:type="pct"/>
            <w:noWrap/>
            <w:hideMark/>
          </w:tcPr>
          <w:p>
            <w:pPr>
              <w:spacing w:before="20" w:after="20"/>
              <w:jc w:val="center"/>
              <w:rPr>
                <w:rFonts w:cs="Times New Roman"/>
                <w:b/>
                <w:bCs/>
                <w:noProof/>
                <w:sz w:val="22"/>
              </w:rPr>
            </w:pPr>
            <w:r>
              <w:rPr>
                <w:rFonts w:cs="Times New Roman"/>
                <w:b/>
                <w:bCs/>
                <w:noProof/>
                <w:sz w:val="22"/>
              </w:rPr>
              <w:t>20</w:t>
            </w:r>
          </w:p>
        </w:tc>
        <w:tc>
          <w:tcPr>
            <w:tcW w:w="415" w:type="pct"/>
            <w:noWrap/>
            <w:hideMark/>
          </w:tcPr>
          <w:p>
            <w:pPr>
              <w:spacing w:before="20" w:after="20"/>
              <w:jc w:val="center"/>
              <w:rPr>
                <w:rFonts w:cs="Times New Roman"/>
                <w:b/>
                <w:bCs/>
                <w:noProof/>
                <w:sz w:val="22"/>
              </w:rPr>
            </w:pPr>
            <w:r>
              <w:rPr>
                <w:rFonts w:cs="Times New Roman"/>
                <w:b/>
                <w:bCs/>
                <w:noProof/>
                <w:sz w:val="22"/>
              </w:rPr>
              <w:t>13</w:t>
            </w:r>
          </w:p>
        </w:tc>
        <w:tc>
          <w:tcPr>
            <w:tcW w:w="429" w:type="pct"/>
            <w:noWrap/>
            <w:hideMark/>
          </w:tcPr>
          <w:p>
            <w:pPr>
              <w:spacing w:before="20" w:after="20"/>
              <w:jc w:val="center"/>
              <w:rPr>
                <w:rFonts w:cs="Times New Roman"/>
                <w:b/>
                <w:bCs/>
                <w:noProof/>
                <w:sz w:val="22"/>
              </w:rPr>
            </w:pPr>
            <w:r>
              <w:rPr>
                <w:rFonts w:cs="Times New Roman"/>
                <w:b/>
                <w:bCs/>
                <w:noProof/>
                <w:sz w:val="22"/>
              </w:rPr>
              <w:t>7</w:t>
            </w:r>
          </w:p>
        </w:tc>
      </w:tr>
    </w:tbl>
    <w:p>
      <w:pPr>
        <w:spacing w:after="0" w:line="240" w:lineRule="auto"/>
        <w:jc w:val="both"/>
        <w:rPr>
          <w:rFonts w:cs="Times New Roman"/>
          <w:bCs/>
          <w:i/>
          <w:noProof/>
          <w:sz w:val="20"/>
          <w:lang w:val="en-GB"/>
        </w:rPr>
      </w:pPr>
      <w:r>
        <w:rPr>
          <w:rFonts w:cs="Times New Roman"/>
          <w:bCs/>
          <w:i/>
          <w:noProof/>
          <w:sz w:val="20"/>
          <w:lang w:val="en-GB"/>
        </w:rPr>
        <w:t>Note: The column ‘Number of ISA actions’ shows the number of actions continued under ISA</w:t>
      </w:r>
      <w:r>
        <w:rPr>
          <w:rFonts w:cs="Times New Roman"/>
          <w:bCs/>
          <w:i/>
          <w:noProof/>
          <w:sz w:val="20"/>
          <w:vertAlign w:val="superscript"/>
          <w:lang w:val="en-GB"/>
        </w:rPr>
        <w:t>2</w:t>
      </w:r>
      <w:r>
        <w:rPr>
          <w:rFonts w:cs="Times New Roman"/>
          <w:bCs/>
          <w:i/>
          <w:noProof/>
          <w:sz w:val="20"/>
          <w:lang w:val="en-GB"/>
        </w:rPr>
        <w:t xml:space="preserve"> from the programme’s previous editions. The column ‘Number of ISA</w:t>
      </w:r>
      <w:r>
        <w:rPr>
          <w:rFonts w:cs="Times New Roman"/>
          <w:bCs/>
          <w:i/>
          <w:noProof/>
          <w:sz w:val="20"/>
          <w:vertAlign w:val="superscript"/>
          <w:lang w:val="en-GB"/>
        </w:rPr>
        <w:t>2</w:t>
      </w:r>
      <w:r>
        <w:rPr>
          <w:rFonts w:cs="Times New Roman"/>
          <w:bCs/>
          <w:i/>
          <w:noProof/>
          <w:sz w:val="20"/>
          <w:lang w:val="en-GB"/>
        </w:rPr>
        <w:t xml:space="preserve"> actions’ shows the number of new actions under ISA</w:t>
      </w:r>
      <w:r>
        <w:rPr>
          <w:rFonts w:cs="Times New Roman"/>
          <w:bCs/>
          <w:i/>
          <w:noProof/>
          <w:sz w:val="20"/>
          <w:vertAlign w:val="superscript"/>
          <w:lang w:val="en-GB"/>
        </w:rPr>
        <w:t>2</w:t>
      </w:r>
      <w:r>
        <w:rPr>
          <w:rFonts w:cs="Times New Roman"/>
          <w:bCs/>
          <w:i/>
          <w:noProof/>
          <w:sz w:val="20"/>
          <w:lang w:val="en-GB"/>
        </w:rPr>
        <w:t xml:space="preserve"> that are not a direct continuation of any actions of the previous editions of the programme.</w:t>
      </w:r>
    </w:p>
    <w:p>
      <w:pPr>
        <w:spacing w:line="240" w:lineRule="auto"/>
        <w:jc w:val="both"/>
        <w:rPr>
          <w:rFonts w:cs="Times New Roman"/>
          <w:bCs/>
          <w:i/>
          <w:noProof/>
          <w:sz w:val="20"/>
          <w:lang w:val="en-US"/>
        </w:rPr>
      </w:pPr>
      <w:r>
        <w:rPr>
          <w:rFonts w:cs="Times New Roman"/>
          <w:i/>
          <w:noProof/>
          <w:sz w:val="20"/>
          <w:szCs w:val="20"/>
          <w:lang w:val="en-GB"/>
        </w:rPr>
        <w:t xml:space="preserve">Source: </w:t>
      </w:r>
      <w:hyperlink r:id="rId237" w:history="1">
        <w:r>
          <w:rPr>
            <w:rStyle w:val="Hyperlink"/>
            <w:rFonts w:cs="Times New Roman"/>
            <w:i/>
            <w:noProof/>
            <w:sz w:val="20"/>
            <w:lang w:val="en-GB"/>
          </w:rPr>
          <w:t>CEPS final study</w:t>
        </w:r>
      </w:hyperlink>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8</w:t>
      </w:r>
      <w:r>
        <w:rPr>
          <w:rFonts w:cs="Times New Roman"/>
          <w:noProof/>
        </w:rPr>
        <w:fldChar w:fldCharType="end"/>
      </w:r>
      <w:r>
        <w:rPr>
          <w:rFonts w:cs="Times New Roman"/>
          <w:noProof/>
        </w:rPr>
        <w:t>: Sampled actions and relevant solutions</w:t>
      </w:r>
    </w:p>
    <w:tbl>
      <w:tblPr>
        <w:tblStyle w:val="GridTable4Accent1"/>
        <w:tblW w:w="14992" w:type="dxa"/>
        <w:tblLayout w:type="fixed"/>
        <w:tblLook w:val="0420" w:firstRow="1" w:lastRow="0" w:firstColumn="0" w:lastColumn="0" w:noHBand="0" w:noVBand="1"/>
      </w:tblPr>
      <w:tblGrid>
        <w:gridCol w:w="2461"/>
        <w:gridCol w:w="1007"/>
        <w:gridCol w:w="1921"/>
        <w:gridCol w:w="734"/>
        <w:gridCol w:w="2197"/>
        <w:gridCol w:w="2224"/>
        <w:gridCol w:w="2224"/>
        <w:gridCol w:w="2224"/>
      </w:tblGrid>
      <w:tr>
        <w:trPr>
          <w:cnfStyle w:val="100000000000" w:firstRow="1" w:lastRow="0" w:firstColumn="0" w:lastColumn="0" w:oddVBand="0" w:evenVBand="0" w:oddHBand="0" w:evenHBand="0" w:firstRowFirstColumn="0" w:firstRowLastColumn="0" w:lastRowFirstColumn="0" w:lastRowLastColumn="0"/>
          <w:trHeight w:val="20"/>
          <w:tblHeader/>
        </w:trPr>
        <w:tc>
          <w:tcPr>
            <w:tcW w:w="2385" w:type="dxa"/>
            <w:noWrap/>
            <w:hideMark/>
          </w:tcPr>
          <w:p>
            <w:pPr>
              <w:spacing w:before="20" w:after="20"/>
              <w:jc w:val="center"/>
              <w:rPr>
                <w:rFonts w:cs="Times New Roman"/>
                <w:noProof/>
                <w:sz w:val="22"/>
                <w:lang w:eastAsia="en-GB"/>
              </w:rPr>
            </w:pPr>
            <w:r>
              <w:rPr>
                <w:rFonts w:cs="Times New Roman"/>
                <w:noProof/>
                <w:sz w:val="22"/>
                <w:lang w:eastAsia="en-GB"/>
              </w:rPr>
              <w:t>Package</w:t>
            </w:r>
          </w:p>
        </w:tc>
        <w:tc>
          <w:tcPr>
            <w:tcW w:w="976" w:type="dxa"/>
            <w:hideMark/>
          </w:tcPr>
          <w:p>
            <w:pPr>
              <w:spacing w:before="20" w:after="20"/>
              <w:jc w:val="center"/>
              <w:rPr>
                <w:rFonts w:cs="Times New Roman"/>
                <w:noProof/>
                <w:sz w:val="22"/>
                <w:lang w:val="en-GB" w:eastAsia="en-GB"/>
              </w:rPr>
            </w:pPr>
            <w:r>
              <w:rPr>
                <w:rFonts w:cs="Times New Roman"/>
                <w:noProof/>
                <w:sz w:val="22"/>
                <w:lang w:val="en-GB" w:eastAsia="en-GB"/>
              </w:rPr>
              <w:t>Action number</w:t>
            </w:r>
          </w:p>
        </w:tc>
        <w:tc>
          <w:tcPr>
            <w:tcW w:w="1861" w:type="dxa"/>
            <w:hideMark/>
          </w:tcPr>
          <w:p>
            <w:pPr>
              <w:spacing w:before="20" w:after="20"/>
              <w:jc w:val="center"/>
              <w:rPr>
                <w:rFonts w:cs="Times New Roman"/>
                <w:noProof/>
                <w:sz w:val="22"/>
                <w:lang w:val="en-GB" w:eastAsia="en-GB"/>
              </w:rPr>
            </w:pPr>
            <w:r>
              <w:rPr>
                <w:rFonts w:cs="Times New Roman"/>
                <w:noProof/>
                <w:sz w:val="22"/>
                <w:lang w:val="en-GB" w:eastAsia="en-GB"/>
              </w:rPr>
              <w:t>Action Name</w:t>
            </w:r>
          </w:p>
        </w:tc>
        <w:tc>
          <w:tcPr>
            <w:tcW w:w="711" w:type="dxa"/>
            <w:hideMark/>
          </w:tcPr>
          <w:p>
            <w:pPr>
              <w:spacing w:before="20" w:after="20"/>
              <w:jc w:val="center"/>
              <w:rPr>
                <w:rFonts w:cs="Times New Roman"/>
                <w:noProof/>
                <w:sz w:val="22"/>
                <w:lang w:val="en-GB" w:eastAsia="en-GB"/>
              </w:rPr>
            </w:pPr>
            <w:r>
              <w:rPr>
                <w:rFonts w:cs="Times New Roman"/>
                <w:noProof/>
                <w:sz w:val="22"/>
                <w:lang w:val="en-GB" w:eastAsia="en-GB"/>
              </w:rPr>
              <w:t>ISA/ ISA</w:t>
            </w:r>
            <w:r>
              <w:rPr>
                <w:rFonts w:cs="Times New Roman"/>
                <w:noProof/>
                <w:sz w:val="22"/>
                <w:vertAlign w:val="superscript"/>
                <w:lang w:val="en-GB" w:eastAsia="en-GB"/>
              </w:rPr>
              <w:t>2</w:t>
            </w:r>
          </w:p>
        </w:tc>
        <w:tc>
          <w:tcPr>
            <w:tcW w:w="2155" w:type="dxa"/>
            <w:gridSpan w:val="4"/>
            <w:hideMark/>
          </w:tcPr>
          <w:p>
            <w:pPr>
              <w:spacing w:before="20" w:after="20"/>
              <w:jc w:val="center"/>
              <w:rPr>
                <w:rFonts w:cs="Times New Roman"/>
                <w:noProof/>
                <w:sz w:val="22"/>
                <w:lang w:val="en-GB" w:eastAsia="en-GB"/>
              </w:rPr>
            </w:pPr>
            <w:r>
              <w:rPr>
                <w:rFonts w:cs="Times New Roman"/>
                <w:noProof/>
                <w:sz w:val="22"/>
                <w:lang w:val="en-GB" w:eastAsia="en-GB"/>
              </w:rPr>
              <w:t>Solutions</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1. Key and generic interoperability enablers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2016.19</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Trusted Exchange Platform (e-TrustEx)</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Open e-TrustEx</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1. Key and generic interoperability enablers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2016.29</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Catalogue of Services</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Core Public Service Vocabulary Application Profile (CPSV-AP)</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2. Semantic interoperability</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2016.07</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SEMIC: Promoting Semantic Interoperability Amongst the European Union Member States</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(data models, data standards): Core vocabularies</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specification/standard: Asset Description Metadata Schema (ADMS)</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specification: DCAT Application Profile for data portals in Europe (DCAT-AP), GeoDCAT-AP, StatDCAT-AP</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VocBench3</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2. Semantic interoperability</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2016.16</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Public Multilingual Knowledge Management Infrastructure for the Digital Single Market</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r>
              <w:rPr>
                <w:rFonts w:cs="Times New Roman"/>
                <w:noProof/>
                <w:color w:val="000000"/>
                <w:sz w:val="22"/>
                <w:vertAlign w:val="superscript"/>
                <w:lang w:val="en-GB" w:eastAsia="en-GB"/>
              </w:rPr>
              <w:t>2</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PMKI Core data model for multilingual taxonomies/terminologies</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specification/standard: Semantic links - core dataset with additional semantic links between different language resources (in particular having EuroVoc as pivot)</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3. Access to data/data sharing/open data</w:t>
            </w:r>
          </w:p>
        </w:tc>
        <w:tc>
          <w:tcPr>
            <w:tcW w:w="976" w:type="dxa"/>
            <w:hideMark/>
          </w:tcPr>
          <w:p>
            <w:pPr>
              <w:spacing w:before="20" w:after="20"/>
              <w:rPr>
                <w:rFonts w:cs="Times New Roman"/>
                <w:noProof/>
                <w:color w:val="000000"/>
                <w:sz w:val="22"/>
                <w:lang w:eastAsia="en-GB"/>
              </w:rPr>
            </w:pPr>
            <w:r>
              <w:rPr>
                <w:rFonts w:cs="Times New Roman"/>
                <w:noProof/>
                <w:color w:val="000000"/>
                <w:sz w:val="22"/>
                <w:lang w:eastAsia="en-GB"/>
              </w:rPr>
              <w:t>2016.03</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Big Data for Public Administrations</w:t>
            </w:r>
          </w:p>
        </w:tc>
        <w:tc>
          <w:tcPr>
            <w:tcW w:w="711" w:type="dxa"/>
            <w:hideMark/>
          </w:tcPr>
          <w:p>
            <w:pPr>
              <w:spacing w:before="20" w:after="20"/>
              <w:rPr>
                <w:rFonts w:cs="Times New Roman"/>
                <w:noProof/>
                <w:color w:val="000000"/>
                <w:sz w:val="22"/>
                <w:lang w:eastAsia="en-GB"/>
              </w:rPr>
            </w:pPr>
            <w:r>
              <w:rPr>
                <w:rFonts w:cs="Times New Roman"/>
                <w:noProof/>
                <w:color w:val="000000"/>
                <w:sz w:val="22"/>
                <w:lang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Study: Big data analytics for policy making</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DORIS - stakeholders' feedback analysis tool</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Study: Big Data Test Infrastructure</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3. Access to data/data sharing/open data</w:t>
            </w:r>
          </w:p>
        </w:tc>
        <w:tc>
          <w:tcPr>
            <w:tcW w:w="976" w:type="dxa"/>
            <w:hideMark/>
          </w:tcPr>
          <w:p>
            <w:pPr>
              <w:spacing w:before="20" w:after="20"/>
              <w:rPr>
                <w:rFonts w:cs="Times New Roman"/>
                <w:noProof/>
                <w:color w:val="000000"/>
                <w:sz w:val="22"/>
                <w:lang w:eastAsia="en-GB"/>
              </w:rPr>
            </w:pPr>
            <w:r>
              <w:rPr>
                <w:rFonts w:cs="Times New Roman"/>
                <w:noProof/>
                <w:color w:val="000000"/>
                <w:sz w:val="22"/>
                <w:lang w:eastAsia="en-GB"/>
              </w:rPr>
              <w:t>2016.06</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Sharing Statistical Production and Dissemination Services and Solutions in the European Statistical System</w:t>
            </w:r>
          </w:p>
        </w:tc>
        <w:tc>
          <w:tcPr>
            <w:tcW w:w="711" w:type="dxa"/>
            <w:hideMark/>
          </w:tcPr>
          <w:p>
            <w:pPr>
              <w:spacing w:before="20" w:after="20"/>
              <w:rPr>
                <w:rFonts w:cs="Times New Roman"/>
                <w:noProof/>
                <w:color w:val="000000"/>
                <w:sz w:val="22"/>
                <w:lang w:eastAsia="en-GB"/>
              </w:rPr>
            </w:pPr>
            <w:r>
              <w:rPr>
                <w:rFonts w:cs="Times New Roman"/>
                <w:noProof/>
                <w:color w:val="000000"/>
                <w:sz w:val="22"/>
                <w:lang w:eastAsia="en-GB"/>
              </w:rPr>
              <w:t>ISA</w:t>
            </w:r>
            <w:r>
              <w:rPr>
                <w:rFonts w:cs="Times New Roman"/>
                <w:noProof/>
                <w:color w:val="000000"/>
                <w:sz w:val="22"/>
                <w:vertAlign w:val="superscript"/>
                <w:lang w:eastAsia="en-GB"/>
              </w:rPr>
              <w:t>2</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ESS: Statistical Production Reference Architecture v1.0</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3. Access to data/data sharing/open data</w:t>
            </w:r>
          </w:p>
        </w:tc>
        <w:tc>
          <w:tcPr>
            <w:tcW w:w="976" w:type="dxa"/>
            <w:hideMark/>
          </w:tcPr>
          <w:p>
            <w:pPr>
              <w:spacing w:before="20" w:after="20"/>
              <w:rPr>
                <w:rFonts w:cs="Times New Roman"/>
                <w:noProof/>
                <w:color w:val="000000"/>
                <w:sz w:val="22"/>
                <w:lang w:eastAsia="en-GB"/>
              </w:rPr>
            </w:pPr>
            <w:r>
              <w:rPr>
                <w:rFonts w:cs="Times New Roman"/>
                <w:noProof/>
                <w:color w:val="000000"/>
                <w:sz w:val="22"/>
                <w:lang w:eastAsia="en-GB"/>
              </w:rPr>
              <w:t>2016.18</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Development of an Open Data Service, Support and Training Package in the Area of Linked Open Data, Data Visualisation and Persistent Identification</w:t>
            </w:r>
          </w:p>
        </w:tc>
        <w:tc>
          <w:tcPr>
            <w:tcW w:w="711" w:type="dxa"/>
            <w:hideMark/>
          </w:tcPr>
          <w:p>
            <w:pPr>
              <w:spacing w:before="20" w:after="20"/>
              <w:rPr>
                <w:rFonts w:cs="Times New Roman"/>
                <w:noProof/>
                <w:color w:val="000000"/>
                <w:sz w:val="22"/>
                <w:lang w:eastAsia="en-GB"/>
              </w:rPr>
            </w:pPr>
            <w:r>
              <w:rPr>
                <w:rFonts w:cs="Times New Roman"/>
                <w:noProof/>
                <w:color w:val="000000"/>
                <w:sz w:val="22"/>
                <w:lang w:eastAsia="en-GB"/>
              </w:rPr>
              <w:t>ISA</w:t>
            </w:r>
            <w:r>
              <w:rPr>
                <w:rFonts w:cs="Times New Roman"/>
                <w:noProof/>
                <w:color w:val="000000"/>
                <w:sz w:val="22"/>
                <w:vertAlign w:val="superscript"/>
                <w:lang w:eastAsia="en-GB"/>
              </w:rPr>
              <w:t>2</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Catalogue of data visualisation tools (part of EU Open Data portal)</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4. Geospatial solutions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2016.10</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European Location Interoperability Solutions for e-Government (ELISE)</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Re3gistry</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EULF Blueprint</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 xml:space="preserve">Common tool/services: Common services, pilots and applications; </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INSPIRE Reference Validators and Interoperability Testing (test framework)</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5. eProcurement/</w:t>
            </w:r>
            <w:r>
              <w:rPr>
                <w:rFonts w:cs="Times New Roman"/>
                <w:noProof/>
                <w:color w:val="000000"/>
                <w:sz w:val="22"/>
                <w:lang w:val="en-GB" w:eastAsia="en-GB"/>
              </w:rPr>
              <w:br/>
              <w:t>eInvoicing - Supporting instruments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2016.05</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European Public Procurement Interoperability Initiative</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Open e-Prior</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eCertis</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European Single Procurement Document (ESPD) service as well as a data model on the ESPD</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6. Decision making and legislation - Supporting instruments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2016.23</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Legal interoperability (former ICT Implications of EU Legislation)</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 Tool #27 of the Better Regulation Toolbox: The digital economy and society &amp; ICT issues</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ICT Impact Assessment Guidelines</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6. Decision making and legislation - Supporting instruments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2017.03</w:t>
            </w:r>
          </w:p>
        </w:tc>
        <w:tc>
          <w:tcPr>
            <w:tcW w:w="1861" w:type="dxa"/>
            <w:hideMark/>
          </w:tcPr>
          <w:p>
            <w:pPr>
              <w:spacing w:before="20" w:after="20"/>
              <w:rPr>
                <w:rFonts w:cs="Times New Roman"/>
                <w:noProof/>
                <w:color w:val="000000"/>
                <w:sz w:val="22"/>
                <w:lang w:val="en-GB" w:eastAsia="en-GB"/>
              </w:rPr>
            </w:pPr>
            <w:hyperlink r:id="rId238" w:history="1">
              <w:r>
                <w:rPr>
                  <w:rStyle w:val="Hyperlink"/>
                  <w:rFonts w:cs="Times New Roman"/>
                  <w:noProof/>
                  <w:color w:val="000000"/>
                  <w:sz w:val="22"/>
                  <w:lang w:val="en-GB" w:eastAsia="en-GB"/>
                </w:rPr>
                <w:t>REFIT Platform</w:t>
              </w:r>
            </w:hyperlink>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r>
              <w:rPr>
                <w:rFonts w:cs="Times New Roman"/>
                <w:noProof/>
                <w:color w:val="000000"/>
                <w:sz w:val="22"/>
                <w:vertAlign w:val="superscript"/>
                <w:lang w:val="en-GB" w:eastAsia="en-GB"/>
              </w:rPr>
              <w:t>2</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REFIT Platform IT Tool</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6. Decision making and legislation - Supporting instruments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2017.04</w:t>
            </w:r>
          </w:p>
        </w:tc>
        <w:tc>
          <w:tcPr>
            <w:tcW w:w="1861" w:type="dxa"/>
            <w:hideMark/>
          </w:tcPr>
          <w:p>
            <w:pPr>
              <w:spacing w:before="20" w:after="20"/>
              <w:rPr>
                <w:rStyle w:val="Hyperlink"/>
                <w:rFonts w:cs="Times New Roman"/>
                <w:noProof/>
                <w:color w:val="000000"/>
                <w:sz w:val="22"/>
                <w:lang w:val="en-GB" w:eastAsia="en-GB"/>
              </w:rPr>
            </w:pPr>
            <w:hyperlink r:id="rId239" w:history="1">
              <w:r>
                <w:rPr>
                  <w:rStyle w:val="Hyperlink"/>
                  <w:rFonts w:cs="Times New Roman"/>
                  <w:noProof/>
                  <w:color w:val="000000"/>
                  <w:sz w:val="22"/>
                  <w:lang w:val="en-GB" w:eastAsia="en-GB"/>
                </w:rPr>
                <w:t>Inter-Institutional Register of Delegated Acts (RegDel)</w:t>
              </w:r>
            </w:hyperlink>
          </w:p>
          <w:p>
            <w:pPr>
              <w:spacing w:before="20" w:after="20"/>
              <w:rPr>
                <w:rFonts w:cs="Times New Roman"/>
                <w:noProof/>
                <w:color w:val="000000"/>
                <w:sz w:val="22"/>
                <w:lang w:val="en-GB" w:eastAsia="en-GB"/>
              </w:rPr>
            </w:pP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r>
              <w:rPr>
                <w:rFonts w:cs="Times New Roman"/>
                <w:noProof/>
                <w:color w:val="000000"/>
                <w:sz w:val="22"/>
                <w:vertAlign w:val="superscript"/>
                <w:lang w:val="en-GB" w:eastAsia="en-GB"/>
              </w:rPr>
              <w:t>2</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Register of Delegated Acts (RegDel)</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7. EU Policies - Supporting instruments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2016.14</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European Citizens’ Initiatives and European Parliament Elections</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Online Collection Software to support European Citizens’ Initiatives (OCS for ECIs)</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European Parliament Crypto Tool</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8. Supporting instruments for public administrations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2016.20</w:t>
            </w:r>
          </w:p>
        </w:tc>
        <w:tc>
          <w:tcPr>
            <w:tcW w:w="1861" w:type="dxa"/>
            <w:hideMark/>
          </w:tcPr>
          <w:p>
            <w:pPr>
              <w:spacing w:before="20" w:after="20"/>
              <w:rPr>
                <w:rFonts w:cs="Times New Roman"/>
                <w:noProof/>
                <w:color w:val="000000"/>
                <w:sz w:val="22"/>
                <w:lang w:val="en-GB" w:eastAsia="en-GB"/>
              </w:rPr>
            </w:pPr>
            <w:hyperlink r:id="rId240" w:history="1">
              <w:r>
                <w:rPr>
                  <w:rStyle w:val="Hyperlink"/>
                  <w:rFonts w:cs="Times New Roman"/>
                  <w:noProof/>
                  <w:color w:val="000000"/>
                  <w:sz w:val="22"/>
                  <w:lang w:val="en-GB" w:eastAsia="en-GB"/>
                </w:rPr>
                <w:t>Joinup – European Collaborative Platform and Catalogue</w:t>
              </w:r>
            </w:hyperlink>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Joinup</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8. Supporting instruments for public administrations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2016.21</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National Interoperability Framework Observatory</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NIFO factsheets</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State of play of interoperability in Europe</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8. Supporting instruments for public administrations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2016.32</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European Interoperability Architecture (EIA)</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framework: European Interoperability Reference Architecture (EIRA)</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CarTool</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8. Supporting instruments for public administrations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2016.35</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EUSurvey</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EUSurvey</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DORIS</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c>
          <w:tcPr>
            <w:tcW w:w="2155" w:type="dxa"/>
            <w:noWrap/>
            <w:hideMark/>
          </w:tcPr>
          <w:p>
            <w:pPr>
              <w:spacing w:before="20" w:after="20"/>
              <w:rPr>
                <w:rFonts w:cs="Times New Roman"/>
                <w:noProof/>
                <w:color w:val="000000"/>
                <w:sz w:val="22"/>
                <w:lang w:eastAsia="en-GB"/>
              </w:rPr>
            </w:pPr>
            <w:r>
              <w:rPr>
                <w:rFonts w:cs="Times New Roman"/>
                <w:noProof/>
                <w:color w:val="000000"/>
                <w:sz w:val="22"/>
                <w:lang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8. Supporting instruments for public administrations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2016.37</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Interoperability Maturity Assessment of a Public Service (IMAPS)</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tool/service: Interoperability Maturity Assessment of a Public Service (IMAPS)</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8. Supporting instruments for public administrations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2017.01</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Standard-Based Archival Data Management, Exchange and Publication</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r>
              <w:rPr>
                <w:rFonts w:cs="Times New Roman"/>
                <w:noProof/>
                <w:color w:val="000000"/>
                <w:sz w:val="22"/>
                <w:vertAlign w:val="superscript"/>
                <w:lang w:val="en-GB" w:eastAsia="en-GB"/>
              </w:rPr>
              <w:t>2</w:t>
            </w:r>
          </w:p>
        </w:tc>
        <w:tc>
          <w:tcPr>
            <w:tcW w:w="2129"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Study: Study on Standard-Based Archival Data Management, Exchange and Publication</w:t>
            </w:r>
          </w:p>
        </w:tc>
        <w:tc>
          <w:tcPr>
            <w:tcW w:w="2155"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Common tool: Assessment tool offering support for the selection of IT solutions for archives management.</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r>
        <w:trPr>
          <w:trHeight w:val="20"/>
        </w:trPr>
        <w:tc>
          <w:tcPr>
            <w:tcW w:w="238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9. Accompanying measures</w:t>
            </w:r>
          </w:p>
        </w:tc>
        <w:tc>
          <w:tcPr>
            <w:tcW w:w="976"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2016.3</w:t>
            </w:r>
          </w:p>
        </w:tc>
        <w:tc>
          <w:tcPr>
            <w:tcW w:w="186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Raising Interoperability Awareness – Communication Activities</w:t>
            </w:r>
          </w:p>
        </w:tc>
        <w:tc>
          <w:tcPr>
            <w:tcW w:w="711" w:type="dxa"/>
            <w:hideMark/>
          </w:tcPr>
          <w:p>
            <w:pPr>
              <w:spacing w:before="20" w:after="20"/>
              <w:rPr>
                <w:rFonts w:cs="Times New Roman"/>
                <w:noProof/>
                <w:color w:val="000000"/>
                <w:sz w:val="22"/>
                <w:lang w:val="en-GB" w:eastAsia="en-GB"/>
              </w:rPr>
            </w:pPr>
            <w:r>
              <w:rPr>
                <w:rFonts w:cs="Times New Roman"/>
                <w:noProof/>
                <w:color w:val="000000"/>
                <w:sz w:val="22"/>
                <w:lang w:val="en-GB" w:eastAsia="en-GB"/>
              </w:rPr>
              <w:t>ISA</w:t>
            </w:r>
            <w:r>
              <w:rPr>
                <w:rFonts w:cs="Times New Roman"/>
                <w:noProof/>
                <w:color w:val="000000"/>
                <w:sz w:val="22"/>
                <w:vertAlign w:val="superscript"/>
                <w:lang w:val="en-GB" w:eastAsia="en-GB"/>
              </w:rPr>
              <w:t>2</w:t>
            </w:r>
          </w:p>
        </w:tc>
        <w:tc>
          <w:tcPr>
            <w:tcW w:w="2129" w:type="dxa"/>
            <w:noWrap/>
            <w:hideMark/>
          </w:tcPr>
          <w:p>
            <w:pPr>
              <w:spacing w:before="20" w:after="20"/>
              <w:rPr>
                <w:rFonts w:cs="Times New Roman"/>
                <w:noProof/>
                <w:color w:val="000000"/>
                <w:sz w:val="22"/>
                <w:vertAlign w:val="superscript"/>
                <w:lang w:val="en-GB" w:eastAsia="en-GB"/>
              </w:rPr>
            </w:pPr>
            <w:r>
              <w:rPr>
                <w:rFonts w:cs="Times New Roman"/>
                <w:noProof/>
                <w:color w:val="000000"/>
                <w:sz w:val="22"/>
                <w:lang w:val="en-GB" w:eastAsia="en-GB"/>
              </w:rPr>
              <w:t> Events organised by ISA</w:t>
            </w:r>
            <w:r>
              <w:rPr>
                <w:rFonts w:cs="Times New Roman"/>
                <w:noProof/>
                <w:color w:val="000000"/>
                <w:sz w:val="22"/>
                <w:vertAlign w:val="superscript"/>
                <w:lang w:val="en-GB" w:eastAsia="en-GB"/>
              </w:rPr>
              <w:t>2</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Events in which ISA</w:t>
            </w:r>
            <w:r>
              <w:rPr>
                <w:rFonts w:cs="Times New Roman"/>
                <w:noProof/>
                <w:color w:val="000000"/>
                <w:sz w:val="22"/>
                <w:vertAlign w:val="superscript"/>
                <w:lang w:val="en-GB" w:eastAsia="en-GB"/>
              </w:rPr>
              <w:t>2</w:t>
            </w:r>
            <w:r>
              <w:rPr>
                <w:rFonts w:cs="Times New Roman"/>
                <w:noProof/>
                <w:color w:val="000000"/>
                <w:sz w:val="22"/>
                <w:lang w:val="en-GB" w:eastAsia="en-GB"/>
              </w:rPr>
              <w:t xml:space="preserve"> participated</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c>
          <w:tcPr>
            <w:tcW w:w="2155" w:type="dxa"/>
            <w:noWrap/>
            <w:hideMark/>
          </w:tcPr>
          <w:p>
            <w:pPr>
              <w:spacing w:before="20" w:after="20"/>
              <w:rPr>
                <w:rFonts w:cs="Times New Roman"/>
                <w:noProof/>
                <w:color w:val="000000"/>
                <w:sz w:val="22"/>
                <w:lang w:val="en-GB" w:eastAsia="en-GB"/>
              </w:rPr>
            </w:pPr>
            <w:r>
              <w:rPr>
                <w:rFonts w:cs="Times New Roman"/>
                <w:noProof/>
                <w:color w:val="000000"/>
                <w:sz w:val="22"/>
                <w:lang w:val="en-GB" w:eastAsia="en-GB"/>
              </w:rPr>
              <w:t> </w:t>
            </w:r>
          </w:p>
        </w:tc>
      </w:tr>
    </w:tbl>
    <w:p>
      <w:pPr>
        <w:spacing w:line="240" w:lineRule="auto"/>
        <w:jc w:val="both"/>
        <w:rPr>
          <w:rFonts w:cs="Times New Roman"/>
          <w:bCs/>
          <w:i/>
          <w:noProof/>
          <w:sz w:val="20"/>
          <w:lang w:val="en-US"/>
        </w:rPr>
      </w:pPr>
      <w:r>
        <w:rPr>
          <w:rFonts w:cs="Times New Roman"/>
          <w:i/>
          <w:noProof/>
          <w:sz w:val="20"/>
          <w:szCs w:val="20"/>
          <w:lang w:val="en-GB"/>
        </w:rPr>
        <w:t xml:space="preserve">Source: </w:t>
      </w:r>
      <w:hyperlink r:id="rId241" w:history="1">
        <w:r>
          <w:rPr>
            <w:rStyle w:val="Hyperlink"/>
            <w:rFonts w:cs="Times New Roman"/>
            <w:i/>
            <w:noProof/>
            <w:sz w:val="20"/>
            <w:lang w:val="en-GB"/>
          </w:rPr>
          <w:t>CEPS final study</w:t>
        </w:r>
      </w:hyperlink>
    </w:p>
    <w:p>
      <w:pPr>
        <w:rPr>
          <w:rFonts w:cs="Times New Roman"/>
          <w:noProof/>
          <w:lang w:val="en-GB"/>
        </w:rPr>
      </w:pPr>
    </w:p>
    <w:p>
      <w:pPr>
        <w:rPr>
          <w:rStyle w:val="Strong"/>
          <w:rFonts w:cs="Times New Roman"/>
          <w:b w:val="0"/>
          <w:noProof/>
          <w:lang w:val="en-GB"/>
        </w:rPr>
        <w:sectPr>
          <w:headerReference w:type="even" r:id="rId242"/>
          <w:headerReference w:type="default" r:id="rId243"/>
          <w:footerReference w:type="even" r:id="rId244"/>
          <w:footerReference w:type="default" r:id="rId245"/>
          <w:headerReference w:type="first" r:id="rId246"/>
          <w:footerReference w:type="first" r:id="rId247"/>
          <w:pgSz w:w="16838" w:h="11906" w:orient="landscape"/>
          <w:pgMar w:top="1247" w:right="1021" w:bottom="1247" w:left="1021" w:header="601" w:footer="1077" w:gutter="0"/>
          <w:cols w:space="720"/>
          <w:titlePg/>
          <w:docGrid w:linePitch="326"/>
        </w:sectPr>
      </w:pPr>
    </w:p>
    <w:p>
      <w:pPr>
        <w:pStyle w:val="AnnexTitle"/>
        <w:rPr>
          <w:noProof/>
        </w:rPr>
      </w:pPr>
      <w:bookmarkStart w:id="31" w:name="_Toc14708154"/>
      <w:r>
        <w:rPr>
          <w:noProof/>
        </w:rPr>
        <w:t xml:space="preserve">Annex </w:t>
      </w:r>
      <w:r>
        <w:rPr>
          <w:noProof/>
        </w:rPr>
        <w:fldChar w:fldCharType="begin"/>
      </w:r>
      <w:r>
        <w:rPr>
          <w:noProof/>
        </w:rPr>
        <w:instrText xml:space="preserve"> SEQ Annex \* ARABIC </w:instrText>
      </w:r>
      <w:r>
        <w:rPr>
          <w:noProof/>
        </w:rPr>
        <w:fldChar w:fldCharType="separate"/>
      </w:r>
      <w:r>
        <w:rPr>
          <w:noProof/>
        </w:rPr>
        <w:t>6</w:t>
      </w:r>
      <w:r>
        <w:rPr>
          <w:noProof/>
        </w:rPr>
        <w:fldChar w:fldCharType="end"/>
      </w:r>
      <w:r>
        <w:rPr>
          <w:noProof/>
        </w:rPr>
        <w:t>: Supporting evidence from desk research</w:t>
      </w:r>
      <w:bookmarkEnd w:id="31"/>
    </w:p>
    <w:p>
      <w:pPr>
        <w:jc w:val="both"/>
        <w:rPr>
          <w:rFonts w:cs="Times New Roman"/>
          <w:noProof/>
          <w:lang w:val="en-GB"/>
        </w:rPr>
      </w:pPr>
      <w:r>
        <w:rPr>
          <w:rFonts w:cs="Times New Roman"/>
          <w:noProof/>
          <w:lang w:val="en-GB"/>
        </w:rPr>
        <w:t>This annex presents evidence collected from desk research of performance indicators, the rolling work programme, the information available online in the webpages dedicated to the individual ISA</w:t>
      </w:r>
      <w:r>
        <w:rPr>
          <w:rFonts w:cs="Times New Roman"/>
          <w:noProof/>
          <w:vertAlign w:val="superscript"/>
          <w:lang w:val="en-GB"/>
        </w:rPr>
        <w:t>2</w:t>
      </w:r>
      <w:r>
        <w:rPr>
          <w:rFonts w:cs="Times New Roman"/>
          <w:noProof/>
          <w:lang w:val="en-GB"/>
        </w:rPr>
        <w:t xml:space="preserve"> actions and solutions, and additional evidence received from the action owners of the 20 sampled actions. In the following section, evidence is presented by evaluation criterion and question.</w:t>
      </w:r>
    </w:p>
    <w:p>
      <w:pPr>
        <w:pStyle w:val="Heading3"/>
        <w:rPr>
          <w:noProof/>
          <w:lang w:val="en-GB"/>
        </w:rPr>
      </w:pPr>
      <w:r>
        <w:rPr>
          <w:noProof/>
          <w:lang w:val="en-GB"/>
        </w:rPr>
        <w:t>Effectiveness</w:t>
      </w:r>
    </w:p>
    <w:p>
      <w:pPr>
        <w:shd w:val="clear" w:color="auto" w:fill="C6D9F1" w:themeFill="text2" w:themeFillTint="33"/>
        <w:rPr>
          <w:rFonts w:cs="Times New Roman"/>
          <w:noProof/>
          <w:lang w:val="en-GB"/>
        </w:rPr>
      </w:pPr>
      <w:r>
        <w:rPr>
          <w:rFonts w:cs="Times New Roman"/>
          <w:noProof/>
          <w:lang w:val="en-GB"/>
        </w:rPr>
        <w:t>EQ2: How far are the ISA² programme's results in the process of achieving the programme's objectives?</w:t>
      </w:r>
    </w:p>
    <w:p>
      <w:pPr>
        <w:shd w:val="clear" w:color="auto" w:fill="C6D9F1" w:themeFill="text2" w:themeFillTint="33"/>
        <w:rPr>
          <w:rFonts w:cs="Times New Roman"/>
          <w:noProof/>
          <w:lang w:val="en-GB"/>
        </w:rPr>
      </w:pPr>
      <w:r>
        <w:rPr>
          <w:rFonts w:cs="Times New Roman"/>
          <w:noProof/>
          <w:lang w:val="en-GB"/>
        </w:rPr>
        <w:t>EQ3: Are there aspects that are more or less effective than others, and if so, what lessons can be drawn from this?</w:t>
      </w:r>
    </w:p>
    <w:p>
      <w:pPr>
        <w:pStyle w:val="Heading4"/>
        <w:rPr>
          <w:noProof/>
          <w:highlight w:val="yellow"/>
        </w:rPr>
      </w:pPr>
      <w:r>
        <w:rPr>
          <w:noProof/>
        </w:rPr>
        <w:t>Types of users and their geographical distribution</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9</w:t>
      </w:r>
      <w:r>
        <w:rPr>
          <w:rFonts w:cs="Times New Roman"/>
          <w:noProof/>
        </w:rPr>
        <w:fldChar w:fldCharType="end"/>
      </w:r>
      <w:r>
        <w:rPr>
          <w:rFonts w:cs="Times New Roman"/>
          <w:noProof/>
        </w:rPr>
        <w:t>: EU Member States using solutions provided by sampled ISA</w:t>
      </w:r>
      <w:r>
        <w:rPr>
          <w:rFonts w:cs="Times New Roman"/>
          <w:noProof/>
          <w:vertAlign w:val="superscript"/>
        </w:rPr>
        <w:t>2</w:t>
      </w:r>
      <w:r>
        <w:rPr>
          <w:rFonts w:cs="Times New Roman"/>
          <w:noProof/>
        </w:rPr>
        <w:t xml:space="preserve"> actions</w:t>
      </w:r>
    </w:p>
    <w:tbl>
      <w:tblPr>
        <w:tblStyle w:val="GridTable5Dark-Accent11"/>
        <w:tblW w:w="14613" w:type="dxa"/>
        <w:tblLayout w:type="fixed"/>
        <w:tblLook w:val="0420" w:firstRow="1" w:lastRow="0" w:firstColumn="0" w:lastColumn="0" w:noHBand="0" w:noVBand="1"/>
      </w:tblPr>
      <w:tblGrid>
        <w:gridCol w:w="1372"/>
        <w:gridCol w:w="513"/>
        <w:gridCol w:w="468"/>
        <w:gridCol w:w="443"/>
        <w:gridCol w:w="473"/>
        <w:gridCol w:w="459"/>
        <w:gridCol w:w="435"/>
        <w:gridCol w:w="413"/>
        <w:gridCol w:w="428"/>
        <w:gridCol w:w="439"/>
        <w:gridCol w:w="446"/>
        <w:gridCol w:w="476"/>
        <w:gridCol w:w="413"/>
        <w:gridCol w:w="450"/>
        <w:gridCol w:w="441"/>
        <w:gridCol w:w="428"/>
        <w:gridCol w:w="448"/>
        <w:gridCol w:w="480"/>
        <w:gridCol w:w="477"/>
        <w:gridCol w:w="454"/>
        <w:gridCol w:w="450"/>
        <w:gridCol w:w="436"/>
        <w:gridCol w:w="443"/>
        <w:gridCol w:w="478"/>
        <w:gridCol w:w="432"/>
        <w:gridCol w:w="454"/>
        <w:gridCol w:w="408"/>
        <w:gridCol w:w="439"/>
        <w:gridCol w:w="470"/>
        <w:gridCol w:w="647"/>
      </w:tblGrid>
      <w:tr>
        <w:trPr>
          <w:cnfStyle w:val="100000000000" w:firstRow="1" w:lastRow="0" w:firstColumn="0" w:lastColumn="0" w:oddVBand="0" w:evenVBand="0" w:oddHBand="0" w:evenHBand="0" w:firstRowFirstColumn="0" w:firstRowLastColumn="0" w:lastRowFirstColumn="0" w:lastRowLastColumn="0"/>
          <w:trHeight w:val="189"/>
          <w:tblHeader/>
        </w:trPr>
        <w:tc>
          <w:tcPr>
            <w:tcW w:w="1372" w:type="dxa"/>
            <w:noWrap/>
            <w:hideMark/>
          </w:tcPr>
          <w:p>
            <w:pPr>
              <w:spacing w:before="20" w:after="20"/>
              <w:rPr>
                <w:noProof/>
                <w:sz w:val="16"/>
              </w:rPr>
            </w:pPr>
            <w:r>
              <w:rPr>
                <w:noProof/>
                <w:sz w:val="16"/>
              </w:rPr>
              <w:t> </w:t>
            </w:r>
          </w:p>
        </w:tc>
        <w:tc>
          <w:tcPr>
            <w:tcW w:w="513" w:type="dxa"/>
            <w:noWrap/>
            <w:hideMark/>
          </w:tcPr>
          <w:p>
            <w:pPr>
              <w:spacing w:before="20" w:after="20"/>
              <w:jc w:val="center"/>
              <w:rPr>
                <w:noProof/>
                <w:sz w:val="16"/>
              </w:rPr>
            </w:pPr>
            <w:r>
              <w:rPr>
                <w:noProof/>
                <w:sz w:val="16"/>
              </w:rPr>
              <w:t>BE</w:t>
            </w:r>
          </w:p>
        </w:tc>
        <w:tc>
          <w:tcPr>
            <w:tcW w:w="468" w:type="dxa"/>
            <w:noWrap/>
            <w:hideMark/>
          </w:tcPr>
          <w:p>
            <w:pPr>
              <w:spacing w:before="20" w:after="20"/>
              <w:jc w:val="center"/>
              <w:rPr>
                <w:noProof/>
                <w:sz w:val="16"/>
              </w:rPr>
            </w:pPr>
            <w:r>
              <w:rPr>
                <w:noProof/>
                <w:sz w:val="16"/>
              </w:rPr>
              <w:t>BG</w:t>
            </w:r>
          </w:p>
        </w:tc>
        <w:tc>
          <w:tcPr>
            <w:tcW w:w="443" w:type="dxa"/>
            <w:noWrap/>
            <w:hideMark/>
          </w:tcPr>
          <w:p>
            <w:pPr>
              <w:spacing w:before="20" w:after="20"/>
              <w:jc w:val="center"/>
              <w:rPr>
                <w:noProof/>
                <w:sz w:val="16"/>
              </w:rPr>
            </w:pPr>
            <w:r>
              <w:rPr>
                <w:noProof/>
                <w:sz w:val="16"/>
              </w:rPr>
              <w:t>CZ</w:t>
            </w:r>
          </w:p>
        </w:tc>
        <w:tc>
          <w:tcPr>
            <w:tcW w:w="473" w:type="dxa"/>
            <w:noWrap/>
            <w:hideMark/>
          </w:tcPr>
          <w:p>
            <w:pPr>
              <w:spacing w:before="20" w:after="20"/>
              <w:jc w:val="center"/>
              <w:rPr>
                <w:noProof/>
                <w:sz w:val="16"/>
              </w:rPr>
            </w:pPr>
            <w:r>
              <w:rPr>
                <w:noProof/>
                <w:sz w:val="16"/>
              </w:rPr>
              <w:t>DK</w:t>
            </w:r>
          </w:p>
        </w:tc>
        <w:tc>
          <w:tcPr>
            <w:tcW w:w="459" w:type="dxa"/>
            <w:noWrap/>
            <w:hideMark/>
          </w:tcPr>
          <w:p>
            <w:pPr>
              <w:spacing w:before="20" w:after="20"/>
              <w:jc w:val="center"/>
              <w:rPr>
                <w:noProof/>
                <w:sz w:val="16"/>
              </w:rPr>
            </w:pPr>
            <w:r>
              <w:rPr>
                <w:noProof/>
                <w:sz w:val="16"/>
              </w:rPr>
              <w:t>DE</w:t>
            </w:r>
          </w:p>
        </w:tc>
        <w:tc>
          <w:tcPr>
            <w:tcW w:w="435" w:type="dxa"/>
            <w:noWrap/>
            <w:hideMark/>
          </w:tcPr>
          <w:p>
            <w:pPr>
              <w:spacing w:before="20" w:after="20"/>
              <w:jc w:val="center"/>
              <w:rPr>
                <w:noProof/>
                <w:sz w:val="16"/>
              </w:rPr>
            </w:pPr>
            <w:r>
              <w:rPr>
                <w:noProof/>
                <w:sz w:val="16"/>
              </w:rPr>
              <w:t>EE</w:t>
            </w:r>
          </w:p>
        </w:tc>
        <w:tc>
          <w:tcPr>
            <w:tcW w:w="413" w:type="dxa"/>
            <w:noWrap/>
            <w:hideMark/>
          </w:tcPr>
          <w:p>
            <w:pPr>
              <w:spacing w:before="20" w:after="20"/>
              <w:jc w:val="center"/>
              <w:rPr>
                <w:noProof/>
                <w:sz w:val="16"/>
              </w:rPr>
            </w:pPr>
            <w:r>
              <w:rPr>
                <w:noProof/>
                <w:sz w:val="16"/>
              </w:rPr>
              <w:t>IE</w:t>
            </w:r>
          </w:p>
        </w:tc>
        <w:tc>
          <w:tcPr>
            <w:tcW w:w="428" w:type="dxa"/>
            <w:noWrap/>
            <w:hideMark/>
          </w:tcPr>
          <w:p>
            <w:pPr>
              <w:spacing w:before="20" w:after="20"/>
              <w:jc w:val="center"/>
              <w:rPr>
                <w:noProof/>
                <w:sz w:val="16"/>
              </w:rPr>
            </w:pPr>
            <w:r>
              <w:rPr>
                <w:noProof/>
                <w:sz w:val="16"/>
              </w:rPr>
              <w:t>EL</w:t>
            </w:r>
          </w:p>
        </w:tc>
        <w:tc>
          <w:tcPr>
            <w:tcW w:w="439" w:type="dxa"/>
            <w:noWrap/>
            <w:hideMark/>
          </w:tcPr>
          <w:p>
            <w:pPr>
              <w:spacing w:before="20" w:after="20"/>
              <w:jc w:val="center"/>
              <w:rPr>
                <w:noProof/>
                <w:sz w:val="16"/>
              </w:rPr>
            </w:pPr>
            <w:r>
              <w:rPr>
                <w:noProof/>
                <w:sz w:val="16"/>
              </w:rPr>
              <w:t>ES</w:t>
            </w:r>
          </w:p>
        </w:tc>
        <w:tc>
          <w:tcPr>
            <w:tcW w:w="446" w:type="dxa"/>
            <w:noWrap/>
            <w:hideMark/>
          </w:tcPr>
          <w:p>
            <w:pPr>
              <w:spacing w:before="20" w:after="20"/>
              <w:jc w:val="center"/>
              <w:rPr>
                <w:noProof/>
                <w:sz w:val="16"/>
              </w:rPr>
            </w:pPr>
            <w:r>
              <w:rPr>
                <w:noProof/>
                <w:sz w:val="16"/>
              </w:rPr>
              <w:t>FR</w:t>
            </w:r>
          </w:p>
        </w:tc>
        <w:tc>
          <w:tcPr>
            <w:tcW w:w="476" w:type="dxa"/>
            <w:noWrap/>
            <w:hideMark/>
          </w:tcPr>
          <w:p>
            <w:pPr>
              <w:spacing w:before="20" w:after="20"/>
              <w:jc w:val="center"/>
              <w:rPr>
                <w:noProof/>
                <w:sz w:val="16"/>
              </w:rPr>
            </w:pPr>
            <w:r>
              <w:rPr>
                <w:noProof/>
                <w:sz w:val="16"/>
              </w:rPr>
              <w:t>HR</w:t>
            </w:r>
          </w:p>
        </w:tc>
        <w:tc>
          <w:tcPr>
            <w:tcW w:w="413" w:type="dxa"/>
            <w:noWrap/>
            <w:hideMark/>
          </w:tcPr>
          <w:p>
            <w:pPr>
              <w:spacing w:before="20" w:after="20"/>
              <w:jc w:val="center"/>
              <w:rPr>
                <w:noProof/>
                <w:sz w:val="16"/>
              </w:rPr>
            </w:pPr>
            <w:r>
              <w:rPr>
                <w:noProof/>
                <w:sz w:val="16"/>
              </w:rPr>
              <w:t>IT</w:t>
            </w:r>
          </w:p>
        </w:tc>
        <w:tc>
          <w:tcPr>
            <w:tcW w:w="450" w:type="dxa"/>
            <w:noWrap/>
            <w:hideMark/>
          </w:tcPr>
          <w:p>
            <w:pPr>
              <w:spacing w:before="20" w:after="20"/>
              <w:jc w:val="center"/>
              <w:rPr>
                <w:noProof/>
                <w:sz w:val="16"/>
              </w:rPr>
            </w:pPr>
            <w:r>
              <w:rPr>
                <w:noProof/>
                <w:sz w:val="16"/>
              </w:rPr>
              <w:t>CY</w:t>
            </w:r>
          </w:p>
        </w:tc>
        <w:tc>
          <w:tcPr>
            <w:tcW w:w="441" w:type="dxa"/>
            <w:noWrap/>
            <w:hideMark/>
          </w:tcPr>
          <w:p>
            <w:pPr>
              <w:spacing w:before="20" w:after="20"/>
              <w:jc w:val="center"/>
              <w:rPr>
                <w:noProof/>
                <w:sz w:val="16"/>
              </w:rPr>
            </w:pPr>
            <w:r>
              <w:rPr>
                <w:noProof/>
                <w:sz w:val="16"/>
              </w:rPr>
              <w:t>LV</w:t>
            </w:r>
          </w:p>
        </w:tc>
        <w:tc>
          <w:tcPr>
            <w:tcW w:w="428" w:type="dxa"/>
            <w:noWrap/>
            <w:hideMark/>
          </w:tcPr>
          <w:p>
            <w:pPr>
              <w:spacing w:before="20" w:after="20"/>
              <w:jc w:val="center"/>
              <w:rPr>
                <w:noProof/>
                <w:sz w:val="16"/>
              </w:rPr>
            </w:pPr>
            <w:r>
              <w:rPr>
                <w:noProof/>
                <w:sz w:val="16"/>
              </w:rPr>
              <w:t>LT</w:t>
            </w:r>
          </w:p>
        </w:tc>
        <w:tc>
          <w:tcPr>
            <w:tcW w:w="448" w:type="dxa"/>
            <w:noWrap/>
            <w:hideMark/>
          </w:tcPr>
          <w:p>
            <w:pPr>
              <w:spacing w:before="20" w:after="20"/>
              <w:jc w:val="center"/>
              <w:rPr>
                <w:noProof/>
                <w:sz w:val="16"/>
              </w:rPr>
            </w:pPr>
            <w:r>
              <w:rPr>
                <w:noProof/>
                <w:sz w:val="16"/>
              </w:rPr>
              <w:t>LU</w:t>
            </w:r>
          </w:p>
        </w:tc>
        <w:tc>
          <w:tcPr>
            <w:tcW w:w="480" w:type="dxa"/>
            <w:noWrap/>
            <w:hideMark/>
          </w:tcPr>
          <w:p>
            <w:pPr>
              <w:spacing w:before="20" w:after="20"/>
              <w:jc w:val="center"/>
              <w:rPr>
                <w:noProof/>
                <w:sz w:val="16"/>
              </w:rPr>
            </w:pPr>
            <w:r>
              <w:rPr>
                <w:noProof/>
                <w:sz w:val="16"/>
              </w:rPr>
              <w:t>HU</w:t>
            </w:r>
          </w:p>
        </w:tc>
        <w:tc>
          <w:tcPr>
            <w:tcW w:w="477" w:type="dxa"/>
            <w:noWrap/>
            <w:hideMark/>
          </w:tcPr>
          <w:p>
            <w:pPr>
              <w:spacing w:before="20" w:after="20"/>
              <w:jc w:val="center"/>
              <w:rPr>
                <w:noProof/>
                <w:sz w:val="16"/>
              </w:rPr>
            </w:pPr>
            <w:r>
              <w:rPr>
                <w:noProof/>
                <w:sz w:val="16"/>
              </w:rPr>
              <w:t>MT</w:t>
            </w:r>
          </w:p>
        </w:tc>
        <w:tc>
          <w:tcPr>
            <w:tcW w:w="454" w:type="dxa"/>
            <w:noWrap/>
            <w:hideMark/>
          </w:tcPr>
          <w:p>
            <w:pPr>
              <w:spacing w:before="20" w:after="20"/>
              <w:jc w:val="center"/>
              <w:rPr>
                <w:noProof/>
                <w:sz w:val="16"/>
              </w:rPr>
            </w:pPr>
            <w:r>
              <w:rPr>
                <w:noProof/>
                <w:sz w:val="16"/>
              </w:rPr>
              <w:t>NL</w:t>
            </w:r>
          </w:p>
        </w:tc>
        <w:tc>
          <w:tcPr>
            <w:tcW w:w="450" w:type="dxa"/>
            <w:noWrap/>
            <w:hideMark/>
          </w:tcPr>
          <w:p>
            <w:pPr>
              <w:spacing w:before="20" w:after="20"/>
              <w:jc w:val="center"/>
              <w:rPr>
                <w:noProof/>
                <w:sz w:val="16"/>
              </w:rPr>
            </w:pPr>
            <w:r>
              <w:rPr>
                <w:noProof/>
                <w:sz w:val="16"/>
              </w:rPr>
              <w:t>AT</w:t>
            </w:r>
          </w:p>
        </w:tc>
        <w:tc>
          <w:tcPr>
            <w:tcW w:w="436" w:type="dxa"/>
            <w:noWrap/>
            <w:hideMark/>
          </w:tcPr>
          <w:p>
            <w:pPr>
              <w:spacing w:before="20" w:after="20"/>
              <w:jc w:val="center"/>
              <w:rPr>
                <w:noProof/>
                <w:sz w:val="16"/>
              </w:rPr>
            </w:pPr>
            <w:r>
              <w:rPr>
                <w:noProof/>
                <w:sz w:val="16"/>
              </w:rPr>
              <w:t>PL</w:t>
            </w:r>
          </w:p>
        </w:tc>
        <w:tc>
          <w:tcPr>
            <w:tcW w:w="443" w:type="dxa"/>
            <w:noWrap/>
            <w:hideMark/>
          </w:tcPr>
          <w:p>
            <w:pPr>
              <w:spacing w:before="20" w:after="20"/>
              <w:jc w:val="center"/>
              <w:rPr>
                <w:noProof/>
                <w:sz w:val="16"/>
              </w:rPr>
            </w:pPr>
            <w:r>
              <w:rPr>
                <w:noProof/>
                <w:sz w:val="16"/>
              </w:rPr>
              <w:t>PT</w:t>
            </w:r>
          </w:p>
        </w:tc>
        <w:tc>
          <w:tcPr>
            <w:tcW w:w="478" w:type="dxa"/>
            <w:noWrap/>
            <w:hideMark/>
          </w:tcPr>
          <w:p>
            <w:pPr>
              <w:spacing w:before="20" w:after="20"/>
              <w:jc w:val="center"/>
              <w:rPr>
                <w:noProof/>
                <w:sz w:val="16"/>
              </w:rPr>
            </w:pPr>
            <w:r>
              <w:rPr>
                <w:noProof/>
                <w:sz w:val="16"/>
              </w:rPr>
              <w:t>RO</w:t>
            </w:r>
          </w:p>
        </w:tc>
        <w:tc>
          <w:tcPr>
            <w:tcW w:w="432" w:type="dxa"/>
            <w:noWrap/>
            <w:hideMark/>
          </w:tcPr>
          <w:p>
            <w:pPr>
              <w:spacing w:before="20" w:after="20"/>
              <w:jc w:val="center"/>
              <w:rPr>
                <w:noProof/>
                <w:sz w:val="16"/>
              </w:rPr>
            </w:pPr>
            <w:r>
              <w:rPr>
                <w:noProof/>
                <w:sz w:val="16"/>
              </w:rPr>
              <w:t>SL</w:t>
            </w:r>
          </w:p>
        </w:tc>
        <w:tc>
          <w:tcPr>
            <w:tcW w:w="454" w:type="dxa"/>
            <w:noWrap/>
            <w:hideMark/>
          </w:tcPr>
          <w:p>
            <w:pPr>
              <w:spacing w:before="20" w:after="20"/>
              <w:jc w:val="center"/>
              <w:rPr>
                <w:noProof/>
                <w:sz w:val="16"/>
              </w:rPr>
            </w:pPr>
            <w:r>
              <w:rPr>
                <w:noProof/>
                <w:sz w:val="16"/>
              </w:rPr>
              <w:t>SK</w:t>
            </w:r>
          </w:p>
        </w:tc>
        <w:tc>
          <w:tcPr>
            <w:tcW w:w="408" w:type="dxa"/>
            <w:noWrap/>
            <w:hideMark/>
          </w:tcPr>
          <w:p>
            <w:pPr>
              <w:spacing w:before="20" w:after="20"/>
              <w:jc w:val="center"/>
              <w:rPr>
                <w:noProof/>
                <w:sz w:val="16"/>
              </w:rPr>
            </w:pPr>
            <w:r>
              <w:rPr>
                <w:noProof/>
                <w:sz w:val="16"/>
              </w:rPr>
              <w:t>FI</w:t>
            </w:r>
          </w:p>
        </w:tc>
        <w:tc>
          <w:tcPr>
            <w:tcW w:w="439" w:type="dxa"/>
            <w:noWrap/>
            <w:hideMark/>
          </w:tcPr>
          <w:p>
            <w:pPr>
              <w:spacing w:before="20" w:after="20"/>
              <w:jc w:val="center"/>
              <w:rPr>
                <w:noProof/>
                <w:sz w:val="16"/>
              </w:rPr>
            </w:pPr>
            <w:r>
              <w:rPr>
                <w:noProof/>
                <w:sz w:val="16"/>
              </w:rPr>
              <w:t>SE</w:t>
            </w:r>
          </w:p>
        </w:tc>
        <w:tc>
          <w:tcPr>
            <w:tcW w:w="470" w:type="dxa"/>
            <w:noWrap/>
            <w:hideMark/>
          </w:tcPr>
          <w:p>
            <w:pPr>
              <w:spacing w:before="20" w:after="20"/>
              <w:jc w:val="center"/>
              <w:rPr>
                <w:noProof/>
                <w:sz w:val="16"/>
              </w:rPr>
            </w:pPr>
            <w:r>
              <w:rPr>
                <w:noProof/>
                <w:sz w:val="16"/>
              </w:rPr>
              <w:t>UK</w:t>
            </w:r>
          </w:p>
        </w:tc>
        <w:tc>
          <w:tcPr>
            <w:tcW w:w="647" w:type="dxa"/>
          </w:tcPr>
          <w:p>
            <w:pPr>
              <w:spacing w:before="20" w:after="20"/>
              <w:jc w:val="center"/>
              <w:rPr>
                <w:noProof/>
                <w:sz w:val="16"/>
              </w:rPr>
            </w:pPr>
            <w:r>
              <w:rPr>
                <w:noProof/>
                <w:sz w:val="16"/>
              </w:rPr>
              <w:t>TOT.</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ADMS</w:t>
            </w:r>
          </w:p>
        </w:tc>
        <w:tc>
          <w:tcPr>
            <w:tcW w:w="513" w:type="dxa"/>
            <w:noWrap/>
            <w:vAlign w:val="center"/>
            <w:hideMark/>
          </w:tcPr>
          <w:p>
            <w:pPr>
              <w:spacing w:before="20" w:after="20"/>
              <w:jc w:val="center"/>
              <w:rPr>
                <w:noProof/>
                <w:color w:val="000000"/>
                <w:sz w:val="16"/>
              </w:rPr>
            </w:pP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3</w:t>
            </w:r>
          </w:p>
        </w:tc>
      </w:tr>
      <w:tr>
        <w:trPr>
          <w:trHeight w:val="290"/>
        </w:trPr>
        <w:tc>
          <w:tcPr>
            <w:tcW w:w="1372" w:type="dxa"/>
            <w:noWrap/>
            <w:vAlign w:val="center"/>
            <w:hideMark/>
          </w:tcPr>
          <w:p>
            <w:pPr>
              <w:spacing w:before="20" w:after="20"/>
              <w:rPr>
                <w:b/>
                <w:noProof/>
                <w:color w:val="000000"/>
                <w:sz w:val="16"/>
              </w:rPr>
            </w:pPr>
            <w:r>
              <w:rPr>
                <w:b/>
                <w:noProof/>
                <w:color w:val="000000"/>
                <w:sz w:val="16"/>
              </w:rPr>
              <w:t>Core Vocabularies</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p>
        </w:tc>
        <w:tc>
          <w:tcPr>
            <w:tcW w:w="435"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7</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CPSV-AP</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p>
        </w:tc>
        <w:tc>
          <w:tcPr>
            <w:tcW w:w="435"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6</w:t>
            </w:r>
          </w:p>
        </w:tc>
      </w:tr>
      <w:tr>
        <w:trPr>
          <w:trHeight w:val="290"/>
        </w:trPr>
        <w:tc>
          <w:tcPr>
            <w:tcW w:w="1372" w:type="dxa"/>
            <w:noWrap/>
            <w:vAlign w:val="center"/>
            <w:hideMark/>
          </w:tcPr>
          <w:p>
            <w:pPr>
              <w:spacing w:before="20" w:after="20"/>
              <w:rPr>
                <w:b/>
                <w:noProof/>
                <w:color w:val="000000"/>
                <w:sz w:val="16"/>
              </w:rPr>
            </w:pPr>
            <w:r>
              <w:rPr>
                <w:b/>
                <w:noProof/>
                <w:color w:val="000000"/>
                <w:sz w:val="16"/>
              </w:rPr>
              <w:t>DCAT-AP</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r>
              <w:rPr>
                <w:noProof/>
                <w:color w:val="000000"/>
                <w:sz w:val="16"/>
              </w:rPr>
              <w:t>x</w:t>
            </w: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7</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eCertis</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3" w:type="dxa"/>
            <w:noWrap/>
            <w:vAlign w:val="center"/>
            <w:hideMark/>
          </w:tcPr>
          <w:p>
            <w:pPr>
              <w:spacing w:before="20" w:after="20"/>
              <w:jc w:val="center"/>
              <w:rPr>
                <w:noProof/>
                <w:color w:val="000000"/>
                <w:sz w:val="16"/>
              </w:rPr>
            </w:pPr>
            <w:r>
              <w:rPr>
                <w:noProof/>
                <w:color w:val="000000"/>
                <w:sz w:val="16"/>
              </w:rPr>
              <w:t>x</w:t>
            </w: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r>
              <w:rPr>
                <w:noProof/>
                <w:color w:val="000000"/>
                <w:sz w:val="16"/>
              </w:rPr>
              <w:t>x</w:t>
            </w:r>
          </w:p>
        </w:tc>
        <w:tc>
          <w:tcPr>
            <w:tcW w:w="476"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r>
              <w:rPr>
                <w:noProof/>
                <w:color w:val="000000"/>
                <w:sz w:val="16"/>
              </w:rPr>
              <w:t>x</w:t>
            </w: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r>
              <w:rPr>
                <w:noProof/>
                <w:color w:val="000000"/>
                <w:sz w:val="16"/>
              </w:rPr>
              <w:t>x</w:t>
            </w: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r>
              <w:rPr>
                <w:noProof/>
                <w:color w:val="000000"/>
                <w:sz w:val="16"/>
              </w:rPr>
              <w:t>x</w:t>
            </w: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r>
              <w:rPr>
                <w:noProof/>
                <w:color w:val="000000"/>
                <w:sz w:val="16"/>
              </w:rPr>
              <w:t>x</w:t>
            </w:r>
          </w:p>
        </w:tc>
        <w:tc>
          <w:tcPr>
            <w:tcW w:w="436"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70" w:type="dxa"/>
            <w:noWrap/>
            <w:vAlign w:val="center"/>
            <w:hideMark/>
          </w:tcPr>
          <w:p>
            <w:pPr>
              <w:spacing w:before="20" w:after="20"/>
              <w:jc w:val="center"/>
              <w:rPr>
                <w:noProof/>
                <w:color w:val="000000"/>
                <w:sz w:val="16"/>
              </w:rPr>
            </w:pPr>
            <w:r>
              <w:rPr>
                <w:noProof/>
                <w:color w:val="000000"/>
                <w:sz w:val="16"/>
              </w:rPr>
              <w:t>x</w:t>
            </w:r>
          </w:p>
        </w:tc>
        <w:tc>
          <w:tcPr>
            <w:tcW w:w="647" w:type="dxa"/>
            <w:vAlign w:val="center"/>
          </w:tcPr>
          <w:p>
            <w:pPr>
              <w:spacing w:before="20" w:after="20"/>
              <w:jc w:val="center"/>
              <w:rPr>
                <w:noProof/>
                <w:color w:val="000000"/>
                <w:sz w:val="16"/>
              </w:rPr>
            </w:pPr>
            <w:r>
              <w:rPr>
                <w:noProof/>
                <w:color w:val="000000"/>
                <w:sz w:val="16"/>
              </w:rPr>
              <w:t>23</w:t>
            </w:r>
          </w:p>
        </w:tc>
      </w:tr>
      <w:tr>
        <w:trPr>
          <w:trHeight w:val="290"/>
        </w:trPr>
        <w:tc>
          <w:tcPr>
            <w:tcW w:w="1372" w:type="dxa"/>
            <w:noWrap/>
            <w:vAlign w:val="center"/>
            <w:hideMark/>
          </w:tcPr>
          <w:p>
            <w:pPr>
              <w:spacing w:before="20" w:after="20"/>
              <w:rPr>
                <w:b/>
                <w:noProof/>
                <w:color w:val="000000"/>
                <w:sz w:val="16"/>
              </w:rPr>
            </w:pPr>
            <w:r>
              <w:rPr>
                <w:b/>
                <w:noProof/>
                <w:color w:val="000000"/>
                <w:sz w:val="16"/>
              </w:rPr>
              <w:t>EIRA</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r>
              <w:rPr>
                <w:noProof/>
                <w:color w:val="000000"/>
                <w:sz w:val="16"/>
              </w:rPr>
              <w:t>x</w:t>
            </w:r>
          </w:p>
        </w:tc>
        <w:tc>
          <w:tcPr>
            <w:tcW w:w="473" w:type="dxa"/>
            <w:noWrap/>
            <w:vAlign w:val="center"/>
            <w:hideMark/>
          </w:tcPr>
          <w:p>
            <w:pPr>
              <w:spacing w:before="20" w:after="20"/>
              <w:jc w:val="center"/>
              <w:rPr>
                <w:noProof/>
                <w:color w:val="000000"/>
                <w:sz w:val="16"/>
              </w:rPr>
            </w:pPr>
            <w:r>
              <w:rPr>
                <w:noProof/>
                <w:color w:val="000000"/>
                <w:sz w:val="16"/>
              </w:rPr>
              <w:t>x</w:t>
            </w:r>
          </w:p>
        </w:tc>
        <w:tc>
          <w:tcPr>
            <w:tcW w:w="459" w:type="dxa"/>
            <w:noWrap/>
            <w:vAlign w:val="center"/>
            <w:hideMark/>
          </w:tcPr>
          <w:p>
            <w:pPr>
              <w:spacing w:before="20" w:after="20"/>
              <w:jc w:val="center"/>
              <w:rPr>
                <w:noProof/>
                <w:color w:val="000000"/>
                <w:sz w:val="16"/>
              </w:rPr>
            </w:pPr>
          </w:p>
        </w:tc>
        <w:tc>
          <w:tcPr>
            <w:tcW w:w="435"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r>
              <w:rPr>
                <w:noProof/>
                <w:color w:val="000000"/>
                <w:sz w:val="16"/>
              </w:rPr>
              <w:t>x</w:t>
            </w: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7</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e-PRIOR</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1</w:t>
            </w:r>
          </w:p>
        </w:tc>
      </w:tr>
      <w:tr>
        <w:trPr>
          <w:trHeight w:val="290"/>
        </w:trPr>
        <w:tc>
          <w:tcPr>
            <w:tcW w:w="1372" w:type="dxa"/>
            <w:noWrap/>
            <w:vAlign w:val="center"/>
            <w:hideMark/>
          </w:tcPr>
          <w:p>
            <w:pPr>
              <w:spacing w:before="20" w:after="20"/>
              <w:rPr>
                <w:b/>
                <w:noProof/>
                <w:color w:val="000000"/>
                <w:sz w:val="16"/>
              </w:rPr>
            </w:pPr>
            <w:r>
              <w:rPr>
                <w:b/>
                <w:noProof/>
                <w:color w:val="000000"/>
                <w:sz w:val="16"/>
              </w:rPr>
              <w:t>ESPD*</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r>
              <w:rPr>
                <w:noProof/>
                <w:color w:val="000000"/>
                <w:sz w:val="16"/>
              </w:rPr>
              <w:t>x</w:t>
            </w: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r>
              <w:rPr>
                <w:noProof/>
                <w:color w:val="000000"/>
                <w:sz w:val="16"/>
              </w:rPr>
              <w:t>x</w:t>
            </w:r>
          </w:p>
        </w:tc>
        <w:tc>
          <w:tcPr>
            <w:tcW w:w="476"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r>
              <w:rPr>
                <w:noProof/>
                <w:color w:val="000000"/>
                <w:sz w:val="16"/>
              </w:rPr>
              <w:t>x</w:t>
            </w:r>
          </w:p>
        </w:tc>
        <w:tc>
          <w:tcPr>
            <w:tcW w:w="477"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r>
              <w:rPr>
                <w:noProof/>
                <w:color w:val="000000"/>
                <w:sz w:val="16"/>
              </w:rPr>
              <w:t>x</w:t>
            </w:r>
          </w:p>
        </w:tc>
        <w:tc>
          <w:tcPr>
            <w:tcW w:w="436"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8" w:type="dxa"/>
            <w:noWrap/>
            <w:vAlign w:val="center"/>
            <w:hideMark/>
          </w:tcPr>
          <w:p>
            <w:pPr>
              <w:spacing w:before="20" w:after="20"/>
              <w:jc w:val="center"/>
              <w:rPr>
                <w:noProof/>
                <w:color w:val="000000"/>
                <w:sz w:val="16"/>
              </w:rPr>
            </w:pPr>
            <w:r>
              <w:rPr>
                <w:noProof/>
                <w:color w:val="000000"/>
                <w:sz w:val="16"/>
              </w:rPr>
              <w:t>x</w:t>
            </w: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r>
              <w:rPr>
                <w:noProof/>
                <w:color w:val="000000"/>
                <w:sz w:val="16"/>
              </w:rPr>
              <w:t>x</w:t>
            </w: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70" w:type="dxa"/>
            <w:noWrap/>
            <w:vAlign w:val="center"/>
            <w:hideMark/>
          </w:tcPr>
          <w:p>
            <w:pPr>
              <w:spacing w:before="20" w:after="20"/>
              <w:jc w:val="center"/>
              <w:rPr>
                <w:noProof/>
                <w:color w:val="000000"/>
                <w:sz w:val="16"/>
              </w:rPr>
            </w:pPr>
            <w:r>
              <w:rPr>
                <w:noProof/>
                <w:color w:val="000000"/>
                <w:sz w:val="16"/>
              </w:rPr>
              <w:t>x</w:t>
            </w:r>
          </w:p>
        </w:tc>
        <w:tc>
          <w:tcPr>
            <w:tcW w:w="647" w:type="dxa"/>
            <w:vAlign w:val="center"/>
          </w:tcPr>
          <w:p>
            <w:pPr>
              <w:spacing w:before="20" w:after="20"/>
              <w:jc w:val="center"/>
              <w:rPr>
                <w:noProof/>
                <w:color w:val="000000"/>
                <w:sz w:val="16"/>
              </w:rPr>
            </w:pPr>
            <w:r>
              <w:rPr>
                <w:noProof/>
                <w:color w:val="000000"/>
                <w:sz w:val="16"/>
              </w:rPr>
              <w:t>23</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Open e-TrustEx**</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3" w:type="dxa"/>
            <w:noWrap/>
            <w:vAlign w:val="center"/>
            <w:hideMark/>
          </w:tcPr>
          <w:p>
            <w:pPr>
              <w:spacing w:before="20" w:after="20"/>
              <w:jc w:val="center"/>
              <w:rPr>
                <w:noProof/>
                <w:color w:val="000000"/>
                <w:sz w:val="16"/>
              </w:rPr>
            </w:pPr>
            <w:r>
              <w:rPr>
                <w:noProof/>
                <w:color w:val="000000"/>
                <w:sz w:val="16"/>
              </w:rPr>
              <w:t>x</w:t>
            </w: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r>
              <w:rPr>
                <w:noProof/>
                <w:color w:val="000000"/>
                <w:sz w:val="16"/>
              </w:rPr>
              <w:t>x</w:t>
            </w:r>
          </w:p>
        </w:tc>
        <w:tc>
          <w:tcPr>
            <w:tcW w:w="476"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r>
              <w:rPr>
                <w:noProof/>
                <w:color w:val="000000"/>
                <w:sz w:val="16"/>
              </w:rPr>
              <w:t>x</w:t>
            </w:r>
          </w:p>
        </w:tc>
        <w:tc>
          <w:tcPr>
            <w:tcW w:w="441"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48" w:type="dxa"/>
            <w:noWrap/>
            <w:vAlign w:val="center"/>
            <w:hideMark/>
          </w:tcPr>
          <w:p>
            <w:pPr>
              <w:spacing w:before="20" w:after="20"/>
              <w:jc w:val="center"/>
              <w:rPr>
                <w:noProof/>
                <w:color w:val="000000"/>
                <w:sz w:val="16"/>
              </w:rPr>
            </w:pPr>
            <w:r>
              <w:rPr>
                <w:noProof/>
                <w:color w:val="000000"/>
                <w:sz w:val="16"/>
              </w:rPr>
              <w:t>x</w:t>
            </w:r>
          </w:p>
        </w:tc>
        <w:tc>
          <w:tcPr>
            <w:tcW w:w="480" w:type="dxa"/>
            <w:noWrap/>
            <w:vAlign w:val="center"/>
            <w:hideMark/>
          </w:tcPr>
          <w:p>
            <w:pPr>
              <w:spacing w:before="20" w:after="20"/>
              <w:jc w:val="center"/>
              <w:rPr>
                <w:noProof/>
                <w:color w:val="000000"/>
                <w:sz w:val="16"/>
              </w:rPr>
            </w:pPr>
            <w:r>
              <w:rPr>
                <w:noProof/>
                <w:color w:val="000000"/>
                <w:sz w:val="16"/>
              </w:rPr>
              <w:t>x</w:t>
            </w:r>
          </w:p>
        </w:tc>
        <w:tc>
          <w:tcPr>
            <w:tcW w:w="477"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r>
              <w:rPr>
                <w:noProof/>
                <w:color w:val="000000"/>
                <w:sz w:val="16"/>
              </w:rPr>
              <w:t>x</w:t>
            </w:r>
          </w:p>
        </w:tc>
        <w:tc>
          <w:tcPr>
            <w:tcW w:w="436"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8" w:type="dxa"/>
            <w:noWrap/>
            <w:vAlign w:val="center"/>
            <w:hideMark/>
          </w:tcPr>
          <w:p>
            <w:pPr>
              <w:spacing w:before="20" w:after="20"/>
              <w:jc w:val="center"/>
              <w:rPr>
                <w:noProof/>
                <w:color w:val="000000"/>
                <w:sz w:val="16"/>
              </w:rPr>
            </w:pPr>
            <w:r>
              <w:rPr>
                <w:noProof/>
                <w:color w:val="000000"/>
                <w:sz w:val="16"/>
              </w:rPr>
              <w:t>x</w:t>
            </w:r>
          </w:p>
        </w:tc>
        <w:tc>
          <w:tcPr>
            <w:tcW w:w="432"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70" w:type="dxa"/>
            <w:noWrap/>
            <w:vAlign w:val="center"/>
            <w:hideMark/>
          </w:tcPr>
          <w:p>
            <w:pPr>
              <w:spacing w:before="20" w:after="20"/>
              <w:jc w:val="center"/>
              <w:rPr>
                <w:noProof/>
                <w:color w:val="000000"/>
                <w:sz w:val="16"/>
              </w:rPr>
            </w:pPr>
            <w:r>
              <w:rPr>
                <w:noProof/>
                <w:color w:val="000000"/>
                <w:sz w:val="16"/>
              </w:rPr>
              <w:t>x</w:t>
            </w:r>
          </w:p>
        </w:tc>
        <w:tc>
          <w:tcPr>
            <w:tcW w:w="647" w:type="dxa"/>
            <w:vAlign w:val="center"/>
          </w:tcPr>
          <w:p>
            <w:pPr>
              <w:spacing w:before="20" w:after="20"/>
              <w:jc w:val="center"/>
              <w:rPr>
                <w:noProof/>
                <w:color w:val="000000"/>
                <w:sz w:val="16"/>
              </w:rPr>
            </w:pPr>
            <w:r>
              <w:rPr>
                <w:noProof/>
                <w:color w:val="000000"/>
                <w:sz w:val="16"/>
              </w:rPr>
              <w:t>28</w:t>
            </w:r>
          </w:p>
        </w:tc>
      </w:tr>
      <w:tr>
        <w:trPr>
          <w:trHeight w:val="290"/>
        </w:trPr>
        <w:tc>
          <w:tcPr>
            <w:tcW w:w="1372" w:type="dxa"/>
            <w:noWrap/>
            <w:vAlign w:val="center"/>
            <w:hideMark/>
          </w:tcPr>
          <w:p>
            <w:pPr>
              <w:spacing w:before="20" w:after="20"/>
              <w:rPr>
                <w:b/>
                <w:noProof/>
                <w:color w:val="000000"/>
                <w:sz w:val="16"/>
              </w:rPr>
            </w:pPr>
            <w:r>
              <w:rPr>
                <w:b/>
                <w:noProof/>
                <w:color w:val="000000"/>
                <w:sz w:val="16"/>
              </w:rPr>
              <w:t>European Parliament Crypto Tool</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3" w:type="dxa"/>
            <w:noWrap/>
            <w:vAlign w:val="center"/>
            <w:hideMark/>
          </w:tcPr>
          <w:p>
            <w:pPr>
              <w:spacing w:before="20" w:after="20"/>
              <w:jc w:val="center"/>
              <w:rPr>
                <w:noProof/>
                <w:color w:val="000000"/>
                <w:sz w:val="16"/>
              </w:rPr>
            </w:pPr>
            <w:r>
              <w:rPr>
                <w:noProof/>
                <w:color w:val="000000"/>
                <w:sz w:val="16"/>
              </w:rPr>
              <w:t>x</w:t>
            </w: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r>
              <w:rPr>
                <w:noProof/>
                <w:color w:val="000000"/>
                <w:sz w:val="16"/>
              </w:rPr>
              <w:t>x</w:t>
            </w:r>
          </w:p>
        </w:tc>
        <w:tc>
          <w:tcPr>
            <w:tcW w:w="476"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r>
              <w:rPr>
                <w:noProof/>
                <w:color w:val="000000"/>
                <w:sz w:val="16"/>
              </w:rPr>
              <w:t>x</w:t>
            </w:r>
          </w:p>
        </w:tc>
        <w:tc>
          <w:tcPr>
            <w:tcW w:w="441"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48" w:type="dxa"/>
            <w:noWrap/>
            <w:vAlign w:val="center"/>
            <w:hideMark/>
          </w:tcPr>
          <w:p>
            <w:pPr>
              <w:spacing w:before="20" w:after="20"/>
              <w:jc w:val="center"/>
              <w:rPr>
                <w:noProof/>
                <w:color w:val="000000"/>
                <w:sz w:val="16"/>
              </w:rPr>
            </w:pPr>
            <w:r>
              <w:rPr>
                <w:noProof/>
                <w:color w:val="000000"/>
                <w:sz w:val="16"/>
              </w:rPr>
              <w:t>x</w:t>
            </w:r>
          </w:p>
        </w:tc>
        <w:tc>
          <w:tcPr>
            <w:tcW w:w="480" w:type="dxa"/>
            <w:noWrap/>
            <w:vAlign w:val="center"/>
            <w:hideMark/>
          </w:tcPr>
          <w:p>
            <w:pPr>
              <w:spacing w:before="20" w:after="20"/>
              <w:jc w:val="center"/>
              <w:rPr>
                <w:noProof/>
                <w:color w:val="000000"/>
                <w:sz w:val="16"/>
              </w:rPr>
            </w:pPr>
            <w:r>
              <w:rPr>
                <w:noProof/>
                <w:color w:val="000000"/>
                <w:sz w:val="16"/>
              </w:rPr>
              <w:t>x</w:t>
            </w:r>
          </w:p>
        </w:tc>
        <w:tc>
          <w:tcPr>
            <w:tcW w:w="477"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r>
              <w:rPr>
                <w:noProof/>
                <w:color w:val="000000"/>
                <w:sz w:val="16"/>
              </w:rPr>
              <w:t>x</w:t>
            </w:r>
          </w:p>
        </w:tc>
        <w:tc>
          <w:tcPr>
            <w:tcW w:w="436"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8" w:type="dxa"/>
            <w:noWrap/>
            <w:vAlign w:val="center"/>
            <w:hideMark/>
          </w:tcPr>
          <w:p>
            <w:pPr>
              <w:spacing w:before="20" w:after="20"/>
              <w:jc w:val="center"/>
              <w:rPr>
                <w:noProof/>
                <w:color w:val="000000"/>
                <w:sz w:val="16"/>
              </w:rPr>
            </w:pPr>
            <w:r>
              <w:rPr>
                <w:noProof/>
                <w:color w:val="000000"/>
                <w:sz w:val="16"/>
              </w:rPr>
              <w:t>x</w:t>
            </w:r>
          </w:p>
        </w:tc>
        <w:tc>
          <w:tcPr>
            <w:tcW w:w="432"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70" w:type="dxa"/>
            <w:noWrap/>
            <w:vAlign w:val="center"/>
            <w:hideMark/>
          </w:tcPr>
          <w:p>
            <w:pPr>
              <w:spacing w:before="20" w:after="20"/>
              <w:jc w:val="center"/>
              <w:rPr>
                <w:noProof/>
                <w:color w:val="000000"/>
                <w:sz w:val="16"/>
              </w:rPr>
            </w:pPr>
            <w:r>
              <w:rPr>
                <w:noProof/>
                <w:color w:val="000000"/>
                <w:sz w:val="16"/>
              </w:rPr>
              <w:t>x</w:t>
            </w:r>
          </w:p>
        </w:tc>
        <w:tc>
          <w:tcPr>
            <w:tcW w:w="647" w:type="dxa"/>
            <w:vAlign w:val="center"/>
          </w:tcPr>
          <w:p>
            <w:pPr>
              <w:spacing w:before="20" w:after="20"/>
              <w:jc w:val="center"/>
              <w:rPr>
                <w:noProof/>
                <w:color w:val="000000"/>
                <w:sz w:val="16"/>
              </w:rPr>
            </w:pPr>
            <w:r>
              <w:rPr>
                <w:noProof/>
                <w:color w:val="000000"/>
                <w:sz w:val="16"/>
              </w:rPr>
              <w:t>28</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EUSurvey</w:t>
            </w:r>
          </w:p>
        </w:tc>
        <w:tc>
          <w:tcPr>
            <w:tcW w:w="513" w:type="dxa"/>
            <w:noWrap/>
            <w:vAlign w:val="center"/>
            <w:hideMark/>
          </w:tcPr>
          <w:p>
            <w:pPr>
              <w:spacing w:before="20" w:after="20"/>
              <w:jc w:val="center"/>
              <w:rPr>
                <w:noProof/>
                <w:color w:val="000000"/>
                <w:sz w:val="16"/>
              </w:rPr>
            </w:pP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1</w:t>
            </w:r>
          </w:p>
        </w:tc>
      </w:tr>
      <w:tr>
        <w:trPr>
          <w:trHeight w:val="290"/>
        </w:trPr>
        <w:tc>
          <w:tcPr>
            <w:tcW w:w="1372" w:type="dxa"/>
            <w:noWrap/>
            <w:vAlign w:val="center"/>
            <w:hideMark/>
          </w:tcPr>
          <w:p>
            <w:pPr>
              <w:spacing w:before="20" w:after="20"/>
              <w:rPr>
                <w:b/>
                <w:noProof/>
                <w:color w:val="000000"/>
                <w:sz w:val="16"/>
              </w:rPr>
            </w:pPr>
            <w:r>
              <w:rPr>
                <w:b/>
                <w:noProof/>
                <w:color w:val="000000"/>
                <w:sz w:val="16"/>
              </w:rPr>
              <w:t>GeoDCAT-AP</w:t>
            </w:r>
          </w:p>
        </w:tc>
        <w:tc>
          <w:tcPr>
            <w:tcW w:w="513" w:type="dxa"/>
            <w:noWrap/>
            <w:vAlign w:val="center"/>
            <w:hideMark/>
          </w:tcPr>
          <w:p>
            <w:pPr>
              <w:spacing w:before="20" w:after="20"/>
              <w:jc w:val="center"/>
              <w:rPr>
                <w:noProof/>
                <w:color w:val="000000"/>
                <w:sz w:val="16"/>
              </w:rPr>
            </w:pP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1</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IMAPS</w:t>
            </w:r>
          </w:p>
        </w:tc>
        <w:tc>
          <w:tcPr>
            <w:tcW w:w="513" w:type="dxa"/>
            <w:noWrap/>
            <w:vAlign w:val="center"/>
            <w:hideMark/>
          </w:tcPr>
          <w:p>
            <w:pPr>
              <w:spacing w:before="20" w:after="20"/>
              <w:jc w:val="center"/>
              <w:rPr>
                <w:noProof/>
                <w:color w:val="000000"/>
                <w:sz w:val="16"/>
              </w:rPr>
            </w:pP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r>
              <w:rPr>
                <w:noProof/>
                <w:color w:val="000000"/>
                <w:sz w:val="16"/>
              </w:rPr>
              <w:t>x</w:t>
            </w: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r>
              <w:rPr>
                <w:noProof/>
                <w:color w:val="000000"/>
                <w:sz w:val="16"/>
              </w:rPr>
              <w:t>x</w:t>
            </w: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2</w:t>
            </w:r>
          </w:p>
        </w:tc>
      </w:tr>
      <w:tr>
        <w:trPr>
          <w:trHeight w:val="290"/>
        </w:trPr>
        <w:tc>
          <w:tcPr>
            <w:tcW w:w="1372" w:type="dxa"/>
            <w:noWrap/>
            <w:vAlign w:val="center"/>
            <w:hideMark/>
          </w:tcPr>
          <w:p>
            <w:pPr>
              <w:spacing w:before="20" w:after="20"/>
              <w:rPr>
                <w:b/>
                <w:noProof/>
                <w:color w:val="000000"/>
                <w:sz w:val="16"/>
              </w:rPr>
            </w:pPr>
            <w:r>
              <w:rPr>
                <w:b/>
                <w:noProof/>
                <w:color w:val="000000"/>
                <w:sz w:val="16"/>
              </w:rPr>
              <w:t>Joinup</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3" w:type="dxa"/>
            <w:noWrap/>
            <w:vAlign w:val="center"/>
            <w:hideMark/>
          </w:tcPr>
          <w:p>
            <w:pPr>
              <w:spacing w:before="20" w:after="20"/>
              <w:jc w:val="center"/>
              <w:rPr>
                <w:noProof/>
                <w:color w:val="000000"/>
                <w:sz w:val="16"/>
              </w:rPr>
            </w:pPr>
            <w:r>
              <w:rPr>
                <w:noProof/>
                <w:color w:val="000000"/>
                <w:sz w:val="16"/>
              </w:rPr>
              <w:t>x</w:t>
            </w: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r>
              <w:rPr>
                <w:noProof/>
                <w:color w:val="000000"/>
                <w:sz w:val="16"/>
              </w:rPr>
              <w:t>x</w:t>
            </w:r>
          </w:p>
        </w:tc>
        <w:tc>
          <w:tcPr>
            <w:tcW w:w="476"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48" w:type="dxa"/>
            <w:noWrap/>
            <w:vAlign w:val="center"/>
            <w:hideMark/>
          </w:tcPr>
          <w:p>
            <w:pPr>
              <w:spacing w:before="20" w:after="20"/>
              <w:jc w:val="center"/>
              <w:rPr>
                <w:noProof/>
                <w:color w:val="000000"/>
                <w:sz w:val="16"/>
              </w:rPr>
            </w:pPr>
            <w:r>
              <w:rPr>
                <w:noProof/>
                <w:color w:val="000000"/>
                <w:sz w:val="16"/>
              </w:rPr>
              <w:t>x</w:t>
            </w:r>
          </w:p>
        </w:tc>
        <w:tc>
          <w:tcPr>
            <w:tcW w:w="480" w:type="dxa"/>
            <w:noWrap/>
            <w:vAlign w:val="center"/>
            <w:hideMark/>
          </w:tcPr>
          <w:p>
            <w:pPr>
              <w:spacing w:before="20" w:after="20"/>
              <w:jc w:val="center"/>
              <w:rPr>
                <w:noProof/>
                <w:color w:val="000000"/>
                <w:sz w:val="16"/>
              </w:rPr>
            </w:pPr>
            <w:r>
              <w:rPr>
                <w:noProof/>
                <w:color w:val="000000"/>
                <w:sz w:val="16"/>
              </w:rPr>
              <w:t>x</w:t>
            </w: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r>
              <w:rPr>
                <w:noProof/>
                <w:color w:val="000000"/>
                <w:sz w:val="16"/>
              </w:rPr>
              <w:t>x</w:t>
            </w:r>
          </w:p>
        </w:tc>
        <w:tc>
          <w:tcPr>
            <w:tcW w:w="436"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8" w:type="dxa"/>
            <w:noWrap/>
            <w:vAlign w:val="center"/>
            <w:hideMark/>
          </w:tcPr>
          <w:p>
            <w:pPr>
              <w:spacing w:before="20" w:after="20"/>
              <w:jc w:val="center"/>
              <w:rPr>
                <w:noProof/>
                <w:color w:val="000000"/>
                <w:sz w:val="16"/>
              </w:rPr>
            </w:pPr>
            <w:r>
              <w:rPr>
                <w:noProof/>
                <w:color w:val="000000"/>
                <w:sz w:val="16"/>
              </w:rPr>
              <w:t>x</w:t>
            </w:r>
          </w:p>
        </w:tc>
        <w:tc>
          <w:tcPr>
            <w:tcW w:w="432"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70" w:type="dxa"/>
            <w:noWrap/>
            <w:vAlign w:val="center"/>
            <w:hideMark/>
          </w:tcPr>
          <w:p>
            <w:pPr>
              <w:spacing w:before="20" w:after="20"/>
              <w:jc w:val="center"/>
              <w:rPr>
                <w:noProof/>
                <w:color w:val="000000"/>
                <w:sz w:val="16"/>
              </w:rPr>
            </w:pPr>
            <w:r>
              <w:rPr>
                <w:noProof/>
                <w:color w:val="000000"/>
                <w:sz w:val="16"/>
              </w:rPr>
              <w:t>x</w:t>
            </w:r>
          </w:p>
        </w:tc>
        <w:tc>
          <w:tcPr>
            <w:tcW w:w="647" w:type="dxa"/>
            <w:vAlign w:val="center"/>
          </w:tcPr>
          <w:p>
            <w:pPr>
              <w:spacing w:before="20" w:after="20"/>
              <w:jc w:val="center"/>
              <w:rPr>
                <w:noProof/>
                <w:color w:val="000000"/>
                <w:sz w:val="16"/>
              </w:rPr>
            </w:pPr>
            <w:r>
              <w:rPr>
                <w:noProof/>
                <w:color w:val="000000"/>
                <w:sz w:val="16"/>
              </w:rPr>
              <w:t>26</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NIFO</w:t>
            </w:r>
          </w:p>
        </w:tc>
        <w:tc>
          <w:tcPr>
            <w:tcW w:w="513" w:type="dxa"/>
            <w:noWrap/>
            <w:vAlign w:val="center"/>
            <w:hideMark/>
          </w:tcPr>
          <w:p>
            <w:pPr>
              <w:spacing w:before="20" w:after="20"/>
              <w:jc w:val="center"/>
              <w:rPr>
                <w:noProof/>
                <w:color w:val="000000"/>
                <w:sz w:val="16"/>
              </w:rPr>
            </w:pPr>
            <w:r>
              <w:rPr>
                <w:noProof/>
                <w:color w:val="000000"/>
                <w:sz w:val="16"/>
              </w:rPr>
              <w:t>x</w:t>
            </w:r>
          </w:p>
        </w:tc>
        <w:tc>
          <w:tcPr>
            <w:tcW w:w="468"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3" w:type="dxa"/>
            <w:noWrap/>
            <w:vAlign w:val="center"/>
            <w:hideMark/>
          </w:tcPr>
          <w:p>
            <w:pPr>
              <w:spacing w:before="20" w:after="20"/>
              <w:jc w:val="center"/>
              <w:rPr>
                <w:noProof/>
                <w:color w:val="000000"/>
                <w:sz w:val="16"/>
              </w:rPr>
            </w:pPr>
            <w:r>
              <w:rPr>
                <w:noProof/>
                <w:color w:val="000000"/>
                <w:sz w:val="16"/>
              </w:rPr>
              <w:t>x</w:t>
            </w:r>
          </w:p>
        </w:tc>
        <w:tc>
          <w:tcPr>
            <w:tcW w:w="459" w:type="dxa"/>
            <w:noWrap/>
            <w:vAlign w:val="center"/>
            <w:hideMark/>
          </w:tcPr>
          <w:p>
            <w:pPr>
              <w:spacing w:before="20" w:after="20"/>
              <w:jc w:val="center"/>
              <w:rPr>
                <w:noProof/>
                <w:color w:val="000000"/>
                <w:sz w:val="16"/>
              </w:rPr>
            </w:pPr>
            <w:r>
              <w:rPr>
                <w:noProof/>
                <w:color w:val="000000"/>
                <w:sz w:val="16"/>
              </w:rPr>
              <w:t>x</w:t>
            </w:r>
          </w:p>
        </w:tc>
        <w:tc>
          <w:tcPr>
            <w:tcW w:w="435"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r>
              <w:rPr>
                <w:noProof/>
                <w:color w:val="000000"/>
                <w:sz w:val="16"/>
              </w:rPr>
              <w:t>x</w:t>
            </w:r>
          </w:p>
        </w:tc>
        <w:tc>
          <w:tcPr>
            <w:tcW w:w="476" w:type="dxa"/>
            <w:noWrap/>
            <w:vAlign w:val="center"/>
            <w:hideMark/>
          </w:tcPr>
          <w:p>
            <w:pPr>
              <w:spacing w:before="20" w:after="20"/>
              <w:jc w:val="center"/>
              <w:rPr>
                <w:noProof/>
                <w:color w:val="000000"/>
                <w:sz w:val="16"/>
              </w:rPr>
            </w:pPr>
            <w:r>
              <w:rPr>
                <w:noProof/>
                <w:color w:val="000000"/>
                <w:sz w:val="16"/>
              </w:rPr>
              <w:t>x</w:t>
            </w:r>
          </w:p>
        </w:tc>
        <w:tc>
          <w:tcPr>
            <w:tcW w:w="413"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r>
              <w:rPr>
                <w:noProof/>
                <w:color w:val="000000"/>
                <w:sz w:val="16"/>
              </w:rPr>
              <w:t>x</w:t>
            </w:r>
          </w:p>
        </w:tc>
        <w:tc>
          <w:tcPr>
            <w:tcW w:w="441" w:type="dxa"/>
            <w:noWrap/>
            <w:vAlign w:val="center"/>
            <w:hideMark/>
          </w:tcPr>
          <w:p>
            <w:pPr>
              <w:spacing w:before="20" w:after="20"/>
              <w:jc w:val="center"/>
              <w:rPr>
                <w:noProof/>
                <w:color w:val="000000"/>
                <w:sz w:val="16"/>
              </w:rPr>
            </w:pPr>
            <w:r>
              <w:rPr>
                <w:noProof/>
                <w:color w:val="000000"/>
                <w:sz w:val="16"/>
              </w:rPr>
              <w:t>x</w:t>
            </w:r>
          </w:p>
        </w:tc>
        <w:tc>
          <w:tcPr>
            <w:tcW w:w="428" w:type="dxa"/>
            <w:noWrap/>
            <w:vAlign w:val="center"/>
            <w:hideMark/>
          </w:tcPr>
          <w:p>
            <w:pPr>
              <w:spacing w:before="20" w:after="20"/>
              <w:jc w:val="center"/>
              <w:rPr>
                <w:noProof/>
                <w:color w:val="000000"/>
                <w:sz w:val="16"/>
              </w:rPr>
            </w:pPr>
            <w:r>
              <w:rPr>
                <w:noProof/>
                <w:color w:val="000000"/>
                <w:sz w:val="16"/>
              </w:rPr>
              <w:t>x</w:t>
            </w:r>
          </w:p>
        </w:tc>
        <w:tc>
          <w:tcPr>
            <w:tcW w:w="448" w:type="dxa"/>
            <w:noWrap/>
            <w:vAlign w:val="center"/>
            <w:hideMark/>
          </w:tcPr>
          <w:p>
            <w:pPr>
              <w:spacing w:before="20" w:after="20"/>
              <w:jc w:val="center"/>
              <w:rPr>
                <w:noProof/>
                <w:color w:val="000000"/>
                <w:sz w:val="16"/>
              </w:rPr>
            </w:pPr>
            <w:r>
              <w:rPr>
                <w:noProof/>
                <w:color w:val="000000"/>
                <w:sz w:val="16"/>
              </w:rPr>
              <w:t>x</w:t>
            </w:r>
          </w:p>
        </w:tc>
        <w:tc>
          <w:tcPr>
            <w:tcW w:w="480" w:type="dxa"/>
            <w:noWrap/>
            <w:vAlign w:val="center"/>
            <w:hideMark/>
          </w:tcPr>
          <w:p>
            <w:pPr>
              <w:spacing w:before="20" w:after="20"/>
              <w:jc w:val="center"/>
              <w:rPr>
                <w:noProof/>
                <w:color w:val="000000"/>
                <w:sz w:val="16"/>
              </w:rPr>
            </w:pPr>
            <w:r>
              <w:rPr>
                <w:noProof/>
                <w:color w:val="000000"/>
                <w:sz w:val="16"/>
              </w:rPr>
              <w:t>x</w:t>
            </w:r>
          </w:p>
        </w:tc>
        <w:tc>
          <w:tcPr>
            <w:tcW w:w="477"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r>
              <w:rPr>
                <w:noProof/>
                <w:color w:val="000000"/>
                <w:sz w:val="16"/>
              </w:rPr>
              <w:t>x</w:t>
            </w:r>
          </w:p>
        </w:tc>
        <w:tc>
          <w:tcPr>
            <w:tcW w:w="443" w:type="dxa"/>
            <w:noWrap/>
            <w:vAlign w:val="center"/>
            <w:hideMark/>
          </w:tcPr>
          <w:p>
            <w:pPr>
              <w:spacing w:before="20" w:after="20"/>
              <w:jc w:val="center"/>
              <w:rPr>
                <w:noProof/>
                <w:color w:val="000000"/>
                <w:sz w:val="16"/>
              </w:rPr>
            </w:pPr>
            <w:r>
              <w:rPr>
                <w:noProof/>
                <w:color w:val="000000"/>
                <w:sz w:val="16"/>
              </w:rPr>
              <w:t>x</w:t>
            </w:r>
          </w:p>
        </w:tc>
        <w:tc>
          <w:tcPr>
            <w:tcW w:w="478" w:type="dxa"/>
            <w:noWrap/>
            <w:vAlign w:val="center"/>
            <w:hideMark/>
          </w:tcPr>
          <w:p>
            <w:pPr>
              <w:spacing w:before="20" w:after="20"/>
              <w:jc w:val="center"/>
              <w:rPr>
                <w:noProof/>
                <w:color w:val="000000"/>
                <w:sz w:val="16"/>
              </w:rPr>
            </w:pPr>
            <w:r>
              <w:rPr>
                <w:noProof/>
                <w:color w:val="000000"/>
                <w:sz w:val="16"/>
              </w:rPr>
              <w:t>x</w:t>
            </w:r>
          </w:p>
        </w:tc>
        <w:tc>
          <w:tcPr>
            <w:tcW w:w="432" w:type="dxa"/>
            <w:noWrap/>
            <w:vAlign w:val="center"/>
            <w:hideMark/>
          </w:tcPr>
          <w:p>
            <w:pPr>
              <w:spacing w:before="20" w:after="20"/>
              <w:jc w:val="center"/>
              <w:rPr>
                <w:noProof/>
                <w:color w:val="000000"/>
                <w:sz w:val="16"/>
              </w:rPr>
            </w:pPr>
            <w:r>
              <w:rPr>
                <w:noProof/>
                <w:color w:val="000000"/>
                <w:sz w:val="16"/>
              </w:rPr>
              <w:t>x</w:t>
            </w:r>
          </w:p>
        </w:tc>
        <w:tc>
          <w:tcPr>
            <w:tcW w:w="454" w:type="dxa"/>
            <w:noWrap/>
            <w:vAlign w:val="center"/>
            <w:hideMark/>
          </w:tcPr>
          <w:p>
            <w:pPr>
              <w:spacing w:before="20" w:after="20"/>
              <w:jc w:val="center"/>
              <w:rPr>
                <w:noProof/>
                <w:color w:val="000000"/>
                <w:sz w:val="16"/>
              </w:rPr>
            </w:pPr>
            <w:r>
              <w:rPr>
                <w:noProof/>
                <w:color w:val="000000"/>
                <w:sz w:val="16"/>
              </w:rPr>
              <w:t>x</w:t>
            </w: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r>
              <w:rPr>
                <w:noProof/>
                <w:color w:val="000000"/>
                <w:sz w:val="16"/>
              </w:rPr>
              <w:t>x</w:t>
            </w:r>
          </w:p>
        </w:tc>
        <w:tc>
          <w:tcPr>
            <w:tcW w:w="470" w:type="dxa"/>
            <w:noWrap/>
            <w:vAlign w:val="center"/>
            <w:hideMark/>
          </w:tcPr>
          <w:p>
            <w:pPr>
              <w:spacing w:before="20" w:after="20"/>
              <w:jc w:val="center"/>
              <w:rPr>
                <w:noProof/>
                <w:color w:val="000000"/>
                <w:sz w:val="16"/>
              </w:rPr>
            </w:pPr>
            <w:r>
              <w:rPr>
                <w:noProof/>
                <w:color w:val="000000"/>
                <w:sz w:val="16"/>
              </w:rPr>
              <w:t>x</w:t>
            </w:r>
          </w:p>
        </w:tc>
        <w:tc>
          <w:tcPr>
            <w:tcW w:w="647" w:type="dxa"/>
            <w:vAlign w:val="center"/>
          </w:tcPr>
          <w:p>
            <w:pPr>
              <w:spacing w:before="20" w:after="20"/>
              <w:jc w:val="center"/>
              <w:rPr>
                <w:noProof/>
                <w:color w:val="000000"/>
                <w:sz w:val="16"/>
              </w:rPr>
            </w:pPr>
            <w:r>
              <w:rPr>
                <w:noProof/>
                <w:color w:val="000000"/>
                <w:sz w:val="16"/>
              </w:rPr>
              <w:t>26</w:t>
            </w:r>
          </w:p>
        </w:tc>
      </w:tr>
      <w:tr>
        <w:trPr>
          <w:trHeight w:val="290"/>
        </w:trPr>
        <w:tc>
          <w:tcPr>
            <w:tcW w:w="1372" w:type="dxa"/>
            <w:noWrap/>
            <w:vAlign w:val="center"/>
            <w:hideMark/>
          </w:tcPr>
          <w:p>
            <w:pPr>
              <w:spacing w:before="20" w:after="20"/>
              <w:rPr>
                <w:b/>
                <w:noProof/>
                <w:color w:val="000000"/>
                <w:sz w:val="16"/>
              </w:rPr>
            </w:pPr>
            <w:r>
              <w:rPr>
                <w:b/>
                <w:noProof/>
                <w:color w:val="000000"/>
                <w:sz w:val="16"/>
              </w:rPr>
              <w:t>OCS for ECIs</w:t>
            </w:r>
          </w:p>
        </w:tc>
        <w:tc>
          <w:tcPr>
            <w:tcW w:w="513" w:type="dxa"/>
            <w:noWrap/>
            <w:vAlign w:val="center"/>
            <w:hideMark/>
          </w:tcPr>
          <w:p>
            <w:pPr>
              <w:spacing w:before="20" w:after="20"/>
              <w:jc w:val="center"/>
              <w:rPr>
                <w:noProof/>
                <w:color w:val="000000"/>
                <w:sz w:val="16"/>
              </w:rPr>
            </w:pP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46" w:type="dxa"/>
            <w:noWrap/>
            <w:vAlign w:val="center"/>
            <w:hideMark/>
          </w:tcPr>
          <w:p>
            <w:pPr>
              <w:spacing w:before="20" w:after="20"/>
              <w:jc w:val="center"/>
              <w:rPr>
                <w:noProof/>
                <w:color w:val="000000"/>
                <w:sz w:val="16"/>
              </w:rPr>
            </w:pP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r>
              <w:rPr>
                <w:noProof/>
                <w:color w:val="000000"/>
                <w:sz w:val="16"/>
              </w:rPr>
              <w:t>x</w:t>
            </w: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0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1</w:t>
            </w:r>
          </w:p>
        </w:tc>
      </w:tr>
      <w:tr>
        <w:trPr>
          <w:cnfStyle w:val="000000100000" w:firstRow="0" w:lastRow="0" w:firstColumn="0" w:lastColumn="0" w:oddVBand="0" w:evenVBand="0" w:oddHBand="1" w:evenHBand="0" w:firstRowFirstColumn="0" w:firstRowLastColumn="0" w:lastRowFirstColumn="0" w:lastRowLastColumn="0"/>
          <w:trHeight w:val="290"/>
        </w:trPr>
        <w:tc>
          <w:tcPr>
            <w:tcW w:w="1372" w:type="dxa"/>
            <w:noWrap/>
            <w:vAlign w:val="center"/>
            <w:hideMark/>
          </w:tcPr>
          <w:p>
            <w:pPr>
              <w:spacing w:before="20" w:after="20"/>
              <w:rPr>
                <w:b/>
                <w:noProof/>
                <w:color w:val="000000"/>
                <w:sz w:val="16"/>
              </w:rPr>
            </w:pPr>
            <w:r>
              <w:rPr>
                <w:b/>
                <w:noProof/>
                <w:color w:val="000000"/>
                <w:sz w:val="16"/>
              </w:rPr>
              <w:t>Re3gistry</w:t>
            </w:r>
          </w:p>
        </w:tc>
        <w:tc>
          <w:tcPr>
            <w:tcW w:w="513" w:type="dxa"/>
            <w:noWrap/>
            <w:vAlign w:val="center"/>
            <w:hideMark/>
          </w:tcPr>
          <w:p>
            <w:pPr>
              <w:spacing w:before="20" w:after="20"/>
              <w:jc w:val="center"/>
              <w:rPr>
                <w:noProof/>
                <w:color w:val="000000"/>
                <w:sz w:val="16"/>
              </w:rPr>
            </w:pPr>
          </w:p>
        </w:tc>
        <w:tc>
          <w:tcPr>
            <w:tcW w:w="468"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3" w:type="dxa"/>
            <w:noWrap/>
            <w:vAlign w:val="center"/>
            <w:hideMark/>
          </w:tcPr>
          <w:p>
            <w:pPr>
              <w:spacing w:before="20" w:after="20"/>
              <w:jc w:val="center"/>
              <w:rPr>
                <w:noProof/>
                <w:color w:val="000000"/>
                <w:sz w:val="16"/>
              </w:rPr>
            </w:pPr>
          </w:p>
        </w:tc>
        <w:tc>
          <w:tcPr>
            <w:tcW w:w="459" w:type="dxa"/>
            <w:noWrap/>
            <w:vAlign w:val="center"/>
            <w:hideMark/>
          </w:tcPr>
          <w:p>
            <w:pPr>
              <w:spacing w:before="20" w:after="20"/>
              <w:jc w:val="center"/>
              <w:rPr>
                <w:noProof/>
                <w:color w:val="000000"/>
                <w:sz w:val="16"/>
              </w:rPr>
            </w:pPr>
          </w:p>
        </w:tc>
        <w:tc>
          <w:tcPr>
            <w:tcW w:w="435"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39" w:type="dxa"/>
            <w:noWrap/>
            <w:vAlign w:val="center"/>
            <w:hideMark/>
          </w:tcPr>
          <w:p>
            <w:pPr>
              <w:spacing w:before="20" w:after="20"/>
              <w:jc w:val="center"/>
              <w:rPr>
                <w:noProof/>
                <w:color w:val="000000"/>
                <w:sz w:val="16"/>
              </w:rPr>
            </w:pPr>
            <w:r>
              <w:rPr>
                <w:noProof/>
                <w:color w:val="000000"/>
                <w:sz w:val="16"/>
              </w:rPr>
              <w:t>x</w:t>
            </w:r>
          </w:p>
        </w:tc>
        <w:tc>
          <w:tcPr>
            <w:tcW w:w="446" w:type="dxa"/>
            <w:noWrap/>
            <w:vAlign w:val="center"/>
            <w:hideMark/>
          </w:tcPr>
          <w:p>
            <w:pPr>
              <w:spacing w:before="20" w:after="20"/>
              <w:jc w:val="center"/>
              <w:rPr>
                <w:noProof/>
                <w:color w:val="000000"/>
                <w:sz w:val="16"/>
              </w:rPr>
            </w:pPr>
            <w:r>
              <w:rPr>
                <w:noProof/>
                <w:color w:val="000000"/>
                <w:sz w:val="16"/>
              </w:rPr>
              <w:t>x</w:t>
            </w:r>
          </w:p>
        </w:tc>
        <w:tc>
          <w:tcPr>
            <w:tcW w:w="476" w:type="dxa"/>
            <w:noWrap/>
            <w:vAlign w:val="center"/>
            <w:hideMark/>
          </w:tcPr>
          <w:p>
            <w:pPr>
              <w:spacing w:before="20" w:after="20"/>
              <w:jc w:val="center"/>
              <w:rPr>
                <w:noProof/>
                <w:color w:val="000000"/>
                <w:sz w:val="16"/>
              </w:rPr>
            </w:pPr>
          </w:p>
        </w:tc>
        <w:tc>
          <w:tcPr>
            <w:tcW w:w="413" w:type="dxa"/>
            <w:noWrap/>
            <w:vAlign w:val="center"/>
            <w:hideMark/>
          </w:tcPr>
          <w:p>
            <w:pPr>
              <w:spacing w:before="20" w:after="20"/>
              <w:jc w:val="center"/>
              <w:rPr>
                <w:noProof/>
                <w:color w:val="000000"/>
                <w:sz w:val="16"/>
              </w:rPr>
            </w:pPr>
            <w:r>
              <w:rPr>
                <w:noProof/>
                <w:color w:val="000000"/>
                <w:sz w:val="16"/>
              </w:rPr>
              <w:t>x</w:t>
            </w:r>
          </w:p>
        </w:tc>
        <w:tc>
          <w:tcPr>
            <w:tcW w:w="450" w:type="dxa"/>
            <w:noWrap/>
            <w:vAlign w:val="center"/>
            <w:hideMark/>
          </w:tcPr>
          <w:p>
            <w:pPr>
              <w:spacing w:before="20" w:after="20"/>
              <w:jc w:val="center"/>
              <w:rPr>
                <w:noProof/>
                <w:color w:val="000000"/>
                <w:sz w:val="16"/>
              </w:rPr>
            </w:pPr>
          </w:p>
        </w:tc>
        <w:tc>
          <w:tcPr>
            <w:tcW w:w="441" w:type="dxa"/>
            <w:noWrap/>
            <w:vAlign w:val="center"/>
            <w:hideMark/>
          </w:tcPr>
          <w:p>
            <w:pPr>
              <w:spacing w:before="20" w:after="20"/>
              <w:jc w:val="center"/>
              <w:rPr>
                <w:noProof/>
                <w:color w:val="000000"/>
                <w:sz w:val="16"/>
              </w:rPr>
            </w:pPr>
          </w:p>
        </w:tc>
        <w:tc>
          <w:tcPr>
            <w:tcW w:w="428" w:type="dxa"/>
            <w:noWrap/>
            <w:vAlign w:val="center"/>
            <w:hideMark/>
          </w:tcPr>
          <w:p>
            <w:pPr>
              <w:spacing w:before="20" w:after="20"/>
              <w:jc w:val="center"/>
              <w:rPr>
                <w:noProof/>
                <w:color w:val="000000"/>
                <w:sz w:val="16"/>
              </w:rPr>
            </w:pPr>
          </w:p>
        </w:tc>
        <w:tc>
          <w:tcPr>
            <w:tcW w:w="448" w:type="dxa"/>
            <w:noWrap/>
            <w:vAlign w:val="center"/>
            <w:hideMark/>
          </w:tcPr>
          <w:p>
            <w:pPr>
              <w:spacing w:before="20" w:after="20"/>
              <w:jc w:val="center"/>
              <w:rPr>
                <w:noProof/>
                <w:color w:val="000000"/>
                <w:sz w:val="16"/>
              </w:rPr>
            </w:pPr>
          </w:p>
        </w:tc>
        <w:tc>
          <w:tcPr>
            <w:tcW w:w="480" w:type="dxa"/>
            <w:noWrap/>
            <w:vAlign w:val="center"/>
            <w:hideMark/>
          </w:tcPr>
          <w:p>
            <w:pPr>
              <w:spacing w:before="20" w:after="20"/>
              <w:jc w:val="center"/>
              <w:rPr>
                <w:noProof/>
                <w:color w:val="000000"/>
                <w:sz w:val="16"/>
              </w:rPr>
            </w:pPr>
          </w:p>
        </w:tc>
        <w:tc>
          <w:tcPr>
            <w:tcW w:w="477"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p>
        </w:tc>
        <w:tc>
          <w:tcPr>
            <w:tcW w:w="450" w:type="dxa"/>
            <w:noWrap/>
            <w:vAlign w:val="center"/>
            <w:hideMark/>
          </w:tcPr>
          <w:p>
            <w:pPr>
              <w:spacing w:before="20" w:after="20"/>
              <w:jc w:val="center"/>
              <w:rPr>
                <w:noProof/>
                <w:color w:val="000000"/>
                <w:sz w:val="16"/>
              </w:rPr>
            </w:pPr>
            <w:r>
              <w:rPr>
                <w:noProof/>
                <w:color w:val="000000"/>
                <w:sz w:val="16"/>
              </w:rPr>
              <w:t>x</w:t>
            </w:r>
          </w:p>
        </w:tc>
        <w:tc>
          <w:tcPr>
            <w:tcW w:w="436" w:type="dxa"/>
            <w:noWrap/>
            <w:vAlign w:val="center"/>
            <w:hideMark/>
          </w:tcPr>
          <w:p>
            <w:pPr>
              <w:spacing w:before="20" w:after="20"/>
              <w:jc w:val="center"/>
              <w:rPr>
                <w:noProof/>
                <w:color w:val="000000"/>
                <w:sz w:val="16"/>
              </w:rPr>
            </w:pPr>
          </w:p>
        </w:tc>
        <w:tc>
          <w:tcPr>
            <w:tcW w:w="443" w:type="dxa"/>
            <w:noWrap/>
            <w:vAlign w:val="center"/>
            <w:hideMark/>
          </w:tcPr>
          <w:p>
            <w:pPr>
              <w:spacing w:before="20" w:after="20"/>
              <w:jc w:val="center"/>
              <w:rPr>
                <w:noProof/>
                <w:color w:val="000000"/>
                <w:sz w:val="16"/>
              </w:rPr>
            </w:pPr>
          </w:p>
        </w:tc>
        <w:tc>
          <w:tcPr>
            <w:tcW w:w="478" w:type="dxa"/>
            <w:noWrap/>
            <w:vAlign w:val="center"/>
            <w:hideMark/>
          </w:tcPr>
          <w:p>
            <w:pPr>
              <w:spacing w:before="20" w:after="20"/>
              <w:jc w:val="center"/>
              <w:rPr>
                <w:noProof/>
                <w:color w:val="000000"/>
                <w:sz w:val="16"/>
              </w:rPr>
            </w:pPr>
          </w:p>
        </w:tc>
        <w:tc>
          <w:tcPr>
            <w:tcW w:w="432" w:type="dxa"/>
            <w:noWrap/>
            <w:vAlign w:val="center"/>
            <w:hideMark/>
          </w:tcPr>
          <w:p>
            <w:pPr>
              <w:spacing w:before="20" w:after="20"/>
              <w:jc w:val="center"/>
              <w:rPr>
                <w:noProof/>
                <w:color w:val="000000"/>
                <w:sz w:val="16"/>
              </w:rPr>
            </w:pPr>
          </w:p>
        </w:tc>
        <w:tc>
          <w:tcPr>
            <w:tcW w:w="454" w:type="dxa"/>
            <w:noWrap/>
            <w:vAlign w:val="center"/>
            <w:hideMark/>
          </w:tcPr>
          <w:p>
            <w:pPr>
              <w:spacing w:before="20" w:after="20"/>
              <w:jc w:val="center"/>
              <w:rPr>
                <w:noProof/>
                <w:color w:val="000000"/>
                <w:sz w:val="16"/>
              </w:rPr>
            </w:pPr>
            <w:r>
              <w:rPr>
                <w:noProof/>
                <w:color w:val="000000"/>
                <w:sz w:val="16"/>
              </w:rPr>
              <w:t>x</w:t>
            </w:r>
          </w:p>
        </w:tc>
        <w:tc>
          <w:tcPr>
            <w:tcW w:w="408" w:type="dxa"/>
            <w:noWrap/>
            <w:vAlign w:val="center"/>
            <w:hideMark/>
          </w:tcPr>
          <w:p>
            <w:pPr>
              <w:spacing w:before="20" w:after="20"/>
              <w:jc w:val="center"/>
              <w:rPr>
                <w:noProof/>
                <w:color w:val="000000"/>
                <w:sz w:val="16"/>
              </w:rPr>
            </w:pPr>
            <w:r>
              <w:rPr>
                <w:noProof/>
                <w:color w:val="000000"/>
                <w:sz w:val="16"/>
              </w:rPr>
              <w:t>x</w:t>
            </w:r>
          </w:p>
        </w:tc>
        <w:tc>
          <w:tcPr>
            <w:tcW w:w="439" w:type="dxa"/>
            <w:noWrap/>
            <w:vAlign w:val="center"/>
            <w:hideMark/>
          </w:tcPr>
          <w:p>
            <w:pPr>
              <w:spacing w:before="20" w:after="20"/>
              <w:jc w:val="center"/>
              <w:rPr>
                <w:noProof/>
                <w:color w:val="000000"/>
                <w:sz w:val="16"/>
              </w:rPr>
            </w:pPr>
          </w:p>
        </w:tc>
        <w:tc>
          <w:tcPr>
            <w:tcW w:w="470" w:type="dxa"/>
            <w:noWrap/>
            <w:vAlign w:val="center"/>
            <w:hideMark/>
          </w:tcPr>
          <w:p>
            <w:pPr>
              <w:spacing w:before="20" w:after="20"/>
              <w:jc w:val="center"/>
              <w:rPr>
                <w:noProof/>
                <w:color w:val="000000"/>
                <w:sz w:val="16"/>
              </w:rPr>
            </w:pPr>
          </w:p>
        </w:tc>
        <w:tc>
          <w:tcPr>
            <w:tcW w:w="647" w:type="dxa"/>
            <w:vAlign w:val="center"/>
          </w:tcPr>
          <w:p>
            <w:pPr>
              <w:spacing w:before="20" w:after="20"/>
              <w:jc w:val="center"/>
              <w:rPr>
                <w:noProof/>
                <w:color w:val="000000"/>
                <w:sz w:val="16"/>
              </w:rPr>
            </w:pPr>
            <w:r>
              <w:rPr>
                <w:noProof/>
                <w:color w:val="000000"/>
                <w:sz w:val="16"/>
              </w:rPr>
              <w:t>6</w:t>
            </w:r>
          </w:p>
        </w:tc>
      </w:tr>
    </w:tbl>
    <w:p>
      <w:pPr>
        <w:pStyle w:val="Notes"/>
        <w:rPr>
          <w:rFonts w:cs="Times New Roman"/>
          <w:noProof/>
        </w:rPr>
      </w:pPr>
      <w:r>
        <w:rPr>
          <w:rFonts w:cs="Times New Roman"/>
          <w:noProof/>
        </w:rPr>
        <w:t xml:space="preserve">*Note: Information provided by action owner based on the following Commission document on the CEF eProcurement Digital Service Infrastructure (November 2018): </w:t>
      </w:r>
      <w:hyperlink r:id="rId248" w:history="1">
        <w:r>
          <w:rPr>
            <w:rStyle w:val="Hyperlink"/>
            <w:rFonts w:cs="Times New Roman"/>
            <w:noProof/>
          </w:rPr>
          <w:t>https://ec.europa.eu/inea/sites/inea/files/dsi_fiche_eprocurement.pdf</w:t>
        </w:r>
      </w:hyperlink>
      <w:r>
        <w:rPr>
          <w:rFonts w:cs="Times New Roman"/>
          <w:noProof/>
        </w:rPr>
        <w:t xml:space="preserve"> </w:t>
      </w:r>
    </w:p>
    <w:p>
      <w:pPr>
        <w:pStyle w:val="Notes"/>
        <w:rPr>
          <w:rFonts w:cs="Times New Roman"/>
          <w:noProof/>
        </w:rPr>
      </w:pPr>
      <w:r>
        <w:rPr>
          <w:rFonts w:cs="Times New Roman"/>
          <w:noProof/>
        </w:rPr>
        <w:t>**Note: Information provided by action owner.</w:t>
      </w:r>
    </w:p>
    <w:p>
      <w:pPr>
        <w:spacing w:line="240" w:lineRule="auto"/>
        <w:jc w:val="both"/>
        <w:rPr>
          <w:rFonts w:cs="Times New Roman"/>
          <w:i/>
          <w:noProof/>
          <w:sz w:val="20"/>
          <w:szCs w:val="20"/>
          <w:highlight w:val="yellow"/>
          <w:lang w:val="en-GB"/>
        </w:rPr>
      </w:pPr>
      <w:r>
        <w:rPr>
          <w:rFonts w:cs="Times New Roman"/>
          <w:i/>
          <w:noProof/>
          <w:sz w:val="20"/>
          <w:szCs w:val="20"/>
          <w:lang w:val="en-GB"/>
        </w:rPr>
        <w:t xml:space="preserve">Source: </w:t>
      </w:r>
      <w:hyperlink r:id="rId249" w:history="1">
        <w:r>
          <w:rPr>
            <w:rStyle w:val="Hyperlink"/>
            <w:rFonts w:cs="Times New Roman"/>
            <w:i/>
            <w:noProof/>
            <w:sz w:val="20"/>
            <w:lang w:val="en-GB"/>
          </w:rPr>
          <w:t>CEPS final study</w:t>
        </w:r>
      </w:hyperlink>
      <w:r>
        <w:rPr>
          <w:rFonts w:cs="Times New Roman"/>
          <w:i/>
          <w:noProof/>
          <w:sz w:val="20"/>
          <w:szCs w:val="20"/>
          <w:lang w:val="en-GB"/>
        </w:rPr>
        <w:t xml:space="preserve">, which built on the data available on </w:t>
      </w:r>
      <w:hyperlink r:id="rId250" w:history="1">
        <w:r>
          <w:rPr>
            <w:rStyle w:val="Hyperlink"/>
            <w:rFonts w:cs="Times New Roman"/>
            <w:i/>
            <w:noProof/>
            <w:sz w:val="20"/>
            <w:lang w:val="en-GB"/>
          </w:rPr>
          <w:t>ISA</w:t>
        </w:r>
        <w:r>
          <w:rPr>
            <w:rStyle w:val="Hyperlink"/>
            <w:rFonts w:cs="Times New Roman"/>
            <w:i/>
            <w:noProof/>
            <w:sz w:val="20"/>
            <w:vertAlign w:val="superscript"/>
            <w:lang w:val="en-GB"/>
          </w:rPr>
          <w:t>2</w:t>
        </w:r>
        <w:r>
          <w:rPr>
            <w:rStyle w:val="Hyperlink"/>
            <w:rFonts w:cs="Times New Roman"/>
            <w:i/>
            <w:noProof/>
            <w:sz w:val="20"/>
            <w:lang w:val="en-GB"/>
          </w:rPr>
          <w:t xml:space="preserve"> Solutions webpage</w:t>
        </w:r>
      </w:hyperlink>
      <w:r>
        <w:rPr>
          <w:rFonts w:cs="Times New Roman"/>
          <w:i/>
          <w:noProof/>
          <w:sz w:val="20"/>
          <w:szCs w:val="20"/>
          <w:lang w:val="en-GB"/>
        </w:rPr>
        <w:t xml:space="preserve"> as of January 2019.</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10</w:t>
      </w:r>
      <w:r>
        <w:rPr>
          <w:rFonts w:cs="Times New Roman"/>
          <w:noProof/>
        </w:rPr>
        <w:fldChar w:fldCharType="end"/>
      </w:r>
      <w:r>
        <w:rPr>
          <w:rFonts w:cs="Times New Roman"/>
          <w:noProof/>
        </w:rPr>
        <w:t>: EU institutions using solutions provided by sampled ISA</w:t>
      </w:r>
      <w:r>
        <w:rPr>
          <w:rFonts w:cs="Times New Roman"/>
          <w:noProof/>
          <w:vertAlign w:val="superscript"/>
        </w:rPr>
        <w:t>2</w:t>
      </w:r>
      <w:r>
        <w:rPr>
          <w:rFonts w:cs="Times New Roman"/>
          <w:noProof/>
        </w:rPr>
        <w:t xml:space="preserve"> actions</w:t>
      </w:r>
    </w:p>
    <w:tbl>
      <w:tblPr>
        <w:tblStyle w:val="GridTable5Dark-Accent11"/>
        <w:tblW w:w="4932" w:type="pct"/>
        <w:tblLayout w:type="fixed"/>
        <w:tblLook w:val="0420" w:firstRow="1" w:lastRow="0" w:firstColumn="0" w:lastColumn="0" w:noHBand="0" w:noVBand="1"/>
      </w:tblPr>
      <w:tblGrid>
        <w:gridCol w:w="1938"/>
        <w:gridCol w:w="1840"/>
        <w:gridCol w:w="1840"/>
        <w:gridCol w:w="1839"/>
        <w:gridCol w:w="1839"/>
        <w:gridCol w:w="1839"/>
        <w:gridCol w:w="1839"/>
        <w:gridCol w:w="1836"/>
      </w:tblGrid>
      <w:tr>
        <w:trPr>
          <w:cnfStyle w:val="100000000000" w:firstRow="1" w:lastRow="0" w:firstColumn="0" w:lastColumn="0" w:oddVBand="0" w:evenVBand="0" w:oddHBand="0" w:evenHBand="0" w:firstRowFirstColumn="0" w:firstRowLastColumn="0" w:lastRowFirstColumn="0" w:lastRowLastColumn="0"/>
          <w:trHeight w:val="290"/>
          <w:tblHeader/>
        </w:trPr>
        <w:tc>
          <w:tcPr>
            <w:tcW w:w="654" w:type="pct"/>
            <w:noWrap/>
            <w:hideMark/>
          </w:tcPr>
          <w:p>
            <w:pPr>
              <w:spacing w:before="20" w:after="20"/>
              <w:jc w:val="center"/>
              <w:rPr>
                <w:noProof/>
                <w:sz w:val="22"/>
                <w:lang w:eastAsia="en-GB"/>
              </w:rPr>
            </w:pPr>
          </w:p>
        </w:tc>
        <w:tc>
          <w:tcPr>
            <w:tcW w:w="621" w:type="pct"/>
            <w:noWrap/>
            <w:hideMark/>
          </w:tcPr>
          <w:p>
            <w:pPr>
              <w:spacing w:before="20" w:after="20"/>
              <w:jc w:val="center"/>
              <w:rPr>
                <w:noProof/>
                <w:sz w:val="22"/>
                <w:lang w:eastAsia="en-GB"/>
              </w:rPr>
            </w:pPr>
            <w:r>
              <w:rPr>
                <w:noProof/>
                <w:sz w:val="22"/>
                <w:lang w:eastAsia="en-GB"/>
              </w:rPr>
              <w:t>European Commission</w:t>
            </w:r>
          </w:p>
        </w:tc>
        <w:tc>
          <w:tcPr>
            <w:tcW w:w="621" w:type="pct"/>
            <w:noWrap/>
            <w:hideMark/>
          </w:tcPr>
          <w:p>
            <w:pPr>
              <w:spacing w:before="20" w:after="20"/>
              <w:jc w:val="center"/>
              <w:rPr>
                <w:noProof/>
                <w:sz w:val="22"/>
                <w:lang w:eastAsia="en-GB"/>
              </w:rPr>
            </w:pPr>
            <w:r>
              <w:rPr>
                <w:noProof/>
                <w:sz w:val="22"/>
                <w:lang w:eastAsia="en-GB"/>
              </w:rPr>
              <w:t>Council of the EU</w:t>
            </w:r>
          </w:p>
        </w:tc>
        <w:tc>
          <w:tcPr>
            <w:tcW w:w="621" w:type="pct"/>
            <w:noWrap/>
            <w:hideMark/>
          </w:tcPr>
          <w:p>
            <w:pPr>
              <w:spacing w:before="20" w:after="20"/>
              <w:jc w:val="center"/>
              <w:rPr>
                <w:noProof/>
                <w:sz w:val="22"/>
                <w:lang w:eastAsia="en-GB"/>
              </w:rPr>
            </w:pPr>
            <w:r>
              <w:rPr>
                <w:noProof/>
                <w:sz w:val="22"/>
                <w:lang w:eastAsia="en-GB"/>
              </w:rPr>
              <w:t>European Parliament</w:t>
            </w:r>
          </w:p>
        </w:tc>
        <w:tc>
          <w:tcPr>
            <w:tcW w:w="621" w:type="pct"/>
            <w:noWrap/>
            <w:hideMark/>
          </w:tcPr>
          <w:p>
            <w:pPr>
              <w:spacing w:before="20" w:after="20"/>
              <w:jc w:val="center"/>
              <w:rPr>
                <w:noProof/>
                <w:sz w:val="22"/>
                <w:lang w:eastAsia="en-GB"/>
              </w:rPr>
            </w:pPr>
            <w:r>
              <w:rPr>
                <w:noProof/>
                <w:sz w:val="22"/>
                <w:lang w:eastAsia="en-GB"/>
              </w:rPr>
              <w:t>Publications Office of the EU</w:t>
            </w:r>
          </w:p>
        </w:tc>
        <w:tc>
          <w:tcPr>
            <w:tcW w:w="621" w:type="pct"/>
            <w:noWrap/>
            <w:hideMark/>
          </w:tcPr>
          <w:p>
            <w:pPr>
              <w:spacing w:before="20" w:after="20"/>
              <w:jc w:val="center"/>
              <w:rPr>
                <w:noProof/>
                <w:sz w:val="22"/>
                <w:lang w:eastAsia="en-GB"/>
              </w:rPr>
            </w:pPr>
            <w:r>
              <w:rPr>
                <w:noProof/>
                <w:sz w:val="22"/>
                <w:lang w:eastAsia="en-GB"/>
              </w:rPr>
              <w:t>European Council</w:t>
            </w:r>
          </w:p>
        </w:tc>
        <w:tc>
          <w:tcPr>
            <w:tcW w:w="621" w:type="pct"/>
            <w:noWrap/>
            <w:hideMark/>
          </w:tcPr>
          <w:p>
            <w:pPr>
              <w:spacing w:before="20" w:after="20"/>
              <w:jc w:val="center"/>
              <w:rPr>
                <w:noProof/>
                <w:sz w:val="22"/>
                <w:lang w:eastAsia="en-GB"/>
              </w:rPr>
            </w:pPr>
            <w:r>
              <w:rPr>
                <w:noProof/>
                <w:sz w:val="22"/>
                <w:lang w:eastAsia="en-GB"/>
              </w:rPr>
              <w:t>European Central Bank</w:t>
            </w:r>
          </w:p>
        </w:tc>
        <w:tc>
          <w:tcPr>
            <w:tcW w:w="620" w:type="pct"/>
          </w:tcPr>
          <w:p>
            <w:pPr>
              <w:spacing w:before="20" w:after="20"/>
              <w:jc w:val="center"/>
              <w:rPr>
                <w:noProof/>
                <w:sz w:val="22"/>
                <w:lang w:eastAsia="en-GB"/>
              </w:rPr>
            </w:pPr>
            <w:r>
              <w:rPr>
                <w:noProof/>
                <w:sz w:val="22"/>
                <w:lang w:eastAsia="en-GB"/>
              </w:rPr>
              <w:t>TOTAL</w:t>
            </w:r>
          </w:p>
        </w:tc>
      </w:tr>
      <w:tr>
        <w:trPr>
          <w:cnfStyle w:val="000000100000" w:firstRow="0" w:lastRow="0" w:firstColumn="0" w:lastColumn="0" w:oddVBand="0" w:evenVBand="0" w:oddHBand="1" w:evenHBand="0" w:firstRowFirstColumn="0" w:firstRowLastColumn="0" w:lastRowFirstColumn="0" w:lastRowLastColumn="0"/>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ADMS</w:t>
            </w:r>
          </w:p>
        </w:tc>
        <w:tc>
          <w:tcPr>
            <w:tcW w:w="621" w:type="pct"/>
            <w:noWrap/>
            <w:vAlign w:val="center"/>
            <w:hideMark/>
          </w:tcPr>
          <w:p>
            <w:pPr>
              <w:spacing w:before="20" w:after="20"/>
              <w:jc w:val="center"/>
              <w:rPr>
                <w:noProof/>
                <w:color w:val="000000"/>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p>
        </w:tc>
        <w:tc>
          <w:tcPr>
            <w:tcW w:w="621" w:type="pct"/>
            <w:noWrap/>
            <w:vAlign w:val="center"/>
            <w:hideMark/>
          </w:tcPr>
          <w:p>
            <w:pPr>
              <w:spacing w:before="20" w:after="20"/>
              <w:jc w:val="center"/>
              <w:rPr>
                <w:noProof/>
                <w:sz w:val="22"/>
                <w:lang w:eastAsia="en-GB"/>
              </w:rPr>
            </w:pPr>
          </w:p>
        </w:tc>
        <w:tc>
          <w:tcPr>
            <w:tcW w:w="620" w:type="pct"/>
            <w:vAlign w:val="center"/>
          </w:tcPr>
          <w:p>
            <w:pPr>
              <w:spacing w:before="20" w:after="20"/>
              <w:jc w:val="center"/>
              <w:rPr>
                <w:noProof/>
                <w:sz w:val="22"/>
                <w:lang w:eastAsia="en-GB"/>
              </w:rPr>
            </w:pPr>
            <w:r>
              <w:rPr>
                <w:noProof/>
                <w:sz w:val="22"/>
                <w:lang w:eastAsia="en-GB"/>
              </w:rPr>
              <w:t>1</w:t>
            </w:r>
          </w:p>
        </w:tc>
      </w:tr>
      <w:tr>
        <w:trPr>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Core Vocabularies</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 xml:space="preserve">x </w:t>
            </w:r>
          </w:p>
        </w:tc>
        <w:tc>
          <w:tcPr>
            <w:tcW w:w="621" w:type="pct"/>
            <w:noWrap/>
            <w:vAlign w:val="center"/>
            <w:hideMark/>
          </w:tcPr>
          <w:p>
            <w:pPr>
              <w:spacing w:before="20" w:after="20"/>
              <w:jc w:val="center"/>
              <w:rPr>
                <w:noProof/>
                <w:color w:val="000000"/>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r>
              <w:rPr>
                <w:noProof/>
                <w:sz w:val="22"/>
                <w:lang w:eastAsia="en-GB"/>
              </w:rPr>
              <w:t>x</w:t>
            </w: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p>
        </w:tc>
        <w:tc>
          <w:tcPr>
            <w:tcW w:w="620" w:type="pct"/>
            <w:vAlign w:val="center"/>
          </w:tcPr>
          <w:p>
            <w:pPr>
              <w:spacing w:before="20" w:after="20"/>
              <w:jc w:val="center"/>
              <w:rPr>
                <w:noProof/>
                <w:sz w:val="22"/>
                <w:lang w:eastAsia="en-GB"/>
              </w:rPr>
            </w:pPr>
            <w:r>
              <w:rPr>
                <w:noProof/>
                <w:sz w:val="22"/>
                <w:lang w:eastAsia="en-GB"/>
              </w:rPr>
              <w:t>2</w:t>
            </w:r>
          </w:p>
        </w:tc>
      </w:tr>
      <w:tr>
        <w:trPr>
          <w:cnfStyle w:val="000000100000" w:firstRow="0" w:lastRow="0" w:firstColumn="0" w:lastColumn="0" w:oddVBand="0" w:evenVBand="0" w:oddHBand="1" w:evenHBand="0" w:firstRowFirstColumn="0" w:firstRowLastColumn="0" w:lastRowFirstColumn="0" w:lastRowLastColumn="0"/>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DCAT-AP</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 xml:space="preserve">x </w:t>
            </w:r>
          </w:p>
        </w:tc>
        <w:tc>
          <w:tcPr>
            <w:tcW w:w="621" w:type="pct"/>
            <w:noWrap/>
            <w:vAlign w:val="center"/>
            <w:hideMark/>
          </w:tcPr>
          <w:p>
            <w:pPr>
              <w:spacing w:before="20" w:after="20"/>
              <w:jc w:val="center"/>
              <w:rPr>
                <w:noProof/>
                <w:color w:val="000000"/>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r>
              <w:rPr>
                <w:noProof/>
                <w:sz w:val="22"/>
                <w:lang w:eastAsia="en-GB"/>
              </w:rPr>
              <w:t>x</w:t>
            </w: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p>
        </w:tc>
        <w:tc>
          <w:tcPr>
            <w:tcW w:w="620" w:type="pct"/>
            <w:vAlign w:val="center"/>
          </w:tcPr>
          <w:p>
            <w:pPr>
              <w:spacing w:before="20" w:after="20"/>
              <w:jc w:val="center"/>
              <w:rPr>
                <w:noProof/>
                <w:sz w:val="22"/>
                <w:lang w:eastAsia="en-GB"/>
              </w:rPr>
            </w:pPr>
            <w:r>
              <w:rPr>
                <w:noProof/>
                <w:sz w:val="22"/>
                <w:lang w:eastAsia="en-GB"/>
              </w:rPr>
              <w:t>2</w:t>
            </w:r>
          </w:p>
        </w:tc>
      </w:tr>
      <w:tr>
        <w:trPr>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eCertis</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0" w:type="pct"/>
            <w:vAlign w:val="center"/>
          </w:tcPr>
          <w:p>
            <w:pPr>
              <w:spacing w:before="20" w:after="20"/>
              <w:jc w:val="center"/>
              <w:rPr>
                <w:noProof/>
                <w:color w:val="000000"/>
                <w:sz w:val="22"/>
                <w:lang w:eastAsia="en-GB"/>
              </w:rPr>
            </w:pPr>
            <w:r>
              <w:rPr>
                <w:noProof/>
                <w:color w:val="000000"/>
                <w:sz w:val="22"/>
                <w:lang w:eastAsia="en-GB"/>
              </w:rPr>
              <w:t>2</w:t>
            </w:r>
          </w:p>
        </w:tc>
      </w:tr>
      <w:tr>
        <w:trPr>
          <w:cnfStyle w:val="000000100000" w:firstRow="0" w:lastRow="0" w:firstColumn="0" w:lastColumn="0" w:oddVBand="0" w:evenVBand="0" w:oddHBand="1" w:evenHBand="0" w:firstRowFirstColumn="0" w:firstRowLastColumn="0" w:lastRowFirstColumn="0" w:lastRowLastColumn="0"/>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EIRA and CarTool</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p>
        </w:tc>
        <w:tc>
          <w:tcPr>
            <w:tcW w:w="621" w:type="pct"/>
            <w:noWrap/>
            <w:vAlign w:val="center"/>
            <w:hideMark/>
          </w:tcPr>
          <w:p>
            <w:pPr>
              <w:spacing w:before="20" w:after="20"/>
              <w:jc w:val="center"/>
              <w:rPr>
                <w:noProof/>
                <w:sz w:val="22"/>
                <w:lang w:eastAsia="en-GB"/>
              </w:rPr>
            </w:pPr>
            <w:r>
              <w:rPr>
                <w:noProof/>
                <w:sz w:val="22"/>
                <w:lang w:eastAsia="en-GB"/>
              </w:rPr>
              <w:t>x</w:t>
            </w: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p>
        </w:tc>
        <w:tc>
          <w:tcPr>
            <w:tcW w:w="620" w:type="pct"/>
            <w:vAlign w:val="center"/>
          </w:tcPr>
          <w:p>
            <w:pPr>
              <w:spacing w:before="20" w:after="20"/>
              <w:jc w:val="center"/>
              <w:rPr>
                <w:noProof/>
                <w:sz w:val="22"/>
                <w:lang w:eastAsia="en-GB"/>
              </w:rPr>
            </w:pPr>
            <w:r>
              <w:rPr>
                <w:noProof/>
                <w:sz w:val="22"/>
                <w:lang w:eastAsia="en-GB"/>
              </w:rPr>
              <w:t>3</w:t>
            </w:r>
          </w:p>
        </w:tc>
      </w:tr>
      <w:tr>
        <w:trPr>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e-TrustEx</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vAlign w:val="center"/>
          </w:tcPr>
          <w:p>
            <w:pPr>
              <w:spacing w:before="20" w:after="20"/>
              <w:jc w:val="center"/>
              <w:rPr>
                <w:noProof/>
                <w:color w:val="000000"/>
                <w:sz w:val="22"/>
                <w:lang w:eastAsia="en-GB"/>
              </w:rPr>
            </w:pPr>
            <w:r>
              <w:rPr>
                <w:noProof/>
                <w:color w:val="000000"/>
                <w:sz w:val="22"/>
                <w:lang w:eastAsia="en-GB"/>
              </w:rPr>
              <w:t>x</w:t>
            </w:r>
          </w:p>
        </w:tc>
        <w:tc>
          <w:tcPr>
            <w:tcW w:w="621" w:type="pct"/>
            <w:vAlign w:val="center"/>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sz w:val="22"/>
                <w:lang w:eastAsia="en-GB"/>
              </w:rPr>
            </w:pPr>
            <w:r>
              <w:rPr>
                <w:noProof/>
                <w:sz w:val="22"/>
                <w:lang w:eastAsia="en-GB"/>
              </w:rPr>
              <w:t>x</w:t>
            </w:r>
          </w:p>
        </w:tc>
        <w:tc>
          <w:tcPr>
            <w:tcW w:w="621" w:type="pct"/>
            <w:noWrap/>
            <w:vAlign w:val="center"/>
            <w:hideMark/>
          </w:tcPr>
          <w:p>
            <w:pPr>
              <w:spacing w:before="20" w:after="20"/>
              <w:jc w:val="center"/>
              <w:rPr>
                <w:noProof/>
                <w:sz w:val="22"/>
                <w:lang w:eastAsia="en-GB"/>
              </w:rPr>
            </w:pPr>
            <w:r>
              <w:rPr>
                <w:noProof/>
                <w:sz w:val="22"/>
                <w:lang w:eastAsia="en-GB"/>
              </w:rPr>
              <w:t>x</w:t>
            </w:r>
          </w:p>
        </w:tc>
        <w:tc>
          <w:tcPr>
            <w:tcW w:w="620" w:type="pct"/>
            <w:vAlign w:val="center"/>
          </w:tcPr>
          <w:p>
            <w:pPr>
              <w:spacing w:before="20" w:after="20"/>
              <w:jc w:val="center"/>
              <w:rPr>
                <w:noProof/>
                <w:sz w:val="22"/>
                <w:lang w:eastAsia="en-GB"/>
              </w:rPr>
            </w:pPr>
            <w:r>
              <w:rPr>
                <w:noProof/>
                <w:sz w:val="22"/>
                <w:lang w:eastAsia="en-GB"/>
              </w:rPr>
              <w:t>6</w:t>
            </w:r>
          </w:p>
        </w:tc>
      </w:tr>
      <w:tr>
        <w:trPr>
          <w:cnfStyle w:val="000000100000" w:firstRow="0" w:lastRow="0" w:firstColumn="0" w:lastColumn="0" w:oddVBand="0" w:evenVBand="0" w:oddHBand="1" w:evenHBand="0" w:firstRowFirstColumn="0" w:firstRowLastColumn="0" w:lastRowFirstColumn="0" w:lastRowLastColumn="0"/>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EUSurvey</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 xml:space="preserve">x </w:t>
            </w:r>
          </w:p>
        </w:tc>
        <w:tc>
          <w:tcPr>
            <w:tcW w:w="621" w:type="pct"/>
            <w:vAlign w:val="center"/>
          </w:tcPr>
          <w:p>
            <w:pPr>
              <w:spacing w:before="20" w:after="20"/>
              <w:jc w:val="center"/>
              <w:rPr>
                <w:noProof/>
                <w:color w:val="000000"/>
                <w:sz w:val="22"/>
                <w:lang w:eastAsia="en-GB"/>
              </w:rPr>
            </w:pP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p>
        </w:tc>
        <w:tc>
          <w:tcPr>
            <w:tcW w:w="620" w:type="pct"/>
            <w:vAlign w:val="center"/>
          </w:tcPr>
          <w:p>
            <w:pPr>
              <w:spacing w:before="20" w:after="20"/>
              <w:jc w:val="center"/>
              <w:rPr>
                <w:noProof/>
                <w:color w:val="000000"/>
                <w:sz w:val="22"/>
                <w:lang w:eastAsia="en-GB"/>
              </w:rPr>
            </w:pPr>
            <w:r>
              <w:rPr>
                <w:noProof/>
                <w:color w:val="000000"/>
                <w:sz w:val="22"/>
                <w:lang w:eastAsia="en-GB"/>
              </w:rPr>
              <w:t>4</w:t>
            </w:r>
          </w:p>
        </w:tc>
      </w:tr>
      <w:tr>
        <w:trPr>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GeoDCAT-AP</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 xml:space="preserve">x </w:t>
            </w:r>
          </w:p>
        </w:tc>
        <w:tc>
          <w:tcPr>
            <w:tcW w:w="621" w:type="pct"/>
            <w:vAlign w:val="center"/>
          </w:tcPr>
          <w:p>
            <w:pPr>
              <w:spacing w:before="20" w:after="20"/>
              <w:jc w:val="center"/>
              <w:rPr>
                <w:noProof/>
                <w:color w:val="000000"/>
                <w:sz w:val="22"/>
                <w:lang w:eastAsia="en-GB"/>
              </w:rPr>
            </w:pPr>
          </w:p>
        </w:tc>
        <w:tc>
          <w:tcPr>
            <w:tcW w:w="621" w:type="pct"/>
            <w:vAlign w:val="center"/>
          </w:tcPr>
          <w:p>
            <w:pPr>
              <w:spacing w:before="20" w:after="20"/>
              <w:jc w:val="center"/>
              <w:rPr>
                <w:noProof/>
                <w:color w:val="000000"/>
                <w:sz w:val="22"/>
                <w:lang w:eastAsia="en-GB"/>
              </w:rPr>
            </w:pPr>
          </w:p>
        </w:tc>
        <w:tc>
          <w:tcPr>
            <w:tcW w:w="621" w:type="pct"/>
            <w:noWrap/>
            <w:vAlign w:val="center"/>
            <w:hideMark/>
          </w:tcPr>
          <w:p>
            <w:pPr>
              <w:spacing w:before="20" w:after="20"/>
              <w:jc w:val="center"/>
              <w:rPr>
                <w:noProof/>
                <w:color w:val="000000"/>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p>
        </w:tc>
        <w:tc>
          <w:tcPr>
            <w:tcW w:w="620" w:type="pct"/>
            <w:vAlign w:val="center"/>
          </w:tcPr>
          <w:p>
            <w:pPr>
              <w:spacing w:before="20" w:after="20"/>
              <w:jc w:val="center"/>
              <w:rPr>
                <w:noProof/>
                <w:sz w:val="22"/>
                <w:lang w:eastAsia="en-GB"/>
              </w:rPr>
            </w:pPr>
            <w:r>
              <w:rPr>
                <w:noProof/>
                <w:sz w:val="22"/>
                <w:lang w:eastAsia="en-GB"/>
              </w:rPr>
              <w:t>1</w:t>
            </w:r>
          </w:p>
        </w:tc>
      </w:tr>
      <w:tr>
        <w:trPr>
          <w:cnfStyle w:val="000000100000" w:firstRow="0" w:lastRow="0" w:firstColumn="0" w:lastColumn="0" w:oddVBand="0" w:evenVBand="0" w:oddHBand="1" w:evenHBand="0" w:firstRowFirstColumn="0" w:firstRowLastColumn="0" w:lastRowFirstColumn="0" w:lastRowLastColumn="0"/>
          <w:trHeight w:val="290"/>
        </w:trPr>
        <w:tc>
          <w:tcPr>
            <w:tcW w:w="654" w:type="pct"/>
            <w:noWrap/>
            <w:vAlign w:val="center"/>
            <w:hideMark/>
          </w:tcPr>
          <w:p>
            <w:pPr>
              <w:spacing w:before="20" w:after="20"/>
              <w:jc w:val="center"/>
              <w:rPr>
                <w:b/>
                <w:noProof/>
                <w:color w:val="000000"/>
                <w:sz w:val="22"/>
                <w:lang w:eastAsia="en-GB"/>
              </w:rPr>
            </w:pPr>
            <w:r>
              <w:rPr>
                <w:b/>
                <w:noProof/>
                <w:color w:val="000000"/>
                <w:sz w:val="22"/>
                <w:lang w:eastAsia="en-GB"/>
              </w:rPr>
              <w:t>Open e-Prior</w:t>
            </w:r>
          </w:p>
        </w:tc>
        <w:tc>
          <w:tcPr>
            <w:tcW w:w="621" w:type="pct"/>
            <w:noWrap/>
            <w:vAlign w:val="center"/>
            <w:hideMark/>
          </w:tcPr>
          <w:p>
            <w:pPr>
              <w:spacing w:before="20" w:after="20"/>
              <w:jc w:val="center"/>
              <w:rPr>
                <w:noProof/>
                <w:color w:val="000000"/>
                <w:sz w:val="22"/>
                <w:lang w:eastAsia="en-GB"/>
              </w:rPr>
            </w:pPr>
            <w:r>
              <w:rPr>
                <w:noProof/>
                <w:color w:val="000000"/>
                <w:sz w:val="22"/>
                <w:lang w:eastAsia="en-GB"/>
              </w:rPr>
              <w:t>x</w:t>
            </w:r>
          </w:p>
        </w:tc>
        <w:tc>
          <w:tcPr>
            <w:tcW w:w="621" w:type="pct"/>
            <w:noWrap/>
            <w:vAlign w:val="center"/>
            <w:hideMark/>
          </w:tcPr>
          <w:p>
            <w:pPr>
              <w:spacing w:before="20" w:after="20"/>
              <w:jc w:val="center"/>
              <w:rPr>
                <w:noProof/>
                <w:color w:val="000000"/>
                <w:sz w:val="22"/>
                <w:lang w:eastAsia="en-GB"/>
              </w:rPr>
            </w:pP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r>
              <w:rPr>
                <w:noProof/>
                <w:sz w:val="22"/>
                <w:lang w:eastAsia="en-GB"/>
              </w:rPr>
              <w:t>x</w:t>
            </w:r>
          </w:p>
        </w:tc>
        <w:tc>
          <w:tcPr>
            <w:tcW w:w="621" w:type="pct"/>
            <w:noWrap/>
            <w:vAlign w:val="center"/>
            <w:hideMark/>
          </w:tcPr>
          <w:p>
            <w:pPr>
              <w:spacing w:before="20" w:after="20"/>
              <w:jc w:val="center"/>
              <w:rPr>
                <w:noProof/>
                <w:sz w:val="22"/>
                <w:lang w:eastAsia="en-GB"/>
              </w:rPr>
            </w:pPr>
          </w:p>
        </w:tc>
        <w:tc>
          <w:tcPr>
            <w:tcW w:w="621" w:type="pct"/>
            <w:noWrap/>
            <w:vAlign w:val="center"/>
            <w:hideMark/>
          </w:tcPr>
          <w:p>
            <w:pPr>
              <w:spacing w:before="20" w:after="20"/>
              <w:jc w:val="center"/>
              <w:rPr>
                <w:noProof/>
                <w:sz w:val="22"/>
                <w:lang w:eastAsia="en-GB"/>
              </w:rPr>
            </w:pPr>
          </w:p>
        </w:tc>
        <w:tc>
          <w:tcPr>
            <w:tcW w:w="620" w:type="pct"/>
            <w:vAlign w:val="center"/>
          </w:tcPr>
          <w:p>
            <w:pPr>
              <w:spacing w:before="20" w:after="20"/>
              <w:jc w:val="center"/>
              <w:rPr>
                <w:noProof/>
                <w:sz w:val="22"/>
                <w:lang w:eastAsia="en-GB"/>
              </w:rPr>
            </w:pPr>
            <w:r>
              <w:rPr>
                <w:noProof/>
                <w:sz w:val="22"/>
                <w:lang w:eastAsia="en-GB"/>
              </w:rPr>
              <w:t>2</w:t>
            </w:r>
          </w:p>
        </w:tc>
      </w:tr>
      <w:tr>
        <w:trPr>
          <w:trHeight w:val="290"/>
        </w:trPr>
        <w:tc>
          <w:tcPr>
            <w:tcW w:w="654" w:type="pct"/>
            <w:noWrap/>
            <w:hideMark/>
          </w:tcPr>
          <w:p>
            <w:pPr>
              <w:spacing w:before="20" w:after="20"/>
              <w:jc w:val="center"/>
              <w:rPr>
                <w:b/>
                <w:noProof/>
                <w:color w:val="000000"/>
                <w:sz w:val="22"/>
                <w:lang w:eastAsia="en-GB"/>
              </w:rPr>
            </w:pPr>
            <w:r>
              <w:rPr>
                <w:b/>
                <w:noProof/>
                <w:color w:val="000000"/>
                <w:sz w:val="22"/>
                <w:lang w:eastAsia="en-GB"/>
              </w:rPr>
              <w:t>Re3gistry</w:t>
            </w:r>
          </w:p>
        </w:tc>
        <w:tc>
          <w:tcPr>
            <w:tcW w:w="621" w:type="pct"/>
            <w:noWrap/>
            <w:hideMark/>
          </w:tcPr>
          <w:p>
            <w:pPr>
              <w:spacing w:before="20" w:after="20"/>
              <w:jc w:val="center"/>
              <w:rPr>
                <w:noProof/>
                <w:color w:val="000000"/>
                <w:sz w:val="22"/>
                <w:lang w:eastAsia="en-GB"/>
              </w:rPr>
            </w:pPr>
            <w:r>
              <w:rPr>
                <w:noProof/>
                <w:color w:val="000000"/>
                <w:sz w:val="22"/>
                <w:lang w:eastAsia="en-GB"/>
              </w:rPr>
              <w:t>x</w:t>
            </w:r>
          </w:p>
        </w:tc>
        <w:tc>
          <w:tcPr>
            <w:tcW w:w="621" w:type="pct"/>
            <w:noWrap/>
            <w:hideMark/>
          </w:tcPr>
          <w:p>
            <w:pPr>
              <w:spacing w:before="20" w:after="20"/>
              <w:jc w:val="center"/>
              <w:rPr>
                <w:noProof/>
                <w:color w:val="000000"/>
                <w:sz w:val="22"/>
                <w:lang w:eastAsia="en-GB"/>
              </w:rPr>
            </w:pPr>
          </w:p>
        </w:tc>
        <w:tc>
          <w:tcPr>
            <w:tcW w:w="621" w:type="pct"/>
            <w:noWrap/>
            <w:hideMark/>
          </w:tcPr>
          <w:p>
            <w:pPr>
              <w:spacing w:before="20" w:after="20"/>
              <w:jc w:val="center"/>
              <w:rPr>
                <w:noProof/>
                <w:sz w:val="22"/>
                <w:lang w:eastAsia="en-GB"/>
              </w:rPr>
            </w:pPr>
          </w:p>
        </w:tc>
        <w:tc>
          <w:tcPr>
            <w:tcW w:w="621" w:type="pct"/>
            <w:noWrap/>
            <w:hideMark/>
          </w:tcPr>
          <w:p>
            <w:pPr>
              <w:spacing w:before="20" w:after="20"/>
              <w:jc w:val="center"/>
              <w:rPr>
                <w:noProof/>
                <w:sz w:val="22"/>
                <w:lang w:eastAsia="en-GB"/>
              </w:rPr>
            </w:pPr>
          </w:p>
        </w:tc>
        <w:tc>
          <w:tcPr>
            <w:tcW w:w="621" w:type="pct"/>
            <w:noWrap/>
            <w:hideMark/>
          </w:tcPr>
          <w:p>
            <w:pPr>
              <w:spacing w:before="20" w:after="20"/>
              <w:jc w:val="center"/>
              <w:rPr>
                <w:noProof/>
                <w:sz w:val="22"/>
                <w:lang w:eastAsia="en-GB"/>
              </w:rPr>
            </w:pPr>
          </w:p>
        </w:tc>
        <w:tc>
          <w:tcPr>
            <w:tcW w:w="621" w:type="pct"/>
            <w:noWrap/>
            <w:hideMark/>
          </w:tcPr>
          <w:p>
            <w:pPr>
              <w:spacing w:before="20" w:after="20"/>
              <w:jc w:val="center"/>
              <w:rPr>
                <w:noProof/>
                <w:sz w:val="22"/>
                <w:lang w:eastAsia="en-GB"/>
              </w:rPr>
            </w:pPr>
          </w:p>
        </w:tc>
        <w:tc>
          <w:tcPr>
            <w:tcW w:w="620" w:type="pct"/>
          </w:tcPr>
          <w:p>
            <w:pPr>
              <w:spacing w:before="20" w:after="20"/>
              <w:jc w:val="center"/>
              <w:rPr>
                <w:noProof/>
                <w:sz w:val="22"/>
                <w:lang w:eastAsia="en-GB"/>
              </w:rPr>
            </w:pPr>
            <w:r>
              <w:rPr>
                <w:noProof/>
                <w:sz w:val="22"/>
                <w:lang w:eastAsia="en-GB"/>
              </w:rPr>
              <w:t>1</w:t>
            </w:r>
          </w:p>
        </w:tc>
      </w:tr>
      <w:tr>
        <w:trPr>
          <w:cnfStyle w:val="000000100000" w:firstRow="0" w:lastRow="0" w:firstColumn="0" w:lastColumn="0" w:oddVBand="0" w:evenVBand="0" w:oddHBand="1" w:evenHBand="0" w:firstRowFirstColumn="0" w:firstRowLastColumn="0" w:lastRowFirstColumn="0" w:lastRowLastColumn="0"/>
          <w:trHeight w:val="290"/>
        </w:trPr>
        <w:tc>
          <w:tcPr>
            <w:tcW w:w="654" w:type="pct"/>
            <w:noWrap/>
            <w:hideMark/>
          </w:tcPr>
          <w:p>
            <w:pPr>
              <w:spacing w:before="20" w:after="20"/>
              <w:jc w:val="center"/>
              <w:rPr>
                <w:b/>
                <w:noProof/>
                <w:color w:val="000000"/>
                <w:sz w:val="22"/>
                <w:lang w:eastAsia="en-GB"/>
              </w:rPr>
            </w:pPr>
            <w:r>
              <w:rPr>
                <w:b/>
                <w:noProof/>
                <w:color w:val="000000"/>
                <w:sz w:val="22"/>
                <w:lang w:eastAsia="en-GB"/>
              </w:rPr>
              <w:t>RegDel</w:t>
            </w:r>
          </w:p>
        </w:tc>
        <w:tc>
          <w:tcPr>
            <w:tcW w:w="621" w:type="pct"/>
            <w:noWrap/>
            <w:hideMark/>
          </w:tcPr>
          <w:p>
            <w:pPr>
              <w:spacing w:before="20" w:after="20"/>
              <w:jc w:val="center"/>
              <w:rPr>
                <w:noProof/>
                <w:color w:val="000000"/>
                <w:sz w:val="22"/>
                <w:lang w:eastAsia="en-GB"/>
              </w:rPr>
            </w:pPr>
            <w:r>
              <w:rPr>
                <w:noProof/>
                <w:color w:val="000000"/>
                <w:sz w:val="22"/>
                <w:lang w:eastAsia="en-GB"/>
              </w:rPr>
              <w:t>x</w:t>
            </w:r>
          </w:p>
        </w:tc>
        <w:tc>
          <w:tcPr>
            <w:tcW w:w="621" w:type="pct"/>
            <w:noWrap/>
            <w:hideMark/>
          </w:tcPr>
          <w:p>
            <w:pPr>
              <w:spacing w:before="20" w:after="20"/>
              <w:jc w:val="center"/>
              <w:rPr>
                <w:noProof/>
                <w:color w:val="000000"/>
                <w:sz w:val="22"/>
                <w:lang w:eastAsia="en-GB"/>
              </w:rPr>
            </w:pPr>
            <w:r>
              <w:rPr>
                <w:noProof/>
                <w:color w:val="000000"/>
                <w:sz w:val="22"/>
                <w:lang w:eastAsia="en-GB"/>
              </w:rPr>
              <w:t>x</w:t>
            </w:r>
          </w:p>
        </w:tc>
        <w:tc>
          <w:tcPr>
            <w:tcW w:w="621" w:type="pct"/>
            <w:noWrap/>
            <w:hideMark/>
          </w:tcPr>
          <w:p>
            <w:pPr>
              <w:spacing w:before="20" w:after="20"/>
              <w:jc w:val="center"/>
              <w:rPr>
                <w:noProof/>
                <w:color w:val="000000"/>
                <w:sz w:val="22"/>
                <w:lang w:eastAsia="en-GB"/>
              </w:rPr>
            </w:pPr>
            <w:r>
              <w:rPr>
                <w:noProof/>
                <w:color w:val="000000"/>
                <w:sz w:val="22"/>
                <w:lang w:eastAsia="en-GB"/>
              </w:rPr>
              <w:t>x</w:t>
            </w:r>
          </w:p>
        </w:tc>
        <w:tc>
          <w:tcPr>
            <w:tcW w:w="621" w:type="pct"/>
            <w:noWrap/>
            <w:hideMark/>
          </w:tcPr>
          <w:p>
            <w:pPr>
              <w:spacing w:before="20" w:after="20"/>
              <w:jc w:val="center"/>
              <w:rPr>
                <w:noProof/>
                <w:color w:val="000000"/>
                <w:sz w:val="22"/>
                <w:lang w:eastAsia="en-GB"/>
              </w:rPr>
            </w:pPr>
            <w:r>
              <w:rPr>
                <w:noProof/>
                <w:color w:val="000000"/>
                <w:sz w:val="22"/>
                <w:lang w:eastAsia="en-GB"/>
              </w:rPr>
              <w:t>x</w:t>
            </w:r>
          </w:p>
        </w:tc>
        <w:tc>
          <w:tcPr>
            <w:tcW w:w="621" w:type="pct"/>
            <w:noWrap/>
            <w:hideMark/>
          </w:tcPr>
          <w:p>
            <w:pPr>
              <w:spacing w:before="20" w:after="20"/>
              <w:jc w:val="center"/>
              <w:rPr>
                <w:noProof/>
                <w:sz w:val="22"/>
                <w:lang w:eastAsia="en-GB"/>
              </w:rPr>
            </w:pPr>
          </w:p>
        </w:tc>
        <w:tc>
          <w:tcPr>
            <w:tcW w:w="621" w:type="pct"/>
            <w:noWrap/>
            <w:hideMark/>
          </w:tcPr>
          <w:p>
            <w:pPr>
              <w:spacing w:before="20" w:after="20"/>
              <w:jc w:val="center"/>
              <w:rPr>
                <w:noProof/>
                <w:sz w:val="22"/>
                <w:lang w:eastAsia="en-GB"/>
              </w:rPr>
            </w:pPr>
          </w:p>
        </w:tc>
        <w:tc>
          <w:tcPr>
            <w:tcW w:w="620" w:type="pct"/>
          </w:tcPr>
          <w:p>
            <w:pPr>
              <w:spacing w:before="20" w:after="20"/>
              <w:jc w:val="center"/>
              <w:rPr>
                <w:noProof/>
                <w:sz w:val="22"/>
                <w:lang w:eastAsia="en-GB"/>
              </w:rPr>
            </w:pPr>
            <w:r>
              <w:rPr>
                <w:noProof/>
                <w:sz w:val="22"/>
                <w:lang w:eastAsia="en-GB"/>
              </w:rPr>
              <w:t>4</w:t>
            </w:r>
          </w:p>
        </w:tc>
      </w:tr>
      <w:tr>
        <w:trPr>
          <w:trHeight w:val="290"/>
        </w:trPr>
        <w:tc>
          <w:tcPr>
            <w:tcW w:w="654" w:type="pct"/>
            <w:noWrap/>
            <w:hideMark/>
          </w:tcPr>
          <w:p>
            <w:pPr>
              <w:spacing w:before="20" w:after="20"/>
              <w:jc w:val="center"/>
              <w:rPr>
                <w:b/>
                <w:noProof/>
                <w:color w:val="000000"/>
                <w:sz w:val="22"/>
                <w:lang w:eastAsia="en-GB"/>
              </w:rPr>
            </w:pPr>
            <w:r>
              <w:rPr>
                <w:b/>
                <w:noProof/>
                <w:color w:val="000000"/>
                <w:sz w:val="22"/>
                <w:lang w:eastAsia="en-GB"/>
              </w:rPr>
              <w:t>VocBench3</w:t>
            </w:r>
          </w:p>
        </w:tc>
        <w:tc>
          <w:tcPr>
            <w:tcW w:w="621" w:type="pct"/>
            <w:noWrap/>
            <w:hideMark/>
          </w:tcPr>
          <w:p>
            <w:pPr>
              <w:spacing w:before="20" w:after="20"/>
              <w:jc w:val="center"/>
              <w:rPr>
                <w:noProof/>
                <w:color w:val="000000"/>
                <w:sz w:val="22"/>
                <w:lang w:eastAsia="en-GB"/>
              </w:rPr>
            </w:pPr>
            <w:r>
              <w:rPr>
                <w:noProof/>
                <w:color w:val="000000"/>
                <w:sz w:val="22"/>
                <w:lang w:eastAsia="en-GB"/>
              </w:rPr>
              <w:t xml:space="preserve">x </w:t>
            </w:r>
          </w:p>
        </w:tc>
        <w:tc>
          <w:tcPr>
            <w:tcW w:w="621" w:type="pct"/>
            <w:noWrap/>
            <w:hideMark/>
          </w:tcPr>
          <w:p>
            <w:pPr>
              <w:spacing w:before="20" w:after="20"/>
              <w:jc w:val="center"/>
              <w:rPr>
                <w:noProof/>
                <w:color w:val="000000"/>
                <w:sz w:val="22"/>
                <w:lang w:eastAsia="en-GB"/>
              </w:rPr>
            </w:pPr>
          </w:p>
        </w:tc>
        <w:tc>
          <w:tcPr>
            <w:tcW w:w="621" w:type="pct"/>
            <w:noWrap/>
            <w:hideMark/>
          </w:tcPr>
          <w:p>
            <w:pPr>
              <w:spacing w:before="20" w:after="20"/>
              <w:jc w:val="center"/>
              <w:rPr>
                <w:noProof/>
                <w:sz w:val="22"/>
                <w:lang w:eastAsia="en-GB"/>
              </w:rPr>
            </w:pPr>
          </w:p>
        </w:tc>
        <w:tc>
          <w:tcPr>
            <w:tcW w:w="621" w:type="pct"/>
            <w:noWrap/>
            <w:hideMark/>
          </w:tcPr>
          <w:p>
            <w:pPr>
              <w:spacing w:before="20" w:after="20"/>
              <w:jc w:val="center"/>
              <w:rPr>
                <w:noProof/>
                <w:sz w:val="22"/>
                <w:lang w:eastAsia="en-GB"/>
              </w:rPr>
            </w:pPr>
            <w:r>
              <w:rPr>
                <w:noProof/>
                <w:sz w:val="22"/>
                <w:lang w:eastAsia="en-GB"/>
              </w:rPr>
              <w:t>x</w:t>
            </w:r>
          </w:p>
        </w:tc>
        <w:tc>
          <w:tcPr>
            <w:tcW w:w="621" w:type="pct"/>
            <w:noWrap/>
            <w:hideMark/>
          </w:tcPr>
          <w:p>
            <w:pPr>
              <w:spacing w:before="20" w:after="20"/>
              <w:jc w:val="center"/>
              <w:rPr>
                <w:noProof/>
                <w:sz w:val="22"/>
                <w:lang w:eastAsia="en-GB"/>
              </w:rPr>
            </w:pPr>
          </w:p>
        </w:tc>
        <w:tc>
          <w:tcPr>
            <w:tcW w:w="621" w:type="pct"/>
            <w:noWrap/>
            <w:hideMark/>
          </w:tcPr>
          <w:p>
            <w:pPr>
              <w:spacing w:before="20" w:after="20"/>
              <w:jc w:val="center"/>
              <w:rPr>
                <w:noProof/>
                <w:sz w:val="22"/>
                <w:lang w:eastAsia="en-GB"/>
              </w:rPr>
            </w:pPr>
          </w:p>
        </w:tc>
        <w:tc>
          <w:tcPr>
            <w:tcW w:w="620" w:type="pct"/>
          </w:tcPr>
          <w:p>
            <w:pPr>
              <w:spacing w:before="20" w:after="20"/>
              <w:jc w:val="center"/>
              <w:rPr>
                <w:noProof/>
                <w:sz w:val="22"/>
                <w:lang w:eastAsia="en-GB"/>
              </w:rPr>
            </w:pPr>
            <w:r>
              <w:rPr>
                <w:noProof/>
                <w:sz w:val="22"/>
                <w:lang w:eastAsia="en-GB"/>
              </w:rPr>
              <w:t>2</w:t>
            </w:r>
          </w:p>
        </w:tc>
      </w:tr>
      <w:tr>
        <w:trPr>
          <w:cnfStyle w:val="000000100000" w:firstRow="0" w:lastRow="0" w:firstColumn="0" w:lastColumn="0" w:oddVBand="0" w:evenVBand="0" w:oddHBand="1" w:evenHBand="0" w:firstRowFirstColumn="0" w:firstRowLastColumn="0" w:lastRowFirstColumn="0" w:lastRowLastColumn="0"/>
          <w:trHeight w:val="290"/>
        </w:trPr>
        <w:tc>
          <w:tcPr>
            <w:tcW w:w="654" w:type="pct"/>
            <w:noWrap/>
          </w:tcPr>
          <w:p>
            <w:pPr>
              <w:spacing w:before="20" w:after="20"/>
              <w:jc w:val="center"/>
              <w:rPr>
                <w:b/>
                <w:noProof/>
                <w:color w:val="000000"/>
                <w:sz w:val="22"/>
                <w:lang w:eastAsia="en-GB"/>
              </w:rPr>
            </w:pPr>
            <w:r>
              <w:rPr>
                <w:b/>
                <w:noProof/>
                <w:color w:val="000000"/>
                <w:sz w:val="22"/>
                <w:lang w:eastAsia="en-GB"/>
              </w:rPr>
              <w:t>TOTAL</w:t>
            </w:r>
          </w:p>
        </w:tc>
        <w:tc>
          <w:tcPr>
            <w:tcW w:w="621" w:type="pct"/>
            <w:noWrap/>
          </w:tcPr>
          <w:p>
            <w:pPr>
              <w:spacing w:before="20" w:after="20"/>
              <w:jc w:val="center"/>
              <w:rPr>
                <w:noProof/>
                <w:color w:val="000000"/>
                <w:sz w:val="22"/>
                <w:lang w:eastAsia="en-GB"/>
              </w:rPr>
            </w:pPr>
            <w:r>
              <w:rPr>
                <w:noProof/>
                <w:color w:val="000000"/>
                <w:sz w:val="22"/>
                <w:lang w:eastAsia="en-GB"/>
              </w:rPr>
              <w:t>11</w:t>
            </w:r>
          </w:p>
        </w:tc>
        <w:tc>
          <w:tcPr>
            <w:tcW w:w="621" w:type="pct"/>
            <w:noWrap/>
          </w:tcPr>
          <w:p>
            <w:pPr>
              <w:spacing w:before="20" w:after="20"/>
              <w:jc w:val="center"/>
              <w:rPr>
                <w:noProof/>
                <w:color w:val="000000"/>
                <w:sz w:val="22"/>
                <w:lang w:eastAsia="en-GB"/>
              </w:rPr>
            </w:pPr>
            <w:r>
              <w:rPr>
                <w:noProof/>
                <w:color w:val="000000"/>
                <w:sz w:val="22"/>
                <w:lang w:eastAsia="en-GB"/>
              </w:rPr>
              <w:t>3</w:t>
            </w:r>
          </w:p>
        </w:tc>
        <w:tc>
          <w:tcPr>
            <w:tcW w:w="621" w:type="pct"/>
            <w:noWrap/>
          </w:tcPr>
          <w:p>
            <w:pPr>
              <w:spacing w:before="20" w:after="20"/>
              <w:jc w:val="center"/>
              <w:rPr>
                <w:noProof/>
                <w:sz w:val="22"/>
                <w:lang w:eastAsia="en-GB"/>
              </w:rPr>
            </w:pPr>
            <w:r>
              <w:rPr>
                <w:noProof/>
                <w:sz w:val="22"/>
                <w:lang w:eastAsia="en-GB"/>
              </w:rPr>
              <w:t>3</w:t>
            </w:r>
          </w:p>
        </w:tc>
        <w:tc>
          <w:tcPr>
            <w:tcW w:w="621" w:type="pct"/>
            <w:noWrap/>
          </w:tcPr>
          <w:p>
            <w:pPr>
              <w:spacing w:before="20" w:after="20"/>
              <w:jc w:val="center"/>
              <w:rPr>
                <w:noProof/>
                <w:sz w:val="22"/>
                <w:lang w:eastAsia="en-GB"/>
              </w:rPr>
            </w:pPr>
            <w:r>
              <w:rPr>
                <w:noProof/>
                <w:sz w:val="22"/>
                <w:lang w:eastAsia="en-GB"/>
              </w:rPr>
              <w:t>9</w:t>
            </w:r>
          </w:p>
        </w:tc>
        <w:tc>
          <w:tcPr>
            <w:tcW w:w="621" w:type="pct"/>
            <w:noWrap/>
          </w:tcPr>
          <w:p>
            <w:pPr>
              <w:spacing w:before="20" w:after="20"/>
              <w:jc w:val="center"/>
              <w:rPr>
                <w:noProof/>
                <w:sz w:val="22"/>
                <w:lang w:eastAsia="en-GB"/>
              </w:rPr>
            </w:pPr>
            <w:r>
              <w:rPr>
                <w:noProof/>
                <w:sz w:val="22"/>
                <w:lang w:eastAsia="en-GB"/>
              </w:rPr>
              <w:t>2</w:t>
            </w:r>
          </w:p>
        </w:tc>
        <w:tc>
          <w:tcPr>
            <w:tcW w:w="621" w:type="pct"/>
            <w:noWrap/>
          </w:tcPr>
          <w:p>
            <w:pPr>
              <w:spacing w:before="20" w:after="20"/>
              <w:jc w:val="center"/>
              <w:rPr>
                <w:noProof/>
                <w:sz w:val="22"/>
                <w:lang w:eastAsia="en-GB"/>
              </w:rPr>
            </w:pPr>
            <w:r>
              <w:rPr>
                <w:noProof/>
                <w:sz w:val="22"/>
                <w:lang w:eastAsia="en-GB"/>
              </w:rPr>
              <w:t>2</w:t>
            </w:r>
          </w:p>
        </w:tc>
        <w:tc>
          <w:tcPr>
            <w:tcW w:w="620" w:type="pct"/>
          </w:tcPr>
          <w:p>
            <w:pPr>
              <w:spacing w:before="20" w:after="20"/>
              <w:jc w:val="center"/>
              <w:rPr>
                <w:noProof/>
                <w:sz w:val="22"/>
                <w:lang w:eastAsia="en-GB"/>
              </w:rPr>
            </w:pPr>
            <w:r>
              <w:rPr>
                <w:noProof/>
                <w:sz w:val="22"/>
                <w:lang w:eastAsia="en-GB"/>
              </w:rPr>
              <w:t>30</w:t>
            </w:r>
          </w:p>
        </w:tc>
      </w:tr>
    </w:tbl>
    <w:p>
      <w:pPr>
        <w:pStyle w:val="Notes"/>
        <w:rPr>
          <w:rFonts w:cs="Times New Roman"/>
          <w:noProof/>
        </w:rPr>
      </w:pPr>
      <w:r>
        <w:rPr>
          <w:rFonts w:cs="Times New Roman"/>
          <w:noProof/>
        </w:rPr>
        <w:t>*Note: Information provided by action owner.</w:t>
      </w:r>
    </w:p>
    <w:p>
      <w:pPr>
        <w:spacing w:line="240" w:lineRule="auto"/>
        <w:jc w:val="both"/>
        <w:rPr>
          <w:rFonts w:cs="Times New Roman"/>
          <w:i/>
          <w:noProof/>
          <w:sz w:val="20"/>
          <w:szCs w:val="20"/>
          <w:highlight w:val="yellow"/>
          <w:lang w:val="en-GB"/>
        </w:rPr>
      </w:pPr>
      <w:r>
        <w:rPr>
          <w:rFonts w:cs="Times New Roman"/>
          <w:i/>
          <w:noProof/>
          <w:sz w:val="20"/>
          <w:szCs w:val="20"/>
          <w:lang w:val="en-GB"/>
        </w:rPr>
        <w:t xml:space="preserve">Source: </w:t>
      </w:r>
      <w:hyperlink r:id="rId251" w:history="1">
        <w:r>
          <w:rPr>
            <w:rStyle w:val="Hyperlink"/>
            <w:rFonts w:cs="Times New Roman"/>
            <w:i/>
            <w:noProof/>
            <w:sz w:val="20"/>
            <w:lang w:val="en-GB"/>
          </w:rPr>
          <w:t>CEPS final study</w:t>
        </w:r>
      </w:hyperlink>
    </w:p>
    <w:p>
      <w:pPr>
        <w:spacing w:line="240" w:lineRule="auto"/>
        <w:jc w:val="both"/>
        <w:rPr>
          <w:rFonts w:cs="Times New Roman"/>
          <w:i/>
          <w:noProof/>
          <w:sz w:val="20"/>
          <w:szCs w:val="20"/>
          <w:highlight w:val="yellow"/>
          <w:lang w:val="en-GB"/>
        </w:rPr>
      </w:pP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11</w:t>
      </w:r>
      <w:r>
        <w:rPr>
          <w:rFonts w:cs="Times New Roman"/>
          <w:noProof/>
        </w:rPr>
        <w:fldChar w:fldCharType="end"/>
      </w:r>
      <w:r>
        <w:rPr>
          <w:rFonts w:cs="Times New Roman"/>
          <w:noProof/>
        </w:rPr>
        <w:t>: Status of sampled actions and their cross-border feature</w:t>
      </w:r>
    </w:p>
    <w:tbl>
      <w:tblPr>
        <w:tblStyle w:val="ListTable4-Accent11"/>
        <w:tblW w:w="12015" w:type="dxa"/>
        <w:tblLook w:val="04A0" w:firstRow="1" w:lastRow="0" w:firstColumn="1" w:lastColumn="0" w:noHBand="0" w:noVBand="1"/>
      </w:tblPr>
      <w:tblGrid>
        <w:gridCol w:w="2660"/>
        <w:gridCol w:w="1134"/>
        <w:gridCol w:w="2835"/>
        <w:gridCol w:w="1417"/>
        <w:gridCol w:w="2127"/>
        <w:gridCol w:w="46"/>
        <w:gridCol w:w="1796"/>
      </w:tblGrid>
      <w:tr>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center"/>
              <w:rPr>
                <w:noProof/>
                <w:sz w:val="22"/>
                <w:lang w:eastAsia="en-GB"/>
              </w:rPr>
            </w:pPr>
            <w:r>
              <w:rPr>
                <w:noProof/>
                <w:sz w:val="22"/>
                <w:lang w:eastAsia="en-GB"/>
              </w:rPr>
              <w:t>Package</w:t>
            </w:r>
          </w:p>
        </w:tc>
        <w:tc>
          <w:tcPr>
            <w:tcW w:w="1134" w:type="dxa"/>
            <w:hideMark/>
          </w:tcPr>
          <w:p>
            <w:pPr>
              <w:pStyle w:val="VISUAL"/>
              <w:spacing w:before="20" w:after="20"/>
              <w:jc w:val="center"/>
              <w:cnfStyle w:val="100000000000" w:firstRow="1" w:lastRow="0" w:firstColumn="0" w:lastColumn="0" w:oddVBand="0" w:evenVBand="0" w:oddHBand="0" w:evenHBand="0" w:firstRowFirstColumn="0" w:firstRowLastColumn="0" w:lastRowFirstColumn="0" w:lastRowLastColumn="0"/>
              <w:rPr>
                <w:noProof/>
                <w:sz w:val="22"/>
                <w:lang w:eastAsia="en-GB"/>
              </w:rPr>
            </w:pPr>
            <w:r>
              <w:rPr>
                <w:noProof/>
                <w:sz w:val="22"/>
                <w:lang w:eastAsia="en-GB"/>
              </w:rPr>
              <w:t>Action number</w:t>
            </w:r>
          </w:p>
        </w:tc>
        <w:tc>
          <w:tcPr>
            <w:tcW w:w="2835" w:type="dxa"/>
            <w:hideMark/>
          </w:tcPr>
          <w:p>
            <w:pPr>
              <w:pStyle w:val="VISUAL"/>
              <w:spacing w:before="20" w:after="20"/>
              <w:jc w:val="center"/>
              <w:cnfStyle w:val="100000000000" w:firstRow="1" w:lastRow="0" w:firstColumn="0" w:lastColumn="0" w:oddVBand="0" w:evenVBand="0" w:oddHBand="0" w:evenHBand="0" w:firstRowFirstColumn="0" w:firstRowLastColumn="0" w:lastRowFirstColumn="0" w:lastRowLastColumn="0"/>
              <w:rPr>
                <w:noProof/>
                <w:sz w:val="22"/>
                <w:lang w:eastAsia="en-GB"/>
              </w:rPr>
            </w:pPr>
            <w:r>
              <w:rPr>
                <w:noProof/>
                <w:sz w:val="22"/>
                <w:lang w:eastAsia="en-GB"/>
              </w:rPr>
              <w:t>Action Name</w:t>
            </w:r>
          </w:p>
        </w:tc>
        <w:tc>
          <w:tcPr>
            <w:tcW w:w="1417" w:type="dxa"/>
            <w:noWrap/>
            <w:hideMark/>
          </w:tcPr>
          <w:p>
            <w:pPr>
              <w:pStyle w:val="VISUAL"/>
              <w:spacing w:before="20" w:after="20"/>
              <w:jc w:val="center"/>
              <w:cnfStyle w:val="100000000000" w:firstRow="1" w:lastRow="0" w:firstColumn="0" w:lastColumn="0" w:oddVBand="0" w:evenVBand="0" w:oddHBand="0" w:evenHBand="0" w:firstRowFirstColumn="0" w:firstRowLastColumn="0" w:lastRowFirstColumn="0" w:lastRowLastColumn="0"/>
              <w:rPr>
                <w:noProof/>
                <w:sz w:val="22"/>
                <w:lang w:eastAsia="en-GB"/>
              </w:rPr>
            </w:pPr>
            <w:r>
              <w:rPr>
                <w:noProof/>
                <w:sz w:val="22"/>
                <w:lang w:eastAsia="en-GB"/>
              </w:rPr>
              <w:t>Operational solutions</w:t>
            </w:r>
          </w:p>
        </w:tc>
        <w:tc>
          <w:tcPr>
            <w:tcW w:w="2127" w:type="dxa"/>
            <w:hideMark/>
          </w:tcPr>
          <w:p>
            <w:pPr>
              <w:pStyle w:val="VISUAL"/>
              <w:spacing w:before="20" w:after="20"/>
              <w:jc w:val="center"/>
              <w:cnfStyle w:val="100000000000" w:firstRow="1" w:lastRow="0" w:firstColumn="0" w:lastColumn="0" w:oddVBand="0" w:evenVBand="0" w:oddHBand="0" w:evenHBand="0" w:firstRowFirstColumn="0" w:firstRowLastColumn="0" w:lastRowFirstColumn="0" w:lastRowLastColumn="0"/>
              <w:rPr>
                <w:b w:val="0"/>
                <w:i/>
                <w:noProof/>
                <w:sz w:val="22"/>
                <w:lang w:eastAsia="en-GB"/>
              </w:rPr>
            </w:pPr>
            <w:r>
              <w:rPr>
                <w:b w:val="0"/>
                <w:i/>
                <w:noProof/>
                <w:sz w:val="22"/>
                <w:lang w:eastAsia="en-GB"/>
              </w:rPr>
              <w:t>Out of which cross-border solution</w:t>
            </w:r>
          </w:p>
        </w:tc>
        <w:tc>
          <w:tcPr>
            <w:tcW w:w="1842" w:type="dxa"/>
            <w:gridSpan w:val="2"/>
            <w:hideMark/>
          </w:tcPr>
          <w:p>
            <w:pPr>
              <w:pStyle w:val="VISUAL"/>
              <w:spacing w:before="20" w:after="20"/>
              <w:jc w:val="center"/>
              <w:cnfStyle w:val="100000000000" w:firstRow="1" w:lastRow="0" w:firstColumn="0" w:lastColumn="0" w:oddVBand="0" w:evenVBand="0" w:oddHBand="0" w:evenHBand="0" w:firstRowFirstColumn="0" w:firstRowLastColumn="0" w:lastRowFirstColumn="0" w:lastRowLastColumn="0"/>
              <w:rPr>
                <w:noProof/>
                <w:sz w:val="22"/>
                <w:lang w:eastAsia="en-GB"/>
              </w:rPr>
            </w:pPr>
            <w:r>
              <w:rPr>
                <w:noProof/>
                <w:sz w:val="22"/>
                <w:lang w:eastAsia="en-GB"/>
              </w:rPr>
              <w:t>Solutions under development</w:t>
            </w:r>
          </w:p>
        </w:tc>
      </w:tr>
      <w:tr>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1. Key and generic interoperability enablers</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2016.19</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Trusted Exchange Platform (e-TrustEx)</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1</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r>
      <w:tr>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1. Key and generic interoperability enablers</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2016.29</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Catalogue of Services</w:t>
            </w:r>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1</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1</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r>
      <w:tr>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2. Semantic interoperability</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2016.07</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SEMIC: Promoting Semantic Interoperability Amongst the European Union Member States</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4</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2</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r>
      <w:tr>
        <w:trPr>
          <w:trHeight w:val="970"/>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2. Semantic interoperability</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2016.16</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Public Multilingual Knowledge Management Infrastructure for the Digital Single Market</w:t>
            </w:r>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4</w:t>
            </w:r>
          </w:p>
        </w:tc>
      </w:tr>
      <w:tr>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3. Access to data/data sharing/open data</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2016.03</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Big Data for Public Administrations</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3</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3</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w:t>
            </w:r>
          </w:p>
        </w:tc>
      </w:tr>
      <w:tr>
        <w:trPr>
          <w:trHeight w:val="1262"/>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3. Access to data/data sharing/open data</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2016.06</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Sharing Statistical Production and Dissemination Services and Solutions in the European Statistical System</w:t>
            </w:r>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2</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6</w:t>
            </w:r>
          </w:p>
        </w:tc>
      </w:tr>
      <w:tr>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3. Access to data/data sharing/open data</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2016.18</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Development of an Open Data Service, Support and Training Package in the Area of Linked Open Data, Data Visualisation and Persistent Identification</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1</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w:t>
            </w:r>
          </w:p>
        </w:tc>
      </w:tr>
      <w:tr>
        <w:trPr>
          <w:trHeight w:val="863"/>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4. Geospatial solutions</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2016.10</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European Location Interoperability Solutions for e-Government (ELISE)</w:t>
            </w:r>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4</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4</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1</w:t>
            </w:r>
          </w:p>
        </w:tc>
      </w:tr>
      <w:tr>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5. e-Procurement/ e-invoicing - Supporting instruments</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2016.05</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European Public Procurement Interoperability Initiative</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3</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3</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5</w:t>
            </w:r>
          </w:p>
        </w:tc>
      </w:tr>
      <w:tr>
        <w:trPr>
          <w:trHeight w:val="686"/>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6. Decision making and legislation - Supporting instruments</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2016.23</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Legal interoperability (former ICT Implications of EU Legislation)</w:t>
            </w:r>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6. Decision making and legislation - Supporting instruments</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2017.03</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hyperlink r:id="rId252" w:history="1">
              <w:r>
                <w:rPr>
                  <w:noProof/>
                  <w:color w:val="000000"/>
                  <w:sz w:val="22"/>
                  <w:lang w:eastAsia="en-GB"/>
                </w:rPr>
                <w:t>REFIT Platform</w:t>
              </w:r>
            </w:hyperlink>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w:t>
            </w:r>
          </w:p>
        </w:tc>
      </w:tr>
      <w:tr>
        <w:trPr>
          <w:trHeight w:val="132"/>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6. Decision making and legislation - Supporting instruments</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2017.04</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hyperlink r:id="rId253" w:history="1">
              <w:r>
                <w:rPr>
                  <w:noProof/>
                  <w:color w:val="000000"/>
                  <w:sz w:val="22"/>
                  <w:lang w:eastAsia="en-GB"/>
                </w:rPr>
                <w:t>Inter-Institutional Register of Delegated Acts (RegDel)</w:t>
              </w:r>
            </w:hyperlink>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1</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r>
      <w:tr>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7. EU Policies - Supporting instruments</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2016.14</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European Citizens’ Initiatives and European Parliament Elections</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2</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r>
      <w:tr>
        <w:trPr>
          <w:trHeight w:val="723"/>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8. Supporting instruments for public administrations</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2016.20</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hyperlink r:id="rId254" w:history="1">
              <w:r>
                <w:rPr>
                  <w:noProof/>
                  <w:color w:val="000000"/>
                  <w:sz w:val="22"/>
                  <w:lang w:eastAsia="en-GB"/>
                </w:rPr>
                <w:t>Joinup – European Collaborative Platform and Catalogue</w:t>
              </w:r>
            </w:hyperlink>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1</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1</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r>
      <w:tr>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8. Supporting instruments for public administrations</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2016.21</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National Interoperability Framework Observatory</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3</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3</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r>
      <w:tr>
        <w:trPr>
          <w:trHeight w:val="515"/>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8. Supporting instruments for public administrations</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2016.32</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European Interoperability Architecture (EIA)</w:t>
            </w:r>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2</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1</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8. Supporting instruments for public administrations</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2016.35</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EUSurvey</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1</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r>
      <w:tr>
        <w:trPr>
          <w:trHeight w:val="828"/>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8. Supporting instruments for public administrations</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2016.37</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Interoperability Maturity Assessment of a Public Service (IMAPS) </w:t>
            </w:r>
          </w:p>
        </w:tc>
        <w:tc>
          <w:tcPr>
            <w:tcW w:w="141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1</w:t>
            </w:r>
          </w:p>
        </w:tc>
        <w:tc>
          <w:tcPr>
            <w:tcW w:w="2127"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i/>
                <w:noProof/>
                <w:color w:val="000000"/>
                <w:sz w:val="22"/>
                <w:lang w:eastAsia="en-GB"/>
              </w:rPr>
            </w:pPr>
            <w:r>
              <w:rPr>
                <w:i/>
                <w:noProof/>
                <w:color w:val="000000"/>
                <w:sz w:val="22"/>
                <w:lang w:eastAsia="en-GB"/>
              </w:rPr>
              <w:t>1</w:t>
            </w:r>
          </w:p>
        </w:tc>
        <w:tc>
          <w:tcPr>
            <w:tcW w:w="1842" w:type="dxa"/>
            <w:gridSpan w:val="2"/>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r>
      <w:tr>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8. Supporting instruments for public administrations</w:t>
            </w:r>
          </w:p>
        </w:tc>
        <w:tc>
          <w:tcPr>
            <w:tcW w:w="1134"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2017.01</w:t>
            </w:r>
          </w:p>
        </w:tc>
        <w:tc>
          <w:tcPr>
            <w:tcW w:w="2835" w:type="dxa"/>
            <w:hideMark/>
          </w:tcPr>
          <w:p>
            <w:pPr>
              <w:pStyle w:val="VISUAL"/>
              <w:spacing w:before="20" w:after="20"/>
              <w:jc w:val="left"/>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Standard-Based Archival Data Management, Exchange and Publication</w:t>
            </w:r>
          </w:p>
        </w:tc>
        <w:tc>
          <w:tcPr>
            <w:tcW w:w="141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w:t>
            </w:r>
          </w:p>
        </w:tc>
        <w:tc>
          <w:tcPr>
            <w:tcW w:w="2127" w:type="dxa"/>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i/>
                <w:noProof/>
                <w:color w:val="000000"/>
                <w:sz w:val="22"/>
                <w:lang w:eastAsia="en-GB"/>
              </w:rPr>
            </w:pPr>
            <w:r>
              <w:rPr>
                <w:i/>
                <w:noProof/>
                <w:color w:val="000000"/>
                <w:sz w:val="22"/>
                <w:lang w:eastAsia="en-GB"/>
              </w:rPr>
              <w:t>2</w:t>
            </w:r>
          </w:p>
        </w:tc>
        <w:tc>
          <w:tcPr>
            <w:tcW w:w="1842" w:type="dxa"/>
            <w:gridSpan w:val="2"/>
            <w:hideMark/>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w:t>
            </w:r>
          </w:p>
        </w:tc>
      </w:tr>
      <w:tr>
        <w:trPr>
          <w:trHeight w:val="723"/>
        </w:trPr>
        <w:tc>
          <w:tcPr>
            <w:cnfStyle w:val="001000000000" w:firstRow="0" w:lastRow="0" w:firstColumn="1" w:lastColumn="0" w:oddVBand="0" w:evenVBand="0" w:oddHBand="0" w:evenHBand="0" w:firstRowFirstColumn="0" w:firstRowLastColumn="0" w:lastRowFirstColumn="0" w:lastRowLastColumn="0"/>
            <w:tcW w:w="2660" w:type="dxa"/>
            <w:noWrap/>
            <w:hideMark/>
          </w:tcPr>
          <w:p>
            <w:pPr>
              <w:pStyle w:val="VISUAL"/>
              <w:spacing w:before="20" w:after="20"/>
              <w:jc w:val="left"/>
              <w:rPr>
                <w:b w:val="0"/>
                <w:noProof/>
                <w:color w:val="000000"/>
                <w:sz w:val="22"/>
                <w:lang w:eastAsia="en-GB"/>
              </w:rPr>
            </w:pPr>
            <w:r>
              <w:rPr>
                <w:b w:val="0"/>
                <w:noProof/>
                <w:color w:val="000000"/>
                <w:sz w:val="22"/>
                <w:lang w:eastAsia="en-GB"/>
              </w:rPr>
              <w:t>9. Accompanying measures</w:t>
            </w:r>
          </w:p>
        </w:tc>
        <w:tc>
          <w:tcPr>
            <w:tcW w:w="1134" w:type="dxa"/>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2016.3</w:t>
            </w:r>
          </w:p>
        </w:tc>
        <w:tc>
          <w:tcPr>
            <w:tcW w:w="2835" w:type="dxa"/>
            <w:hideMark/>
          </w:tcPr>
          <w:p>
            <w:pPr>
              <w:pStyle w:val="VISUAL"/>
              <w:spacing w:before="20" w:after="20"/>
              <w:jc w:val="left"/>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Raising Interoperability Awareness – Communication Activities</w:t>
            </w:r>
          </w:p>
        </w:tc>
        <w:tc>
          <w:tcPr>
            <w:tcW w:w="5386" w:type="dxa"/>
            <w:gridSpan w:val="4"/>
            <w:hideMark/>
          </w:tcPr>
          <w:p>
            <w:pPr>
              <w:pStyle w:val="VISUAL"/>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 xml:space="preserve">The full overview of events organised is listed </w:t>
            </w:r>
            <w:r>
              <w:rPr>
                <w:noProof/>
                <w:color w:val="000000"/>
                <w:sz w:val="22"/>
                <w:lang w:eastAsia="en-GB"/>
              </w:rPr>
              <w:br/>
              <w:t xml:space="preserve">in </w:t>
            </w:r>
            <w:r>
              <w:rPr>
                <w:noProof/>
                <w:color w:val="000000"/>
                <w:sz w:val="22"/>
                <w:lang w:eastAsia="en-GB"/>
              </w:rPr>
              <w:fldChar w:fldCharType="begin"/>
            </w:r>
            <w:r>
              <w:rPr>
                <w:noProof/>
                <w:color w:val="000000"/>
                <w:sz w:val="22"/>
                <w:lang w:eastAsia="en-GB"/>
              </w:rPr>
              <w:instrText xml:space="preserve"> REF _Ref9346654 \h  \* MERGEFORMAT </w:instrText>
            </w:r>
            <w:r>
              <w:rPr>
                <w:noProof/>
                <w:color w:val="000000"/>
                <w:sz w:val="22"/>
                <w:lang w:eastAsia="en-GB"/>
              </w:rPr>
            </w:r>
            <w:r>
              <w:rPr>
                <w:noProof/>
                <w:color w:val="000000"/>
                <w:sz w:val="22"/>
                <w:lang w:eastAsia="en-GB"/>
              </w:rPr>
              <w:fldChar w:fldCharType="separate"/>
            </w:r>
            <w:r>
              <w:rPr>
                <w:noProof/>
                <w:sz w:val="22"/>
              </w:rPr>
              <w:t>Annex 1</w:t>
            </w:r>
            <w:r>
              <w:rPr>
                <w:noProof/>
                <w:color w:val="000000"/>
                <w:sz w:val="22"/>
                <w:lang w:eastAsia="en-GB"/>
              </w:rPr>
              <w:fldChar w:fldCharType="end"/>
            </w:r>
            <w:r>
              <w:rPr>
                <w:noProof/>
                <w:color w:val="000000"/>
                <w:sz w:val="22"/>
                <w:lang w:eastAsia="en-GB"/>
              </w:rPr>
              <w:t xml:space="preserve">: </w:t>
            </w:r>
            <w:r>
              <w:rPr>
                <w:noProof/>
                <w:color w:val="000000"/>
                <w:sz w:val="22"/>
                <w:lang w:eastAsia="en-GB"/>
              </w:rPr>
              <w:fldChar w:fldCharType="begin"/>
            </w:r>
            <w:r>
              <w:rPr>
                <w:noProof/>
                <w:color w:val="000000"/>
                <w:sz w:val="22"/>
                <w:lang w:eastAsia="en-GB"/>
              </w:rPr>
              <w:instrText xml:space="preserve"> REF _Ref9595195 \h  \* MERGEFORMAT </w:instrText>
            </w:r>
            <w:r>
              <w:rPr>
                <w:noProof/>
                <w:color w:val="000000"/>
                <w:sz w:val="22"/>
                <w:lang w:eastAsia="en-GB"/>
              </w:rPr>
            </w:r>
            <w:r>
              <w:rPr>
                <w:noProof/>
                <w:color w:val="000000"/>
                <w:sz w:val="22"/>
                <w:lang w:eastAsia="en-GB"/>
              </w:rPr>
              <w:fldChar w:fldCharType="separate"/>
            </w:r>
            <w:r>
              <w:rPr>
                <w:noProof/>
                <w:sz w:val="22"/>
              </w:rPr>
              <w:t>Table 13</w:t>
            </w:r>
            <w:r>
              <w:rPr>
                <w:noProof/>
                <w:color w:val="000000"/>
                <w:sz w:val="22"/>
                <w:lang w:eastAsia="en-GB"/>
              </w:rPr>
              <w:fldChar w:fldCharType="end"/>
            </w:r>
            <w:r>
              <w:rPr>
                <w:noProof/>
                <w:color w:val="000000"/>
                <w:sz w:val="22"/>
                <w:lang w:eastAsia="en-GB"/>
              </w:rPr>
              <w:t>.</w:t>
            </w:r>
          </w:p>
        </w:tc>
      </w:tr>
      <w:tr>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629" w:type="dxa"/>
            <w:gridSpan w:val="3"/>
            <w:noWrap/>
          </w:tcPr>
          <w:p>
            <w:pPr>
              <w:pStyle w:val="VISUAL"/>
              <w:spacing w:before="20" w:after="20"/>
              <w:jc w:val="right"/>
              <w:rPr>
                <w:smallCaps/>
                <w:noProof/>
                <w:color w:val="000000"/>
                <w:sz w:val="22"/>
                <w:lang w:eastAsia="en-GB"/>
              </w:rPr>
            </w:pPr>
            <w:r>
              <w:rPr>
                <w:smallCaps/>
                <w:noProof/>
                <w:color w:val="000000"/>
                <w:sz w:val="22"/>
                <w:lang w:eastAsia="en-GB"/>
              </w:rPr>
              <w:t>Totals</w:t>
            </w:r>
          </w:p>
        </w:tc>
        <w:tc>
          <w:tcPr>
            <w:tcW w:w="1417" w:type="dxa"/>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b/>
                <w:noProof/>
                <w:color w:val="000000"/>
                <w:sz w:val="22"/>
                <w:lang w:eastAsia="en-GB"/>
              </w:rPr>
            </w:pPr>
            <w:r>
              <w:rPr>
                <w:b/>
                <w:noProof/>
                <w:color w:val="000000"/>
                <w:sz w:val="22"/>
                <w:lang w:eastAsia="en-GB"/>
              </w:rPr>
              <w:t>35</w:t>
            </w:r>
          </w:p>
        </w:tc>
        <w:tc>
          <w:tcPr>
            <w:tcW w:w="2173" w:type="dxa"/>
            <w:gridSpan w:val="2"/>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b/>
                <w:noProof/>
                <w:color w:val="000000"/>
                <w:sz w:val="22"/>
                <w:lang w:eastAsia="en-GB"/>
              </w:rPr>
            </w:pPr>
            <w:r>
              <w:rPr>
                <w:b/>
                <w:noProof/>
                <w:color w:val="000000"/>
                <w:sz w:val="22"/>
                <w:lang w:eastAsia="en-GB"/>
              </w:rPr>
              <w:t>29</w:t>
            </w:r>
          </w:p>
        </w:tc>
        <w:tc>
          <w:tcPr>
            <w:tcW w:w="1796" w:type="dxa"/>
          </w:tcPr>
          <w:p>
            <w:pPr>
              <w:pStyle w:val="VISUAL"/>
              <w:spacing w:before="20" w:after="20"/>
              <w:jc w:val="center"/>
              <w:cnfStyle w:val="000000100000" w:firstRow="0" w:lastRow="0" w:firstColumn="0" w:lastColumn="0" w:oddVBand="0" w:evenVBand="0" w:oddHBand="1" w:evenHBand="0" w:firstRowFirstColumn="0" w:firstRowLastColumn="0" w:lastRowFirstColumn="0" w:lastRowLastColumn="0"/>
              <w:rPr>
                <w:b/>
                <w:noProof/>
                <w:color w:val="000000"/>
                <w:sz w:val="22"/>
                <w:lang w:eastAsia="en-GB"/>
              </w:rPr>
            </w:pPr>
            <w:r>
              <w:rPr>
                <w:b/>
                <w:noProof/>
                <w:color w:val="000000"/>
                <w:sz w:val="22"/>
                <w:lang w:eastAsia="en-GB"/>
              </w:rPr>
              <w:t>21</w:t>
            </w:r>
          </w:p>
        </w:tc>
      </w:tr>
    </w:tbl>
    <w:p>
      <w:pPr>
        <w:spacing w:line="240" w:lineRule="auto"/>
        <w:jc w:val="both"/>
        <w:rPr>
          <w:rFonts w:cs="Times New Roman"/>
          <w:i/>
          <w:noProof/>
          <w:sz w:val="20"/>
          <w:szCs w:val="20"/>
          <w:lang w:val="en-GB"/>
        </w:rPr>
      </w:pPr>
      <w:r>
        <w:rPr>
          <w:rFonts w:cs="Times New Roman"/>
          <w:i/>
          <w:noProof/>
          <w:sz w:val="20"/>
          <w:szCs w:val="20"/>
        </w:rPr>
        <w:t xml:space="preserve">Source: </w:t>
      </w:r>
      <w:r>
        <w:rPr>
          <w:rFonts w:cs="Times New Roman"/>
          <w:i/>
          <w:noProof/>
          <w:sz w:val="20"/>
          <w:szCs w:val="20"/>
          <w:lang w:val="en-GB"/>
        </w:rPr>
        <w:t>European Commission’s own elaboration</w:t>
      </w:r>
    </w:p>
    <w:p>
      <w:pPr>
        <w:spacing w:line="240" w:lineRule="auto"/>
        <w:jc w:val="both"/>
        <w:rPr>
          <w:rFonts w:cs="Times New Roman"/>
          <w:i/>
          <w:noProof/>
          <w:sz w:val="20"/>
          <w:szCs w:val="20"/>
          <w:highlight w:val="yellow"/>
        </w:rPr>
      </w:pPr>
    </w:p>
    <w:p>
      <w:pPr>
        <w:spacing w:line="240" w:lineRule="auto"/>
        <w:jc w:val="both"/>
        <w:rPr>
          <w:rFonts w:cs="Times New Roman"/>
          <w:i/>
          <w:noProof/>
          <w:sz w:val="20"/>
          <w:szCs w:val="20"/>
          <w:highlight w:val="yellow"/>
        </w:rPr>
      </w:pPr>
    </w:p>
    <w:p>
      <w:pPr>
        <w:pStyle w:val="Heading4"/>
        <w:rPr>
          <w:noProof/>
        </w:rPr>
      </w:pPr>
      <w:r>
        <w:rPr>
          <w:noProof/>
        </w:rPr>
        <w:t>Performance indicators</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12</w:t>
      </w:r>
      <w:r>
        <w:rPr>
          <w:rFonts w:cs="Times New Roman"/>
          <w:noProof/>
        </w:rPr>
        <w:fldChar w:fldCharType="end"/>
      </w:r>
      <w:r>
        <w:rPr>
          <w:rFonts w:cs="Times New Roman"/>
          <w:noProof/>
        </w:rPr>
        <w:t>: Overview of performance indicators for sampled ISA</w:t>
      </w:r>
      <w:r>
        <w:rPr>
          <w:rFonts w:cs="Times New Roman"/>
          <w:noProof/>
          <w:vertAlign w:val="superscript"/>
        </w:rPr>
        <w:t>2</w:t>
      </w:r>
      <w:r>
        <w:rPr>
          <w:rFonts w:cs="Times New Roman"/>
          <w:noProof/>
        </w:rPr>
        <w:t xml:space="preserve"> actions</w:t>
      </w:r>
    </w:p>
    <w:tbl>
      <w:tblPr>
        <w:tblStyle w:val="GridTable5Dark-Accent11"/>
        <w:tblW w:w="5000" w:type="pct"/>
        <w:tblLayout w:type="fixed"/>
        <w:tblLook w:val="0420" w:firstRow="1" w:lastRow="0" w:firstColumn="0" w:lastColumn="0" w:noHBand="0" w:noVBand="1"/>
      </w:tblPr>
      <w:tblGrid>
        <w:gridCol w:w="1760"/>
        <w:gridCol w:w="961"/>
        <w:gridCol w:w="9"/>
        <w:gridCol w:w="1084"/>
        <w:gridCol w:w="1943"/>
        <w:gridCol w:w="1513"/>
        <w:gridCol w:w="3231"/>
        <w:gridCol w:w="1474"/>
        <w:gridCol w:w="3039"/>
      </w:tblGrid>
      <w:tr>
        <w:trPr>
          <w:cnfStyle w:val="100000000000" w:firstRow="1" w:lastRow="0" w:firstColumn="0" w:lastColumn="0" w:oddVBand="0" w:evenVBand="0" w:oddHBand="0" w:evenHBand="0" w:firstRowFirstColumn="0" w:firstRowLastColumn="0" w:lastRowFirstColumn="0" w:lastRowLastColumn="0"/>
          <w:trHeight w:val="290"/>
          <w:tblHeader/>
        </w:trPr>
        <w:tc>
          <w:tcPr>
            <w:tcW w:w="586" w:type="pct"/>
          </w:tcPr>
          <w:p>
            <w:pPr>
              <w:spacing w:before="20" w:after="20"/>
              <w:jc w:val="center"/>
              <w:rPr>
                <w:noProof/>
                <w:sz w:val="22"/>
                <w:lang w:eastAsia="en-GB"/>
              </w:rPr>
            </w:pPr>
            <w:r>
              <w:rPr>
                <w:noProof/>
                <w:sz w:val="22"/>
                <w:lang w:eastAsia="en-GB"/>
              </w:rPr>
              <w:t>Package</w:t>
            </w:r>
          </w:p>
        </w:tc>
        <w:tc>
          <w:tcPr>
            <w:tcW w:w="320" w:type="pct"/>
            <w:noWrap/>
            <w:hideMark/>
          </w:tcPr>
          <w:p>
            <w:pPr>
              <w:spacing w:before="20" w:after="20"/>
              <w:jc w:val="center"/>
              <w:rPr>
                <w:noProof/>
                <w:sz w:val="22"/>
                <w:lang w:eastAsia="en-GB"/>
              </w:rPr>
            </w:pPr>
            <w:r>
              <w:rPr>
                <w:noProof/>
                <w:sz w:val="22"/>
                <w:lang w:eastAsia="en-GB"/>
              </w:rPr>
              <w:t>ISA / ISA</w:t>
            </w:r>
            <w:r>
              <w:rPr>
                <w:noProof/>
                <w:sz w:val="22"/>
                <w:vertAlign w:val="superscript"/>
                <w:lang w:eastAsia="en-GB"/>
              </w:rPr>
              <w:t>2</w:t>
            </w:r>
          </w:p>
        </w:tc>
        <w:tc>
          <w:tcPr>
            <w:tcW w:w="364" w:type="pct"/>
            <w:gridSpan w:val="2"/>
            <w:noWrap/>
            <w:hideMark/>
          </w:tcPr>
          <w:p>
            <w:pPr>
              <w:spacing w:before="20" w:after="20"/>
              <w:jc w:val="center"/>
              <w:rPr>
                <w:noProof/>
                <w:sz w:val="22"/>
                <w:lang w:eastAsia="en-GB"/>
              </w:rPr>
            </w:pPr>
            <w:r>
              <w:rPr>
                <w:noProof/>
                <w:sz w:val="22"/>
                <w:lang w:eastAsia="en-GB"/>
              </w:rPr>
              <w:t>Action number</w:t>
            </w:r>
          </w:p>
        </w:tc>
        <w:tc>
          <w:tcPr>
            <w:tcW w:w="647" w:type="pct"/>
            <w:noWrap/>
            <w:hideMark/>
          </w:tcPr>
          <w:p>
            <w:pPr>
              <w:spacing w:before="20" w:after="20"/>
              <w:jc w:val="center"/>
              <w:rPr>
                <w:noProof/>
                <w:sz w:val="22"/>
                <w:lang w:eastAsia="en-GB"/>
              </w:rPr>
            </w:pPr>
            <w:r>
              <w:rPr>
                <w:noProof/>
                <w:sz w:val="22"/>
                <w:lang w:eastAsia="en-GB"/>
              </w:rPr>
              <w:t>Solution</w:t>
            </w:r>
          </w:p>
        </w:tc>
        <w:tc>
          <w:tcPr>
            <w:tcW w:w="504" w:type="pct"/>
            <w:noWrap/>
            <w:hideMark/>
          </w:tcPr>
          <w:p>
            <w:pPr>
              <w:spacing w:before="20" w:after="20"/>
              <w:jc w:val="center"/>
              <w:rPr>
                <w:noProof/>
                <w:sz w:val="22"/>
                <w:lang w:eastAsia="en-GB"/>
              </w:rPr>
            </w:pPr>
            <w:r>
              <w:rPr>
                <w:noProof/>
                <w:sz w:val="22"/>
                <w:lang w:eastAsia="en-GB"/>
              </w:rPr>
              <w:t>Value performance indicator 1</w:t>
            </w:r>
          </w:p>
        </w:tc>
        <w:tc>
          <w:tcPr>
            <w:tcW w:w="1076" w:type="pct"/>
            <w:noWrap/>
            <w:hideMark/>
          </w:tcPr>
          <w:p>
            <w:pPr>
              <w:spacing w:before="20" w:after="20"/>
              <w:jc w:val="center"/>
              <w:rPr>
                <w:noProof/>
                <w:sz w:val="22"/>
                <w:lang w:eastAsia="en-GB"/>
              </w:rPr>
            </w:pPr>
            <w:r>
              <w:rPr>
                <w:noProof/>
                <w:sz w:val="22"/>
                <w:lang w:eastAsia="en-GB"/>
              </w:rPr>
              <w:t>Performance indicator 1</w:t>
            </w:r>
          </w:p>
        </w:tc>
        <w:tc>
          <w:tcPr>
            <w:tcW w:w="491" w:type="pct"/>
            <w:noWrap/>
            <w:hideMark/>
          </w:tcPr>
          <w:p>
            <w:pPr>
              <w:spacing w:before="20" w:after="20"/>
              <w:jc w:val="center"/>
              <w:rPr>
                <w:noProof/>
                <w:sz w:val="22"/>
                <w:lang w:eastAsia="en-GB"/>
              </w:rPr>
            </w:pPr>
            <w:r>
              <w:rPr>
                <w:noProof/>
                <w:sz w:val="22"/>
                <w:lang w:eastAsia="en-GB"/>
              </w:rPr>
              <w:t>Value performance indicator 2</w:t>
            </w:r>
          </w:p>
        </w:tc>
        <w:tc>
          <w:tcPr>
            <w:tcW w:w="1012" w:type="pct"/>
            <w:noWrap/>
            <w:hideMark/>
          </w:tcPr>
          <w:p>
            <w:pPr>
              <w:spacing w:before="20" w:after="20"/>
              <w:jc w:val="center"/>
              <w:rPr>
                <w:noProof/>
                <w:sz w:val="22"/>
                <w:lang w:eastAsia="en-GB"/>
              </w:rPr>
            </w:pPr>
            <w:r>
              <w:rPr>
                <w:noProof/>
                <w:sz w:val="22"/>
                <w:lang w:eastAsia="en-GB"/>
              </w:rPr>
              <w:t>Performance indicator 2</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1. Key and generic interoperability enablers</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2016.19</w:t>
            </w:r>
          </w:p>
        </w:tc>
        <w:tc>
          <w:tcPr>
            <w:tcW w:w="647" w:type="pct"/>
            <w:noWrap/>
            <w:hideMark/>
          </w:tcPr>
          <w:p>
            <w:pPr>
              <w:spacing w:before="20" w:after="20"/>
              <w:jc w:val="center"/>
              <w:rPr>
                <w:noProof/>
                <w:sz w:val="22"/>
                <w:lang w:eastAsia="en-GB"/>
              </w:rPr>
            </w:pPr>
            <w:r>
              <w:rPr>
                <w:noProof/>
                <w:color w:val="000000"/>
                <w:sz w:val="22"/>
                <w:lang w:eastAsia="en-GB"/>
              </w:rPr>
              <w:t>e-TrustEx</w:t>
            </w:r>
          </w:p>
        </w:tc>
        <w:tc>
          <w:tcPr>
            <w:tcW w:w="504" w:type="pct"/>
            <w:noWrap/>
            <w:hideMark/>
          </w:tcPr>
          <w:p>
            <w:pPr>
              <w:spacing w:before="20" w:after="20"/>
              <w:jc w:val="center"/>
              <w:rPr>
                <w:noProof/>
                <w:sz w:val="22"/>
                <w:lang w:eastAsia="en-GB"/>
              </w:rPr>
            </w:pPr>
            <w:r>
              <w:rPr>
                <w:noProof/>
                <w:color w:val="000000"/>
                <w:sz w:val="22"/>
                <w:lang w:eastAsia="en-GB"/>
              </w:rPr>
              <w:t>200</w:t>
            </w:r>
          </w:p>
        </w:tc>
        <w:tc>
          <w:tcPr>
            <w:tcW w:w="1076" w:type="pct"/>
            <w:noWrap/>
            <w:hideMark/>
          </w:tcPr>
          <w:p>
            <w:pPr>
              <w:spacing w:before="20" w:after="20"/>
              <w:jc w:val="center"/>
              <w:rPr>
                <w:noProof/>
                <w:color w:val="000000"/>
                <w:sz w:val="22"/>
                <w:lang w:eastAsia="en-GB"/>
              </w:rPr>
            </w:pPr>
            <w:r>
              <w:rPr>
                <w:noProof/>
                <w:color w:val="000000"/>
                <w:sz w:val="22"/>
                <w:lang w:eastAsia="en-GB"/>
              </w:rPr>
              <w:t>Public administrations in the 28 Member States using this solution</w:t>
            </w:r>
          </w:p>
        </w:tc>
        <w:tc>
          <w:tcPr>
            <w:tcW w:w="491" w:type="pct"/>
            <w:noWrap/>
            <w:hideMark/>
          </w:tcPr>
          <w:p>
            <w:pPr>
              <w:spacing w:before="20" w:after="20"/>
              <w:jc w:val="center"/>
              <w:rPr>
                <w:noProof/>
                <w:color w:val="000000"/>
                <w:sz w:val="22"/>
                <w:lang w:eastAsia="en-GB"/>
              </w:rPr>
            </w:pPr>
            <w:r>
              <w:rPr>
                <w:noProof/>
                <w:color w:val="000000"/>
                <w:sz w:val="22"/>
                <w:lang w:eastAsia="en-GB"/>
              </w:rPr>
              <w:t>8,800,000</w:t>
            </w:r>
          </w:p>
        </w:tc>
        <w:tc>
          <w:tcPr>
            <w:tcW w:w="1012" w:type="pct"/>
            <w:noWrap/>
            <w:hideMark/>
          </w:tcPr>
          <w:p>
            <w:pPr>
              <w:spacing w:before="20" w:after="20"/>
              <w:jc w:val="center"/>
              <w:rPr>
                <w:noProof/>
                <w:sz w:val="22"/>
                <w:lang w:eastAsia="en-GB"/>
              </w:rPr>
            </w:pPr>
            <w:r>
              <w:rPr>
                <w:noProof/>
                <w:color w:val="000000"/>
                <w:sz w:val="22"/>
                <w:lang w:eastAsia="en-GB"/>
              </w:rPr>
              <w:t>Number of documents exchanged between the EC, the Council, the Member States, and companies</w:t>
            </w:r>
          </w:p>
        </w:tc>
      </w:tr>
      <w:tr>
        <w:trPr>
          <w:trHeight w:val="290"/>
        </w:trPr>
        <w:tc>
          <w:tcPr>
            <w:tcW w:w="586" w:type="pct"/>
          </w:tcPr>
          <w:p>
            <w:pPr>
              <w:spacing w:before="20" w:after="20"/>
              <w:rPr>
                <w:b/>
                <w:noProof/>
                <w:color w:val="000000"/>
                <w:sz w:val="22"/>
                <w:lang w:eastAsia="en-GB"/>
              </w:rPr>
            </w:pPr>
            <w:r>
              <w:rPr>
                <w:noProof/>
                <w:color w:val="000000"/>
                <w:sz w:val="22"/>
                <w:lang w:eastAsia="en-GB"/>
              </w:rPr>
              <w:t>1. Key and generic interoperability enablers</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2016.29</w:t>
            </w:r>
          </w:p>
        </w:tc>
        <w:tc>
          <w:tcPr>
            <w:tcW w:w="647" w:type="pct"/>
            <w:noWrap/>
            <w:hideMark/>
          </w:tcPr>
          <w:p>
            <w:pPr>
              <w:spacing w:before="20" w:after="20"/>
              <w:jc w:val="center"/>
              <w:rPr>
                <w:noProof/>
                <w:color w:val="000000"/>
                <w:sz w:val="22"/>
                <w:lang w:eastAsia="en-GB"/>
              </w:rPr>
            </w:pPr>
            <w:r>
              <w:rPr>
                <w:noProof/>
                <w:color w:val="000000"/>
                <w:sz w:val="22"/>
                <w:lang w:eastAsia="en-GB"/>
              </w:rPr>
              <w:t>CPSV-AP</w:t>
            </w:r>
          </w:p>
        </w:tc>
        <w:tc>
          <w:tcPr>
            <w:tcW w:w="504" w:type="pct"/>
            <w:noWrap/>
            <w:hideMark/>
          </w:tcPr>
          <w:p>
            <w:pPr>
              <w:spacing w:before="20" w:after="20"/>
              <w:jc w:val="center"/>
              <w:rPr>
                <w:noProof/>
                <w:sz w:val="22"/>
                <w:lang w:eastAsia="en-GB"/>
              </w:rPr>
            </w:pPr>
            <w:r>
              <w:rPr>
                <w:noProof/>
                <w:color w:val="000000"/>
                <w:sz w:val="22"/>
                <w:lang w:eastAsia="en-GB"/>
              </w:rPr>
              <w:t>12</w:t>
            </w:r>
          </w:p>
        </w:tc>
        <w:tc>
          <w:tcPr>
            <w:tcW w:w="1076" w:type="pct"/>
            <w:noWrap/>
            <w:hideMark/>
          </w:tcPr>
          <w:p>
            <w:pPr>
              <w:spacing w:before="20" w:after="20"/>
              <w:jc w:val="center"/>
              <w:rPr>
                <w:noProof/>
                <w:sz w:val="22"/>
                <w:lang w:eastAsia="en-GB"/>
              </w:rPr>
            </w:pPr>
            <w:r>
              <w:rPr>
                <w:noProof/>
                <w:color w:val="000000"/>
                <w:sz w:val="22"/>
                <w:lang w:eastAsia="en-GB"/>
              </w:rPr>
              <w:t>Public administrations in Member States using this solution, including cross-border catalogues</w:t>
            </w:r>
          </w:p>
        </w:tc>
        <w:tc>
          <w:tcPr>
            <w:tcW w:w="491" w:type="pct"/>
            <w:noWrap/>
            <w:hideMark/>
          </w:tcPr>
          <w:p>
            <w:pPr>
              <w:spacing w:before="20" w:after="20"/>
              <w:jc w:val="center"/>
              <w:rPr>
                <w:noProof/>
                <w:sz w:val="22"/>
                <w:lang w:eastAsia="en-GB"/>
              </w:rPr>
            </w:pPr>
            <w:r>
              <w:rPr>
                <w:noProof/>
                <w:color w:val="000000"/>
                <w:sz w:val="22"/>
                <w:lang w:eastAsia="en-GB"/>
              </w:rPr>
              <w:t>2,511</w:t>
            </w:r>
          </w:p>
        </w:tc>
        <w:tc>
          <w:tcPr>
            <w:tcW w:w="1012" w:type="pct"/>
            <w:noWrap/>
            <w:hideMark/>
          </w:tcPr>
          <w:p>
            <w:pPr>
              <w:spacing w:before="20" w:after="20"/>
              <w:jc w:val="center"/>
              <w:rPr>
                <w:noProof/>
                <w:sz w:val="22"/>
                <w:lang w:eastAsia="en-GB"/>
              </w:rPr>
            </w:pPr>
            <w:r>
              <w:rPr>
                <w:noProof/>
                <w:color w:val="000000"/>
                <w:sz w:val="22"/>
                <w:lang w:eastAsia="en-GB"/>
              </w:rPr>
              <w:t>Number of downloads on Joinup (up until March 2019)</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2. Semantic interoperability</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2016.07</w:t>
            </w:r>
          </w:p>
        </w:tc>
        <w:tc>
          <w:tcPr>
            <w:tcW w:w="647" w:type="pct"/>
            <w:noWrap/>
            <w:hideMark/>
          </w:tcPr>
          <w:p>
            <w:pPr>
              <w:spacing w:before="20" w:after="20"/>
              <w:jc w:val="center"/>
              <w:rPr>
                <w:noProof/>
                <w:color w:val="000000"/>
                <w:sz w:val="22"/>
                <w:lang w:eastAsia="en-GB"/>
              </w:rPr>
            </w:pPr>
            <w:r>
              <w:rPr>
                <w:noProof/>
                <w:color w:val="000000"/>
                <w:sz w:val="22"/>
                <w:lang w:eastAsia="en-GB"/>
              </w:rPr>
              <w:t>ADMS</w:t>
            </w:r>
          </w:p>
        </w:tc>
        <w:tc>
          <w:tcPr>
            <w:tcW w:w="504" w:type="pct"/>
            <w:noWrap/>
            <w:hideMark/>
          </w:tcPr>
          <w:p>
            <w:pPr>
              <w:spacing w:before="20" w:after="20"/>
              <w:jc w:val="center"/>
              <w:rPr>
                <w:noProof/>
                <w:sz w:val="22"/>
                <w:lang w:eastAsia="en-GB"/>
              </w:rPr>
            </w:pPr>
            <w:r>
              <w:rPr>
                <w:noProof/>
                <w:color w:val="000000"/>
                <w:sz w:val="22"/>
                <w:lang w:eastAsia="en-GB"/>
              </w:rPr>
              <w:t>9</w:t>
            </w:r>
          </w:p>
        </w:tc>
        <w:tc>
          <w:tcPr>
            <w:tcW w:w="1076" w:type="pct"/>
            <w:noWrap/>
            <w:hideMark/>
          </w:tcPr>
          <w:p>
            <w:pPr>
              <w:spacing w:before="20" w:after="20"/>
              <w:jc w:val="center"/>
              <w:rPr>
                <w:noProof/>
                <w:sz w:val="22"/>
                <w:lang w:eastAsia="en-GB"/>
              </w:rPr>
            </w:pPr>
            <w:r>
              <w:rPr>
                <w:noProof/>
                <w:color w:val="000000"/>
                <w:sz w:val="22"/>
                <w:lang w:eastAsia="en-GB"/>
              </w:rPr>
              <w:t>Public administrations (Member States, EC), company – using this solution</w:t>
            </w:r>
          </w:p>
        </w:tc>
        <w:tc>
          <w:tcPr>
            <w:tcW w:w="491" w:type="pct"/>
            <w:noWrap/>
            <w:hideMark/>
          </w:tcPr>
          <w:p>
            <w:pPr>
              <w:spacing w:before="20" w:after="20"/>
              <w:jc w:val="center"/>
              <w:rPr>
                <w:noProof/>
                <w:sz w:val="22"/>
                <w:lang w:eastAsia="en-GB"/>
              </w:rPr>
            </w:pPr>
            <w:r>
              <w:rPr>
                <w:noProof/>
                <w:color w:val="000000"/>
                <w:sz w:val="22"/>
                <w:lang w:eastAsia="en-GB"/>
              </w:rPr>
              <w:t>4,700</w:t>
            </w:r>
          </w:p>
        </w:tc>
        <w:tc>
          <w:tcPr>
            <w:tcW w:w="1012" w:type="pct"/>
            <w:noWrap/>
            <w:hideMark/>
          </w:tcPr>
          <w:p>
            <w:pPr>
              <w:spacing w:before="20" w:after="20"/>
              <w:jc w:val="center"/>
              <w:rPr>
                <w:noProof/>
                <w:sz w:val="22"/>
                <w:lang w:eastAsia="en-GB"/>
              </w:rPr>
            </w:pPr>
            <w:r>
              <w:rPr>
                <w:noProof/>
                <w:color w:val="000000"/>
                <w:sz w:val="22"/>
                <w:lang w:eastAsia="en-GB"/>
              </w:rPr>
              <w:t>Number of interoperability solutions on Joinup described using ADMS</w:t>
            </w:r>
          </w:p>
        </w:tc>
      </w:tr>
      <w:tr>
        <w:trPr>
          <w:trHeight w:val="290"/>
        </w:trPr>
        <w:tc>
          <w:tcPr>
            <w:tcW w:w="586" w:type="pct"/>
          </w:tcPr>
          <w:p>
            <w:pPr>
              <w:spacing w:before="20" w:after="20"/>
              <w:rPr>
                <w:b/>
                <w:noProof/>
                <w:color w:val="000000"/>
                <w:sz w:val="22"/>
                <w:lang w:eastAsia="en-GB"/>
              </w:rPr>
            </w:pPr>
            <w:r>
              <w:rPr>
                <w:noProof/>
                <w:color w:val="000000"/>
                <w:sz w:val="22"/>
                <w:lang w:eastAsia="en-GB"/>
              </w:rPr>
              <w:t>2. Semantic interoperability</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2016.07</w:t>
            </w:r>
          </w:p>
        </w:tc>
        <w:tc>
          <w:tcPr>
            <w:tcW w:w="647" w:type="pct"/>
            <w:noWrap/>
            <w:hideMark/>
          </w:tcPr>
          <w:p>
            <w:pPr>
              <w:spacing w:before="20" w:after="20"/>
              <w:jc w:val="center"/>
              <w:rPr>
                <w:noProof/>
                <w:color w:val="000000"/>
                <w:sz w:val="22"/>
                <w:lang w:eastAsia="en-GB"/>
              </w:rPr>
            </w:pPr>
            <w:r>
              <w:rPr>
                <w:noProof/>
                <w:color w:val="000000"/>
                <w:sz w:val="22"/>
                <w:lang w:eastAsia="en-GB"/>
              </w:rPr>
              <w:t>Core vocabularies</w:t>
            </w:r>
          </w:p>
        </w:tc>
        <w:tc>
          <w:tcPr>
            <w:tcW w:w="504" w:type="pct"/>
            <w:noWrap/>
            <w:hideMark/>
          </w:tcPr>
          <w:p>
            <w:pPr>
              <w:spacing w:before="20" w:after="20"/>
              <w:jc w:val="center"/>
              <w:rPr>
                <w:noProof/>
                <w:sz w:val="22"/>
                <w:lang w:eastAsia="en-GB"/>
              </w:rPr>
            </w:pPr>
            <w:r>
              <w:rPr>
                <w:noProof/>
                <w:color w:val="000000"/>
                <w:sz w:val="22"/>
                <w:lang w:eastAsia="en-GB"/>
              </w:rPr>
              <w:t>11</w:t>
            </w:r>
          </w:p>
        </w:tc>
        <w:tc>
          <w:tcPr>
            <w:tcW w:w="1076" w:type="pct"/>
            <w:noWrap/>
            <w:hideMark/>
          </w:tcPr>
          <w:p>
            <w:pPr>
              <w:spacing w:before="20" w:after="20"/>
              <w:jc w:val="center"/>
              <w:rPr>
                <w:noProof/>
                <w:sz w:val="22"/>
                <w:lang w:eastAsia="en-GB"/>
              </w:rPr>
            </w:pPr>
            <w:r>
              <w:rPr>
                <w:noProof/>
                <w:color w:val="000000"/>
                <w:sz w:val="22"/>
                <w:lang w:eastAsia="en-GB"/>
              </w:rPr>
              <w:t>Public administrations (in the Member States and EC) using this solution</w:t>
            </w:r>
          </w:p>
        </w:tc>
        <w:tc>
          <w:tcPr>
            <w:tcW w:w="491" w:type="pct"/>
            <w:noWrap/>
            <w:hideMark/>
          </w:tcPr>
          <w:p>
            <w:pPr>
              <w:spacing w:before="20" w:after="20"/>
              <w:jc w:val="center"/>
              <w:rPr>
                <w:noProof/>
                <w:sz w:val="22"/>
                <w:lang w:eastAsia="en-GB"/>
              </w:rPr>
            </w:pPr>
            <w:r>
              <w:rPr>
                <w:noProof/>
                <w:color w:val="000000"/>
                <w:sz w:val="22"/>
                <w:lang w:eastAsia="en-GB"/>
              </w:rPr>
              <w:t> </w:t>
            </w:r>
          </w:p>
        </w:tc>
        <w:tc>
          <w:tcPr>
            <w:tcW w:w="1012" w:type="pct"/>
            <w:noWrap/>
            <w:hideMark/>
          </w:tcPr>
          <w:p>
            <w:pPr>
              <w:spacing w:before="20" w:after="20"/>
              <w:jc w:val="center"/>
              <w:rPr>
                <w:noProof/>
                <w:color w:val="000000"/>
                <w:sz w:val="22"/>
                <w:lang w:eastAsia="en-GB"/>
              </w:rPr>
            </w:pPr>
            <w:r>
              <w:rPr>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2. Semantic interoperability</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2016.07</w:t>
            </w:r>
          </w:p>
        </w:tc>
        <w:tc>
          <w:tcPr>
            <w:tcW w:w="647" w:type="pct"/>
            <w:noWrap/>
            <w:hideMark/>
          </w:tcPr>
          <w:p>
            <w:pPr>
              <w:spacing w:before="20" w:after="20"/>
              <w:jc w:val="center"/>
              <w:rPr>
                <w:noProof/>
                <w:color w:val="000000"/>
                <w:sz w:val="22"/>
                <w:lang w:eastAsia="en-GB"/>
              </w:rPr>
            </w:pPr>
            <w:r>
              <w:rPr>
                <w:noProof/>
                <w:color w:val="000000"/>
                <w:sz w:val="22"/>
                <w:lang w:eastAsia="en-GB"/>
              </w:rPr>
              <w:t>DCAT-AP</w:t>
            </w:r>
          </w:p>
        </w:tc>
        <w:tc>
          <w:tcPr>
            <w:tcW w:w="504" w:type="pct"/>
            <w:noWrap/>
            <w:hideMark/>
          </w:tcPr>
          <w:p>
            <w:pPr>
              <w:spacing w:before="20" w:after="20"/>
              <w:jc w:val="center"/>
              <w:rPr>
                <w:noProof/>
                <w:color w:val="000000"/>
                <w:sz w:val="22"/>
                <w:lang w:eastAsia="en-GB"/>
              </w:rPr>
            </w:pPr>
            <w:r>
              <w:rPr>
                <w:noProof/>
                <w:color w:val="000000"/>
                <w:sz w:val="22"/>
                <w:lang w:eastAsia="en-GB"/>
              </w:rPr>
              <w:t>29</w:t>
            </w:r>
          </w:p>
        </w:tc>
        <w:tc>
          <w:tcPr>
            <w:tcW w:w="1076" w:type="pct"/>
            <w:noWrap/>
            <w:hideMark/>
          </w:tcPr>
          <w:p>
            <w:pPr>
              <w:spacing w:before="20" w:after="20"/>
              <w:jc w:val="center"/>
              <w:rPr>
                <w:noProof/>
                <w:sz w:val="22"/>
                <w:lang w:eastAsia="en-GB"/>
              </w:rPr>
            </w:pPr>
            <w:r>
              <w:rPr>
                <w:noProof/>
                <w:color w:val="000000"/>
                <w:sz w:val="22"/>
                <w:lang w:eastAsia="en-GB"/>
              </w:rPr>
              <w:t>Public administrations (in the Member States and EC) and their data portals, associations, universities – using this solution</w:t>
            </w:r>
          </w:p>
        </w:tc>
        <w:tc>
          <w:tcPr>
            <w:tcW w:w="491" w:type="pct"/>
            <w:noWrap/>
            <w:hideMark/>
          </w:tcPr>
          <w:p>
            <w:pPr>
              <w:spacing w:before="20" w:after="20"/>
              <w:jc w:val="center"/>
              <w:rPr>
                <w:noProof/>
                <w:sz w:val="22"/>
                <w:lang w:eastAsia="en-GB"/>
              </w:rPr>
            </w:pPr>
            <w:r>
              <w:rPr>
                <w:noProof/>
                <w:color w:val="000000"/>
                <w:sz w:val="22"/>
                <w:lang w:eastAsia="en-GB"/>
              </w:rPr>
              <w:t> </w:t>
            </w:r>
          </w:p>
        </w:tc>
        <w:tc>
          <w:tcPr>
            <w:tcW w:w="1012" w:type="pct"/>
            <w:noWrap/>
            <w:hideMark/>
          </w:tcPr>
          <w:p>
            <w:pPr>
              <w:spacing w:before="20" w:after="20"/>
              <w:jc w:val="center"/>
              <w:rPr>
                <w:noProof/>
                <w:sz w:val="22"/>
                <w:lang w:eastAsia="en-GB"/>
              </w:rPr>
            </w:pPr>
            <w:r>
              <w:rPr>
                <w:noProof/>
                <w:color w:val="000000"/>
                <w:sz w:val="22"/>
                <w:lang w:eastAsia="en-GB"/>
              </w:rPr>
              <w:t> </w:t>
            </w:r>
          </w:p>
        </w:tc>
      </w:tr>
      <w:tr>
        <w:trPr>
          <w:trHeight w:val="290"/>
        </w:trPr>
        <w:tc>
          <w:tcPr>
            <w:tcW w:w="586" w:type="pct"/>
          </w:tcPr>
          <w:p>
            <w:pPr>
              <w:spacing w:before="20" w:after="20"/>
              <w:rPr>
                <w:b/>
                <w:noProof/>
                <w:color w:val="000000"/>
                <w:sz w:val="22"/>
                <w:lang w:eastAsia="en-GB"/>
              </w:rPr>
            </w:pPr>
            <w:r>
              <w:rPr>
                <w:noProof/>
                <w:color w:val="000000"/>
                <w:sz w:val="22"/>
                <w:lang w:eastAsia="en-GB"/>
              </w:rPr>
              <w:t>2. Semantic interoperability</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2016.07</w:t>
            </w:r>
          </w:p>
        </w:tc>
        <w:tc>
          <w:tcPr>
            <w:tcW w:w="647" w:type="pct"/>
          </w:tcPr>
          <w:p>
            <w:pPr>
              <w:spacing w:before="20" w:after="20"/>
              <w:jc w:val="center"/>
              <w:rPr>
                <w:noProof/>
                <w:color w:val="000000"/>
                <w:sz w:val="22"/>
                <w:lang w:eastAsia="en-GB"/>
              </w:rPr>
            </w:pPr>
            <w:r>
              <w:rPr>
                <w:noProof/>
                <w:color w:val="000000"/>
                <w:sz w:val="22"/>
                <w:lang w:eastAsia="en-GB"/>
              </w:rPr>
              <w:t xml:space="preserve">VocBench3 </w:t>
            </w:r>
          </w:p>
        </w:tc>
        <w:tc>
          <w:tcPr>
            <w:tcW w:w="504" w:type="pct"/>
          </w:tcPr>
          <w:p>
            <w:pPr>
              <w:spacing w:before="20" w:after="20"/>
              <w:jc w:val="center"/>
              <w:rPr>
                <w:noProof/>
                <w:color w:val="000000"/>
                <w:sz w:val="22"/>
                <w:lang w:eastAsia="en-GB"/>
              </w:rPr>
            </w:pPr>
            <w:r>
              <w:rPr>
                <w:noProof/>
                <w:color w:val="000000"/>
                <w:sz w:val="22"/>
                <w:lang w:eastAsia="en-GB"/>
              </w:rPr>
              <w:t>14</w:t>
            </w:r>
          </w:p>
        </w:tc>
        <w:tc>
          <w:tcPr>
            <w:tcW w:w="1076" w:type="pct"/>
            <w:noWrap/>
            <w:hideMark/>
          </w:tcPr>
          <w:p>
            <w:pPr>
              <w:spacing w:before="20" w:after="20"/>
              <w:jc w:val="center"/>
              <w:rPr>
                <w:noProof/>
                <w:color w:val="000000"/>
                <w:sz w:val="22"/>
                <w:lang w:eastAsia="en-GB"/>
              </w:rPr>
            </w:pPr>
            <w:r>
              <w:rPr>
                <w:noProof/>
                <w:color w:val="000000"/>
                <w:sz w:val="22"/>
                <w:lang w:eastAsia="en-GB"/>
              </w:rPr>
              <w:t>Number of public administrations (in the Member States and EC), universities, institutes, international organisations using the previous versions of VocBench.</w:t>
            </w:r>
          </w:p>
        </w:tc>
        <w:tc>
          <w:tcPr>
            <w:tcW w:w="491" w:type="pct"/>
            <w:noWrap/>
            <w:hideMark/>
          </w:tcPr>
          <w:p>
            <w:pPr>
              <w:spacing w:before="20" w:after="20"/>
              <w:jc w:val="center"/>
              <w:rPr>
                <w:noProof/>
                <w:sz w:val="22"/>
                <w:lang w:eastAsia="en-GB"/>
              </w:rPr>
            </w:pPr>
            <w:r>
              <w:rPr>
                <w:noProof/>
                <w:color w:val="000000"/>
                <w:sz w:val="22"/>
                <w:lang w:eastAsia="en-GB"/>
              </w:rPr>
              <w:t> </w:t>
            </w:r>
          </w:p>
        </w:tc>
        <w:tc>
          <w:tcPr>
            <w:tcW w:w="1012" w:type="pct"/>
            <w:noWrap/>
            <w:hideMark/>
          </w:tcPr>
          <w:p>
            <w:pPr>
              <w:spacing w:before="20" w:after="20"/>
              <w:jc w:val="center"/>
              <w:rPr>
                <w:noProof/>
                <w:sz w:val="22"/>
                <w:lang w:eastAsia="en-GB"/>
              </w:rPr>
            </w:pPr>
            <w:r>
              <w:rPr>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2. Semantic interoperability</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r>
              <w:rPr>
                <w:noProof/>
                <w:color w:val="000000"/>
                <w:sz w:val="22"/>
                <w:vertAlign w:val="superscript"/>
                <w:lang w:eastAsia="en-GB"/>
              </w:rPr>
              <w:t>2</w:t>
            </w:r>
          </w:p>
        </w:tc>
        <w:tc>
          <w:tcPr>
            <w:tcW w:w="361" w:type="pct"/>
            <w:noWrap/>
            <w:hideMark/>
          </w:tcPr>
          <w:p>
            <w:pPr>
              <w:spacing w:before="20" w:after="20"/>
              <w:jc w:val="center"/>
              <w:rPr>
                <w:noProof/>
                <w:color w:val="000000"/>
                <w:sz w:val="22"/>
                <w:lang w:eastAsia="en-GB"/>
              </w:rPr>
            </w:pPr>
            <w:r>
              <w:rPr>
                <w:noProof/>
                <w:color w:val="000000"/>
                <w:sz w:val="22"/>
                <w:lang w:eastAsia="en-GB"/>
              </w:rPr>
              <w:t>2016.16</w:t>
            </w:r>
          </w:p>
        </w:tc>
        <w:tc>
          <w:tcPr>
            <w:tcW w:w="647" w:type="pct"/>
          </w:tcPr>
          <w:p>
            <w:pPr>
              <w:spacing w:before="20" w:after="20"/>
              <w:jc w:val="center"/>
              <w:rPr>
                <w:noProof/>
                <w:color w:val="000000"/>
                <w:sz w:val="22"/>
                <w:lang w:eastAsia="en-GB"/>
              </w:rPr>
            </w:pPr>
            <w:r>
              <w:rPr>
                <w:noProof/>
                <w:color w:val="000000"/>
                <w:sz w:val="22"/>
                <w:lang w:eastAsia="en-GB"/>
              </w:rPr>
              <w:t>PMKI Core data model for multilingual taxonomies/ terminologies</w:t>
            </w:r>
          </w:p>
        </w:tc>
        <w:tc>
          <w:tcPr>
            <w:tcW w:w="504" w:type="pct"/>
            <w:noWrap/>
            <w:hideMark/>
          </w:tcPr>
          <w:p>
            <w:pPr>
              <w:spacing w:before="20" w:after="20"/>
              <w:jc w:val="center"/>
              <w:rPr>
                <w:noProof/>
                <w:color w:val="000000"/>
                <w:sz w:val="22"/>
                <w:lang w:eastAsia="en-GB"/>
              </w:rPr>
            </w:pPr>
            <w:r>
              <w:rPr>
                <w:noProof/>
                <w:color w:val="000000"/>
                <w:sz w:val="22"/>
                <w:lang w:eastAsia="en-GB"/>
              </w:rPr>
              <w:t>2 journal articles; 5 international conference proceedings</w:t>
            </w:r>
          </w:p>
        </w:tc>
        <w:tc>
          <w:tcPr>
            <w:tcW w:w="1076" w:type="pct"/>
            <w:noWrap/>
            <w:hideMark/>
          </w:tcPr>
          <w:p>
            <w:pPr>
              <w:spacing w:before="20" w:after="20"/>
              <w:jc w:val="center"/>
              <w:rPr>
                <w:noProof/>
                <w:color w:val="000000"/>
                <w:sz w:val="22"/>
                <w:lang w:eastAsia="en-GB"/>
              </w:rPr>
            </w:pPr>
            <w:r>
              <w:rPr>
                <w:noProof/>
                <w:color w:val="000000"/>
                <w:sz w:val="22"/>
                <w:lang w:eastAsia="en-GB"/>
              </w:rPr>
              <w:t>Instances of inclusion in academic journals and international conferences</w:t>
            </w:r>
          </w:p>
        </w:tc>
        <w:tc>
          <w:tcPr>
            <w:tcW w:w="491" w:type="pct"/>
            <w:noWrap/>
            <w:hideMark/>
          </w:tcPr>
          <w:p>
            <w:pPr>
              <w:spacing w:before="20" w:after="20"/>
              <w:jc w:val="center"/>
              <w:rPr>
                <w:noProof/>
                <w:color w:val="000000"/>
                <w:sz w:val="22"/>
                <w:lang w:eastAsia="en-GB"/>
              </w:rPr>
            </w:pPr>
            <w:r>
              <w:rPr>
                <w:noProof/>
                <w:color w:val="000000"/>
                <w:sz w:val="22"/>
                <w:lang w:eastAsia="en-GB"/>
              </w:rPr>
              <w:t> </w:t>
            </w:r>
          </w:p>
        </w:tc>
        <w:tc>
          <w:tcPr>
            <w:tcW w:w="1012" w:type="pct"/>
            <w:noWrap/>
            <w:hideMark/>
          </w:tcPr>
          <w:p>
            <w:pPr>
              <w:spacing w:before="20" w:after="20"/>
              <w:jc w:val="center"/>
              <w:rPr>
                <w:noProof/>
                <w:color w:val="000000"/>
                <w:sz w:val="22"/>
                <w:lang w:eastAsia="en-GB"/>
              </w:rPr>
            </w:pPr>
            <w:r>
              <w:rPr>
                <w:noProof/>
                <w:color w:val="000000"/>
                <w:sz w:val="22"/>
                <w:lang w:eastAsia="en-GB"/>
              </w:rPr>
              <w:t> </w:t>
            </w:r>
          </w:p>
        </w:tc>
      </w:tr>
      <w:tr>
        <w:trPr>
          <w:trHeight w:val="290"/>
        </w:trPr>
        <w:tc>
          <w:tcPr>
            <w:tcW w:w="586" w:type="pct"/>
          </w:tcPr>
          <w:p>
            <w:pPr>
              <w:spacing w:before="20" w:after="20"/>
              <w:rPr>
                <w:b/>
                <w:noProof/>
                <w:color w:val="000000"/>
                <w:sz w:val="22"/>
                <w:lang w:eastAsia="en-GB"/>
              </w:rPr>
            </w:pPr>
            <w:r>
              <w:rPr>
                <w:noProof/>
                <w:color w:val="000000"/>
                <w:sz w:val="22"/>
                <w:lang w:eastAsia="en-GB"/>
              </w:rPr>
              <w:t>2. Semantic interoperability</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r>
              <w:rPr>
                <w:noProof/>
                <w:color w:val="000000"/>
                <w:sz w:val="22"/>
                <w:vertAlign w:val="superscript"/>
                <w:lang w:eastAsia="en-GB"/>
              </w:rPr>
              <w:t>2</w:t>
            </w:r>
          </w:p>
        </w:tc>
        <w:tc>
          <w:tcPr>
            <w:tcW w:w="361" w:type="pct"/>
            <w:noWrap/>
            <w:hideMark/>
          </w:tcPr>
          <w:p>
            <w:pPr>
              <w:spacing w:before="20" w:after="20"/>
              <w:jc w:val="center"/>
              <w:rPr>
                <w:noProof/>
                <w:color w:val="000000"/>
                <w:sz w:val="22"/>
                <w:lang w:eastAsia="en-GB"/>
              </w:rPr>
            </w:pPr>
            <w:r>
              <w:rPr>
                <w:noProof/>
                <w:color w:val="000000"/>
                <w:sz w:val="22"/>
                <w:lang w:eastAsia="en-GB"/>
              </w:rPr>
              <w:t>2016.16</w:t>
            </w:r>
          </w:p>
        </w:tc>
        <w:tc>
          <w:tcPr>
            <w:tcW w:w="647" w:type="pct"/>
          </w:tcPr>
          <w:p>
            <w:pPr>
              <w:spacing w:before="20" w:after="20"/>
              <w:jc w:val="center"/>
              <w:rPr>
                <w:noProof/>
                <w:color w:val="000000"/>
                <w:sz w:val="22"/>
                <w:lang w:eastAsia="en-GB"/>
              </w:rPr>
            </w:pPr>
            <w:r>
              <w:rPr>
                <w:noProof/>
                <w:color w:val="000000"/>
                <w:sz w:val="22"/>
                <w:lang w:eastAsia="en-GB"/>
              </w:rPr>
              <w:t xml:space="preserve">Semantic links </w:t>
            </w:r>
          </w:p>
        </w:tc>
        <w:tc>
          <w:tcPr>
            <w:tcW w:w="504" w:type="pct"/>
          </w:tcPr>
          <w:p>
            <w:pPr>
              <w:spacing w:before="20" w:after="20"/>
              <w:jc w:val="center"/>
              <w:rPr>
                <w:noProof/>
                <w:color w:val="000000"/>
                <w:sz w:val="22"/>
                <w:lang w:eastAsia="en-GB"/>
              </w:rPr>
            </w:pPr>
            <w:r>
              <w:rPr>
                <w:noProof/>
                <w:color w:val="000000"/>
                <w:sz w:val="22"/>
                <w:lang w:eastAsia="en-GB"/>
              </w:rPr>
              <w:t>4</w:t>
            </w:r>
          </w:p>
        </w:tc>
        <w:tc>
          <w:tcPr>
            <w:tcW w:w="1076" w:type="pct"/>
            <w:noWrap/>
            <w:hideMark/>
          </w:tcPr>
          <w:p>
            <w:pPr>
              <w:spacing w:before="20" w:after="20"/>
              <w:jc w:val="center"/>
              <w:rPr>
                <w:noProof/>
                <w:color w:val="000000"/>
                <w:sz w:val="22"/>
                <w:lang w:eastAsia="en-GB"/>
              </w:rPr>
            </w:pPr>
            <w:r>
              <w:rPr>
                <w:noProof/>
                <w:color w:val="000000"/>
                <w:sz w:val="22"/>
                <w:lang w:eastAsia="en-GB"/>
              </w:rPr>
              <w:t>Collaborations with European public administrations to establish semantic interoperability between national language resources and EuroVoc (3 Member States and the EP)</w:t>
            </w:r>
          </w:p>
        </w:tc>
        <w:tc>
          <w:tcPr>
            <w:tcW w:w="491" w:type="pct"/>
            <w:noWrap/>
            <w:hideMark/>
          </w:tcPr>
          <w:p>
            <w:pPr>
              <w:spacing w:before="20" w:after="20"/>
              <w:jc w:val="center"/>
              <w:rPr>
                <w:noProof/>
                <w:sz w:val="22"/>
                <w:lang w:eastAsia="en-GB"/>
              </w:rPr>
            </w:pPr>
            <w:r>
              <w:rPr>
                <w:noProof/>
                <w:color w:val="000000"/>
                <w:sz w:val="22"/>
                <w:lang w:eastAsia="en-GB"/>
              </w:rPr>
              <w:t> </w:t>
            </w:r>
          </w:p>
        </w:tc>
        <w:tc>
          <w:tcPr>
            <w:tcW w:w="1012" w:type="pct"/>
            <w:noWrap/>
            <w:hideMark/>
          </w:tcPr>
          <w:p>
            <w:pPr>
              <w:spacing w:before="20" w:after="20"/>
              <w:jc w:val="center"/>
              <w:rPr>
                <w:noProof/>
                <w:sz w:val="22"/>
                <w:lang w:eastAsia="en-GB"/>
              </w:rPr>
            </w:pPr>
            <w:r>
              <w:rPr>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3. Access to data/data sharing/open data</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r>
              <w:rPr>
                <w:noProof/>
                <w:color w:val="000000"/>
                <w:sz w:val="22"/>
                <w:vertAlign w:val="superscript"/>
                <w:lang w:eastAsia="en-GB"/>
              </w:rPr>
              <w:t>2</w:t>
            </w:r>
          </w:p>
        </w:tc>
        <w:tc>
          <w:tcPr>
            <w:tcW w:w="361" w:type="pct"/>
            <w:noWrap/>
            <w:hideMark/>
          </w:tcPr>
          <w:p>
            <w:pPr>
              <w:spacing w:before="20" w:after="20"/>
              <w:jc w:val="center"/>
              <w:rPr>
                <w:noProof/>
                <w:color w:val="000000"/>
                <w:sz w:val="22"/>
                <w:lang w:eastAsia="en-GB"/>
              </w:rPr>
            </w:pPr>
            <w:r>
              <w:rPr>
                <w:noProof/>
                <w:color w:val="000000"/>
                <w:sz w:val="22"/>
                <w:lang w:eastAsia="en-GB"/>
              </w:rPr>
              <w:t>2016.06</w:t>
            </w:r>
          </w:p>
        </w:tc>
        <w:tc>
          <w:tcPr>
            <w:tcW w:w="647" w:type="pct"/>
            <w:noWrap/>
            <w:hideMark/>
          </w:tcPr>
          <w:p>
            <w:pPr>
              <w:spacing w:before="20" w:after="20"/>
              <w:jc w:val="center"/>
              <w:rPr>
                <w:noProof/>
                <w:color w:val="000000"/>
                <w:sz w:val="22"/>
                <w:lang w:eastAsia="en-GB"/>
              </w:rPr>
            </w:pPr>
            <w:r>
              <w:rPr>
                <w:noProof/>
                <w:color w:val="000000"/>
                <w:sz w:val="22"/>
                <w:lang w:eastAsia="en-GB"/>
              </w:rPr>
              <w:t>ESS Service Catalogue</w:t>
            </w:r>
          </w:p>
        </w:tc>
        <w:tc>
          <w:tcPr>
            <w:tcW w:w="504" w:type="pct"/>
            <w:noWrap/>
            <w:hideMark/>
          </w:tcPr>
          <w:p>
            <w:pPr>
              <w:spacing w:before="20" w:after="20"/>
              <w:jc w:val="center"/>
              <w:rPr>
                <w:noProof/>
                <w:sz w:val="22"/>
                <w:lang w:eastAsia="en-GB"/>
              </w:rPr>
            </w:pPr>
            <w:r>
              <w:rPr>
                <w:noProof/>
                <w:color w:val="000000"/>
                <w:sz w:val="22"/>
                <w:lang w:eastAsia="en-GB"/>
              </w:rPr>
              <w:t>10</w:t>
            </w:r>
          </w:p>
        </w:tc>
        <w:tc>
          <w:tcPr>
            <w:tcW w:w="1076" w:type="pct"/>
            <w:noWrap/>
            <w:hideMark/>
          </w:tcPr>
          <w:p>
            <w:pPr>
              <w:spacing w:before="20" w:after="20"/>
              <w:jc w:val="center"/>
              <w:rPr>
                <w:noProof/>
                <w:sz w:val="22"/>
                <w:lang w:eastAsia="en-GB"/>
              </w:rPr>
            </w:pPr>
            <w:r>
              <w:rPr>
                <w:noProof/>
                <w:color w:val="000000"/>
                <w:sz w:val="22"/>
                <w:lang w:eastAsia="en-GB"/>
              </w:rPr>
              <w:t>Number of registered contributors</w:t>
            </w:r>
          </w:p>
        </w:tc>
        <w:tc>
          <w:tcPr>
            <w:tcW w:w="491" w:type="pct"/>
            <w:noWrap/>
            <w:hideMark/>
          </w:tcPr>
          <w:p>
            <w:pPr>
              <w:spacing w:before="20" w:after="20"/>
              <w:jc w:val="center"/>
              <w:rPr>
                <w:noProof/>
                <w:sz w:val="22"/>
                <w:lang w:eastAsia="en-GB"/>
              </w:rPr>
            </w:pPr>
            <w:r>
              <w:rPr>
                <w:noProof/>
                <w:color w:val="000000"/>
                <w:sz w:val="22"/>
                <w:lang w:eastAsia="en-GB"/>
              </w:rPr>
              <w:t>13</w:t>
            </w:r>
          </w:p>
        </w:tc>
        <w:tc>
          <w:tcPr>
            <w:tcW w:w="1012" w:type="pct"/>
            <w:noWrap/>
            <w:hideMark/>
          </w:tcPr>
          <w:p>
            <w:pPr>
              <w:spacing w:before="20" w:after="20"/>
              <w:jc w:val="center"/>
              <w:rPr>
                <w:noProof/>
                <w:sz w:val="22"/>
                <w:lang w:eastAsia="en-GB"/>
              </w:rPr>
            </w:pPr>
            <w:r>
              <w:rPr>
                <w:noProof/>
                <w:color w:val="000000"/>
                <w:sz w:val="22"/>
                <w:lang w:eastAsia="en-GB"/>
              </w:rPr>
              <w:t>Number of statistical organisations listed</w:t>
            </w:r>
          </w:p>
        </w:tc>
      </w:tr>
      <w:tr>
        <w:trPr>
          <w:trHeight w:val="290"/>
        </w:trPr>
        <w:tc>
          <w:tcPr>
            <w:tcW w:w="586" w:type="pct"/>
          </w:tcPr>
          <w:p>
            <w:pPr>
              <w:spacing w:before="20" w:after="20"/>
              <w:rPr>
                <w:b/>
                <w:noProof/>
                <w:color w:val="000000"/>
                <w:sz w:val="22"/>
                <w:lang w:eastAsia="en-GB"/>
              </w:rPr>
            </w:pPr>
            <w:r>
              <w:rPr>
                <w:noProof/>
                <w:color w:val="000000"/>
                <w:sz w:val="22"/>
                <w:lang w:eastAsia="en-GB"/>
              </w:rPr>
              <w:t>4. Geospatial solutions</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2016.10</w:t>
            </w:r>
          </w:p>
        </w:tc>
        <w:tc>
          <w:tcPr>
            <w:tcW w:w="647" w:type="pct"/>
            <w:noWrap/>
            <w:hideMark/>
          </w:tcPr>
          <w:p>
            <w:pPr>
              <w:spacing w:before="20" w:after="20"/>
              <w:jc w:val="center"/>
              <w:rPr>
                <w:noProof/>
                <w:color w:val="000000"/>
                <w:sz w:val="22"/>
                <w:lang w:eastAsia="en-GB"/>
              </w:rPr>
            </w:pPr>
            <w:r>
              <w:rPr>
                <w:noProof/>
                <w:color w:val="000000"/>
                <w:sz w:val="22"/>
                <w:lang w:eastAsia="en-GB"/>
              </w:rPr>
              <w:t>Re3gistry</w:t>
            </w:r>
          </w:p>
        </w:tc>
        <w:tc>
          <w:tcPr>
            <w:tcW w:w="504" w:type="pct"/>
            <w:noWrap/>
            <w:hideMark/>
          </w:tcPr>
          <w:p>
            <w:pPr>
              <w:spacing w:before="20" w:after="20"/>
              <w:jc w:val="center"/>
              <w:rPr>
                <w:noProof/>
                <w:sz w:val="22"/>
                <w:lang w:eastAsia="en-GB"/>
              </w:rPr>
            </w:pPr>
            <w:r>
              <w:rPr>
                <w:noProof/>
                <w:color w:val="000000"/>
                <w:sz w:val="22"/>
                <w:lang w:eastAsia="en-GB"/>
              </w:rPr>
              <w:t>13</w:t>
            </w:r>
          </w:p>
        </w:tc>
        <w:tc>
          <w:tcPr>
            <w:tcW w:w="1076" w:type="pct"/>
            <w:noWrap/>
            <w:hideMark/>
          </w:tcPr>
          <w:p>
            <w:pPr>
              <w:spacing w:before="20" w:after="20"/>
              <w:jc w:val="center"/>
              <w:rPr>
                <w:noProof/>
                <w:sz w:val="22"/>
                <w:lang w:eastAsia="en-GB"/>
              </w:rPr>
            </w:pPr>
            <w:r>
              <w:rPr>
                <w:noProof/>
                <w:color w:val="000000"/>
                <w:sz w:val="22"/>
                <w:lang w:eastAsia="en-GB"/>
              </w:rPr>
              <w:t>Public administrations (Member States, EC) using this solution</w:t>
            </w:r>
          </w:p>
        </w:tc>
        <w:tc>
          <w:tcPr>
            <w:tcW w:w="491" w:type="pct"/>
            <w:noWrap/>
            <w:hideMark/>
          </w:tcPr>
          <w:p>
            <w:pPr>
              <w:spacing w:before="20" w:after="20"/>
              <w:jc w:val="center"/>
              <w:rPr>
                <w:noProof/>
                <w:sz w:val="22"/>
                <w:lang w:eastAsia="en-GB"/>
              </w:rPr>
            </w:pPr>
            <w:r>
              <w:rPr>
                <w:noProof/>
                <w:color w:val="000000"/>
                <w:sz w:val="22"/>
                <w:lang w:eastAsia="en-GB"/>
              </w:rPr>
              <w:t> </w:t>
            </w:r>
          </w:p>
        </w:tc>
        <w:tc>
          <w:tcPr>
            <w:tcW w:w="1012" w:type="pct"/>
            <w:noWrap/>
            <w:hideMark/>
          </w:tcPr>
          <w:p>
            <w:pPr>
              <w:spacing w:before="20" w:after="20"/>
              <w:jc w:val="center"/>
              <w:rPr>
                <w:noProof/>
                <w:sz w:val="22"/>
                <w:lang w:eastAsia="en-GB"/>
              </w:rPr>
            </w:pPr>
            <w:r>
              <w:rPr>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5. eProcurement/ eInvoicing - Supporting instruments</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2016.05</w:t>
            </w:r>
          </w:p>
        </w:tc>
        <w:tc>
          <w:tcPr>
            <w:tcW w:w="647" w:type="pct"/>
            <w:noWrap/>
            <w:hideMark/>
          </w:tcPr>
          <w:p>
            <w:pPr>
              <w:spacing w:before="20" w:after="20"/>
              <w:jc w:val="center"/>
              <w:rPr>
                <w:noProof/>
                <w:color w:val="000000"/>
                <w:sz w:val="22"/>
                <w:lang w:eastAsia="en-GB"/>
              </w:rPr>
            </w:pPr>
            <w:r>
              <w:rPr>
                <w:noProof/>
                <w:color w:val="000000"/>
                <w:sz w:val="22"/>
                <w:lang w:eastAsia="en-GB"/>
              </w:rPr>
              <w:t>Open e-Prior</w:t>
            </w:r>
          </w:p>
        </w:tc>
        <w:tc>
          <w:tcPr>
            <w:tcW w:w="504" w:type="pct"/>
            <w:noWrap/>
            <w:hideMark/>
          </w:tcPr>
          <w:p>
            <w:pPr>
              <w:spacing w:before="20" w:after="20"/>
              <w:jc w:val="center"/>
              <w:rPr>
                <w:noProof/>
                <w:color w:val="000000"/>
                <w:sz w:val="22"/>
                <w:lang w:eastAsia="en-GB"/>
              </w:rPr>
            </w:pPr>
            <w:r>
              <w:rPr>
                <w:noProof/>
                <w:color w:val="000000"/>
                <w:sz w:val="22"/>
                <w:lang w:eastAsia="en-GB"/>
              </w:rPr>
              <w:t>70</w:t>
            </w:r>
          </w:p>
        </w:tc>
        <w:tc>
          <w:tcPr>
            <w:tcW w:w="1076" w:type="pct"/>
            <w:noWrap/>
            <w:hideMark/>
          </w:tcPr>
          <w:p>
            <w:pPr>
              <w:spacing w:before="20" w:after="20"/>
              <w:jc w:val="center"/>
              <w:rPr>
                <w:noProof/>
                <w:color w:val="000000"/>
                <w:sz w:val="22"/>
                <w:lang w:eastAsia="en-GB"/>
              </w:rPr>
            </w:pPr>
            <w:r>
              <w:rPr>
                <w:noProof/>
                <w:color w:val="000000"/>
                <w:sz w:val="22"/>
                <w:lang w:eastAsia="en-GB"/>
              </w:rPr>
              <w:t>Public administrations (EC and other EU institutions) using this solution</w:t>
            </w:r>
          </w:p>
        </w:tc>
        <w:tc>
          <w:tcPr>
            <w:tcW w:w="491" w:type="pct"/>
            <w:noWrap/>
            <w:hideMark/>
          </w:tcPr>
          <w:p>
            <w:pPr>
              <w:spacing w:before="20" w:after="20"/>
              <w:jc w:val="center"/>
              <w:rPr>
                <w:noProof/>
                <w:sz w:val="22"/>
                <w:lang w:eastAsia="en-GB"/>
              </w:rPr>
            </w:pPr>
            <w:r>
              <w:rPr>
                <w:noProof/>
                <w:color w:val="000000"/>
                <w:sz w:val="22"/>
                <w:lang w:eastAsia="en-GB"/>
              </w:rPr>
              <w:t>306</w:t>
            </w:r>
          </w:p>
        </w:tc>
        <w:tc>
          <w:tcPr>
            <w:tcW w:w="1012" w:type="pct"/>
            <w:noWrap/>
            <w:hideMark/>
          </w:tcPr>
          <w:p>
            <w:pPr>
              <w:spacing w:before="20" w:after="20"/>
              <w:jc w:val="center"/>
              <w:rPr>
                <w:noProof/>
                <w:sz w:val="22"/>
                <w:lang w:eastAsia="en-GB"/>
              </w:rPr>
            </w:pPr>
            <w:r>
              <w:rPr>
                <w:noProof/>
                <w:color w:val="000000"/>
                <w:sz w:val="22"/>
                <w:lang w:eastAsia="en-GB"/>
              </w:rPr>
              <w:t>Number of suppliers connected via the web portal</w:t>
            </w:r>
          </w:p>
        </w:tc>
      </w:tr>
      <w:tr>
        <w:trPr>
          <w:trHeight w:val="290"/>
        </w:trPr>
        <w:tc>
          <w:tcPr>
            <w:tcW w:w="586" w:type="pct"/>
          </w:tcPr>
          <w:p>
            <w:pPr>
              <w:spacing w:before="20" w:after="20"/>
              <w:rPr>
                <w:b/>
                <w:noProof/>
                <w:color w:val="000000"/>
                <w:sz w:val="22"/>
                <w:lang w:eastAsia="en-GB"/>
              </w:rPr>
            </w:pPr>
            <w:r>
              <w:rPr>
                <w:noProof/>
                <w:color w:val="000000"/>
                <w:sz w:val="22"/>
                <w:lang w:eastAsia="en-GB"/>
              </w:rPr>
              <w:t>5. eProcurement/ eInvoicing - Supporting instruments</w:t>
            </w:r>
          </w:p>
        </w:tc>
        <w:tc>
          <w:tcPr>
            <w:tcW w:w="323" w:type="pct"/>
            <w:gridSpan w:val="2"/>
            <w:noWrap/>
            <w:hideMark/>
          </w:tcPr>
          <w:p>
            <w:pPr>
              <w:spacing w:before="20" w:after="20"/>
              <w:jc w:val="center"/>
              <w:rPr>
                <w:b/>
                <w:noProof/>
                <w:color w:val="000000"/>
                <w:sz w:val="22"/>
                <w:lang w:eastAsia="en-GB"/>
              </w:rPr>
            </w:pPr>
            <w:r>
              <w:rPr>
                <w:noProof/>
                <w:color w:val="000000"/>
                <w:sz w:val="22"/>
                <w:lang w:eastAsia="en-GB"/>
              </w:rPr>
              <w:t>ISA</w:t>
            </w:r>
          </w:p>
        </w:tc>
        <w:tc>
          <w:tcPr>
            <w:tcW w:w="361" w:type="pct"/>
            <w:noWrap/>
            <w:hideMark/>
          </w:tcPr>
          <w:p>
            <w:pPr>
              <w:spacing w:before="20" w:after="20"/>
              <w:jc w:val="center"/>
              <w:rPr>
                <w:noProof/>
                <w:color w:val="000000"/>
                <w:sz w:val="22"/>
                <w:lang w:eastAsia="en-GB"/>
              </w:rPr>
            </w:pPr>
            <w:r>
              <w:rPr>
                <w:noProof/>
                <w:color w:val="000000"/>
                <w:sz w:val="22"/>
                <w:lang w:eastAsia="en-GB"/>
              </w:rPr>
              <w:t>2016.05</w:t>
            </w:r>
          </w:p>
        </w:tc>
        <w:tc>
          <w:tcPr>
            <w:tcW w:w="647" w:type="pct"/>
            <w:noWrap/>
            <w:hideMark/>
          </w:tcPr>
          <w:p>
            <w:pPr>
              <w:spacing w:before="20" w:after="20"/>
              <w:jc w:val="center"/>
              <w:rPr>
                <w:noProof/>
                <w:color w:val="000000"/>
                <w:sz w:val="22"/>
                <w:lang w:eastAsia="en-GB"/>
              </w:rPr>
            </w:pPr>
            <w:r>
              <w:rPr>
                <w:noProof/>
                <w:color w:val="000000"/>
                <w:sz w:val="22"/>
                <w:lang w:eastAsia="en-GB"/>
              </w:rPr>
              <w:t>eCertis</w:t>
            </w:r>
          </w:p>
        </w:tc>
        <w:tc>
          <w:tcPr>
            <w:tcW w:w="504" w:type="pct"/>
            <w:noWrap/>
            <w:hideMark/>
          </w:tcPr>
          <w:p>
            <w:pPr>
              <w:spacing w:before="20" w:after="20"/>
              <w:jc w:val="center"/>
              <w:rPr>
                <w:noProof/>
                <w:sz w:val="22"/>
                <w:lang w:eastAsia="en-GB"/>
              </w:rPr>
            </w:pPr>
            <w:r>
              <w:rPr>
                <w:noProof/>
                <w:color w:val="000000"/>
                <w:sz w:val="22"/>
                <w:lang w:eastAsia="en-GB"/>
              </w:rPr>
              <w:t>44</w:t>
            </w:r>
          </w:p>
        </w:tc>
        <w:tc>
          <w:tcPr>
            <w:tcW w:w="1076" w:type="pct"/>
            <w:noWrap/>
            <w:hideMark/>
          </w:tcPr>
          <w:p>
            <w:pPr>
              <w:spacing w:before="20" w:after="20"/>
              <w:jc w:val="center"/>
              <w:rPr>
                <w:noProof/>
                <w:sz w:val="22"/>
                <w:lang w:eastAsia="en-GB"/>
              </w:rPr>
            </w:pPr>
            <w:r>
              <w:rPr>
                <w:noProof/>
                <w:color w:val="000000"/>
                <w:sz w:val="22"/>
                <w:lang w:eastAsia="en-GB"/>
              </w:rPr>
              <w:t>Public administrations (Member States, EU institutions), contracting authorities, companies – using this solution</w:t>
            </w:r>
          </w:p>
        </w:tc>
        <w:tc>
          <w:tcPr>
            <w:tcW w:w="491" w:type="pct"/>
            <w:noWrap/>
            <w:hideMark/>
          </w:tcPr>
          <w:p>
            <w:pPr>
              <w:spacing w:before="20" w:after="20"/>
              <w:jc w:val="center"/>
              <w:rPr>
                <w:noProof/>
                <w:sz w:val="22"/>
                <w:lang w:eastAsia="en-GB"/>
              </w:rPr>
            </w:pPr>
            <w:r>
              <w:rPr>
                <w:noProof/>
                <w:color w:val="000000"/>
                <w:sz w:val="22"/>
                <w:lang w:eastAsia="en-GB"/>
              </w:rPr>
              <w:t> </w:t>
            </w:r>
          </w:p>
        </w:tc>
        <w:tc>
          <w:tcPr>
            <w:tcW w:w="1012" w:type="pct"/>
            <w:noWrap/>
            <w:hideMark/>
          </w:tcPr>
          <w:p>
            <w:pPr>
              <w:spacing w:before="20" w:after="20"/>
              <w:jc w:val="center"/>
              <w:rPr>
                <w:noProof/>
                <w:sz w:val="22"/>
                <w:lang w:eastAsia="en-GB"/>
              </w:rPr>
            </w:pPr>
            <w:r>
              <w:rPr>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5. eProcurement/ eInvoicing - Supporting instruments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2016.05</w:t>
            </w:r>
          </w:p>
        </w:tc>
        <w:tc>
          <w:tcPr>
            <w:tcW w:w="647" w:type="pct"/>
            <w:noWrap/>
          </w:tcPr>
          <w:p>
            <w:pPr>
              <w:spacing w:before="20" w:after="20"/>
              <w:jc w:val="center"/>
              <w:rPr>
                <w:noProof/>
                <w:color w:val="000000"/>
                <w:sz w:val="22"/>
                <w:lang w:eastAsia="en-GB"/>
              </w:rPr>
            </w:pPr>
            <w:r>
              <w:rPr>
                <w:noProof/>
                <w:color w:val="000000"/>
                <w:sz w:val="22"/>
                <w:lang w:eastAsia="en-GB"/>
              </w:rPr>
              <w:t>ESPD</w:t>
            </w:r>
          </w:p>
        </w:tc>
        <w:tc>
          <w:tcPr>
            <w:tcW w:w="504" w:type="pct"/>
            <w:noWrap/>
          </w:tcPr>
          <w:p>
            <w:pPr>
              <w:spacing w:before="20" w:after="20"/>
              <w:jc w:val="center"/>
              <w:rPr>
                <w:noProof/>
                <w:sz w:val="22"/>
                <w:lang w:eastAsia="en-GB"/>
              </w:rPr>
            </w:pPr>
            <w:r>
              <w:rPr>
                <w:noProof/>
                <w:color w:val="000000"/>
                <w:sz w:val="22"/>
                <w:lang w:eastAsia="en-GB"/>
              </w:rPr>
              <w:t>195,652</w:t>
            </w:r>
          </w:p>
        </w:tc>
        <w:tc>
          <w:tcPr>
            <w:tcW w:w="1076" w:type="pct"/>
            <w:noWrap/>
          </w:tcPr>
          <w:p>
            <w:pPr>
              <w:spacing w:before="20" w:after="20"/>
              <w:jc w:val="center"/>
              <w:rPr>
                <w:noProof/>
                <w:color w:val="000000"/>
                <w:sz w:val="22"/>
                <w:lang w:eastAsia="en-GB"/>
              </w:rPr>
            </w:pPr>
            <w:r>
              <w:rPr>
                <w:noProof/>
                <w:color w:val="000000"/>
                <w:sz w:val="22"/>
                <w:lang w:eastAsia="en-GB"/>
              </w:rPr>
              <w:t>Number of page visits in January 2019</w:t>
            </w:r>
          </w:p>
          <w:p>
            <w:pPr>
              <w:spacing w:before="20" w:after="20"/>
              <w:jc w:val="center"/>
              <w:rPr>
                <w:noProof/>
                <w:sz w:val="22"/>
                <w:lang w:eastAsia="en-GB"/>
              </w:rPr>
            </w:pPr>
            <w:r>
              <w:rPr>
                <w:noProof/>
                <w:sz w:val="22"/>
                <w:lang w:eastAsia="en-GB"/>
              </w:rPr>
              <w:t>(around 4 million visits until April 2019)</w:t>
            </w:r>
          </w:p>
        </w:tc>
        <w:tc>
          <w:tcPr>
            <w:tcW w:w="491" w:type="pct"/>
            <w:noWrap/>
          </w:tcPr>
          <w:p>
            <w:pPr>
              <w:spacing w:before="20" w:after="20"/>
              <w:jc w:val="center"/>
              <w:rPr>
                <w:noProof/>
                <w:sz w:val="22"/>
                <w:lang w:eastAsia="en-GB"/>
              </w:rPr>
            </w:pPr>
            <w:r>
              <w:rPr>
                <w:noProof/>
                <w:color w:val="000000"/>
                <w:sz w:val="22"/>
                <w:lang w:eastAsia="en-GB"/>
              </w:rPr>
              <w:t>23</w:t>
            </w:r>
          </w:p>
        </w:tc>
        <w:tc>
          <w:tcPr>
            <w:tcW w:w="1012" w:type="pct"/>
            <w:noWrap/>
          </w:tcPr>
          <w:p>
            <w:pPr>
              <w:spacing w:before="20" w:after="20"/>
              <w:jc w:val="center"/>
              <w:rPr>
                <w:noProof/>
                <w:sz w:val="22"/>
                <w:lang w:eastAsia="en-GB"/>
              </w:rPr>
            </w:pPr>
            <w:r>
              <w:rPr>
                <w:noProof/>
                <w:color w:val="000000"/>
                <w:sz w:val="22"/>
                <w:lang w:eastAsia="en-GB"/>
              </w:rPr>
              <w:t xml:space="preserve">Number of Member States implementing the ESPD data model; </w:t>
            </w:r>
          </w:p>
        </w:tc>
      </w:tr>
      <w:tr>
        <w:trPr>
          <w:trHeight w:val="290"/>
        </w:trPr>
        <w:tc>
          <w:tcPr>
            <w:tcW w:w="586" w:type="pct"/>
          </w:tcPr>
          <w:p>
            <w:pPr>
              <w:spacing w:before="20" w:after="20"/>
              <w:rPr>
                <w:b/>
                <w:noProof/>
                <w:color w:val="000000"/>
                <w:sz w:val="22"/>
                <w:lang w:eastAsia="en-GB"/>
              </w:rPr>
            </w:pPr>
            <w:r>
              <w:rPr>
                <w:noProof/>
                <w:color w:val="000000"/>
                <w:sz w:val="22"/>
                <w:lang w:eastAsia="en-GB"/>
              </w:rPr>
              <w:t>6. Decision making and legislation - Supporting instruments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2016.23</w:t>
            </w:r>
          </w:p>
        </w:tc>
        <w:tc>
          <w:tcPr>
            <w:tcW w:w="647" w:type="pct"/>
            <w:noWrap/>
          </w:tcPr>
          <w:p>
            <w:pPr>
              <w:spacing w:before="20" w:after="20"/>
              <w:jc w:val="center"/>
              <w:rPr>
                <w:noProof/>
                <w:color w:val="000000"/>
                <w:sz w:val="22"/>
                <w:lang w:eastAsia="en-GB"/>
              </w:rPr>
            </w:pPr>
            <w:r>
              <w:rPr>
                <w:noProof/>
                <w:color w:val="000000"/>
                <w:sz w:val="22"/>
                <w:lang w:eastAsia="en-GB"/>
              </w:rPr>
              <w:t>Digital screening mention in Tool #27 of the Better Regulation Toolbox: The digital economy and society &amp; ICT issues</w:t>
            </w:r>
          </w:p>
        </w:tc>
        <w:tc>
          <w:tcPr>
            <w:tcW w:w="504" w:type="pct"/>
            <w:noWrap/>
          </w:tcPr>
          <w:p>
            <w:pPr>
              <w:spacing w:before="20" w:after="20"/>
              <w:jc w:val="center"/>
              <w:rPr>
                <w:noProof/>
                <w:sz w:val="22"/>
                <w:lang w:eastAsia="en-GB"/>
              </w:rPr>
            </w:pPr>
            <w:r>
              <w:rPr>
                <w:noProof/>
                <w:color w:val="000000"/>
                <w:sz w:val="22"/>
                <w:lang w:eastAsia="en-GB"/>
              </w:rPr>
              <w:t>280</w:t>
            </w:r>
          </w:p>
        </w:tc>
        <w:tc>
          <w:tcPr>
            <w:tcW w:w="1076" w:type="pct"/>
            <w:noWrap/>
          </w:tcPr>
          <w:p>
            <w:pPr>
              <w:spacing w:before="20" w:after="20"/>
              <w:jc w:val="center"/>
              <w:rPr>
                <w:noProof/>
                <w:sz w:val="22"/>
                <w:lang w:eastAsia="en-GB"/>
              </w:rPr>
            </w:pPr>
            <w:r>
              <w:rPr>
                <w:noProof/>
                <w:color w:val="000000"/>
                <w:sz w:val="22"/>
                <w:lang w:eastAsia="en-GB"/>
              </w:rPr>
              <w:t>Number of Commission proposals screened for ICT impacts since 2015</w:t>
            </w:r>
          </w:p>
        </w:tc>
        <w:tc>
          <w:tcPr>
            <w:tcW w:w="491" w:type="pct"/>
            <w:noWrap/>
          </w:tcPr>
          <w:p>
            <w:pPr>
              <w:spacing w:before="20" w:after="20"/>
              <w:jc w:val="center"/>
              <w:rPr>
                <w:noProof/>
                <w:sz w:val="22"/>
                <w:lang w:eastAsia="en-GB"/>
              </w:rPr>
            </w:pPr>
            <w:r>
              <w:rPr>
                <w:noProof/>
                <w:color w:val="000000"/>
                <w:sz w:val="22"/>
                <w:lang w:eastAsia="en-GB"/>
              </w:rPr>
              <w:t> </w:t>
            </w:r>
          </w:p>
        </w:tc>
        <w:tc>
          <w:tcPr>
            <w:tcW w:w="1012" w:type="pct"/>
            <w:noWrap/>
          </w:tcPr>
          <w:p>
            <w:pPr>
              <w:spacing w:before="20" w:after="20"/>
              <w:jc w:val="center"/>
              <w:rPr>
                <w:noProof/>
                <w:sz w:val="22"/>
                <w:lang w:eastAsia="en-GB"/>
              </w:rPr>
            </w:pPr>
            <w:r>
              <w:rPr>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6. Decision making and legislation - Supporting instruments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2016.23</w:t>
            </w:r>
          </w:p>
        </w:tc>
        <w:tc>
          <w:tcPr>
            <w:tcW w:w="647" w:type="pct"/>
            <w:noWrap/>
          </w:tcPr>
          <w:p>
            <w:pPr>
              <w:spacing w:before="20" w:after="20"/>
              <w:jc w:val="center"/>
              <w:rPr>
                <w:noProof/>
                <w:color w:val="000000"/>
                <w:sz w:val="22"/>
                <w:lang w:eastAsia="en-GB"/>
              </w:rPr>
            </w:pPr>
            <w:r>
              <w:rPr>
                <w:noProof/>
                <w:color w:val="000000"/>
                <w:sz w:val="22"/>
                <w:lang w:eastAsia="en-GB"/>
              </w:rPr>
              <w:t>ICT Impact Assessment Guidelines</w:t>
            </w:r>
          </w:p>
        </w:tc>
        <w:tc>
          <w:tcPr>
            <w:tcW w:w="504" w:type="pct"/>
            <w:noWrap/>
          </w:tcPr>
          <w:p>
            <w:pPr>
              <w:spacing w:before="20" w:after="20"/>
              <w:jc w:val="center"/>
              <w:rPr>
                <w:noProof/>
                <w:sz w:val="22"/>
                <w:lang w:eastAsia="en-GB"/>
              </w:rPr>
            </w:pPr>
            <w:r>
              <w:rPr>
                <w:noProof/>
                <w:color w:val="000000"/>
                <w:sz w:val="22"/>
                <w:lang w:eastAsia="en-GB"/>
              </w:rPr>
              <w:t>13</w:t>
            </w:r>
          </w:p>
        </w:tc>
        <w:tc>
          <w:tcPr>
            <w:tcW w:w="1076" w:type="pct"/>
            <w:noWrap/>
          </w:tcPr>
          <w:p>
            <w:pPr>
              <w:spacing w:before="20" w:after="20"/>
              <w:jc w:val="center"/>
              <w:rPr>
                <w:noProof/>
                <w:sz w:val="22"/>
                <w:lang w:eastAsia="en-GB"/>
              </w:rPr>
            </w:pPr>
            <w:r>
              <w:rPr>
                <w:noProof/>
                <w:color w:val="000000"/>
                <w:sz w:val="22"/>
                <w:lang w:eastAsia="en-GB"/>
              </w:rPr>
              <w:t>Instances of use since 2014</w:t>
            </w:r>
          </w:p>
        </w:tc>
        <w:tc>
          <w:tcPr>
            <w:tcW w:w="491" w:type="pct"/>
            <w:noWrap/>
          </w:tcPr>
          <w:p>
            <w:pPr>
              <w:spacing w:before="20" w:after="20"/>
              <w:jc w:val="center"/>
              <w:rPr>
                <w:noProof/>
                <w:sz w:val="22"/>
                <w:lang w:eastAsia="en-GB"/>
              </w:rPr>
            </w:pPr>
            <w:r>
              <w:rPr>
                <w:noProof/>
                <w:color w:val="000000"/>
                <w:sz w:val="22"/>
                <w:lang w:eastAsia="en-GB"/>
              </w:rPr>
              <w:t> </w:t>
            </w:r>
          </w:p>
        </w:tc>
        <w:tc>
          <w:tcPr>
            <w:tcW w:w="1012" w:type="pct"/>
            <w:noWrap/>
          </w:tcPr>
          <w:p>
            <w:pPr>
              <w:spacing w:before="20" w:after="20"/>
              <w:jc w:val="center"/>
              <w:rPr>
                <w:noProof/>
                <w:sz w:val="22"/>
                <w:lang w:eastAsia="en-GB"/>
              </w:rPr>
            </w:pPr>
            <w:r>
              <w:rPr>
                <w:noProof/>
                <w:color w:val="000000"/>
                <w:sz w:val="22"/>
                <w:lang w:eastAsia="en-GB"/>
              </w:rPr>
              <w:t> </w:t>
            </w:r>
          </w:p>
        </w:tc>
      </w:tr>
      <w:tr>
        <w:trPr>
          <w:trHeight w:val="290"/>
        </w:trPr>
        <w:tc>
          <w:tcPr>
            <w:tcW w:w="586" w:type="pct"/>
          </w:tcPr>
          <w:p>
            <w:pPr>
              <w:spacing w:before="20" w:after="20"/>
              <w:rPr>
                <w:b/>
                <w:noProof/>
                <w:color w:val="000000"/>
                <w:sz w:val="22"/>
                <w:lang w:eastAsia="en-GB"/>
              </w:rPr>
            </w:pPr>
            <w:r>
              <w:rPr>
                <w:noProof/>
                <w:color w:val="000000"/>
                <w:sz w:val="22"/>
                <w:lang w:eastAsia="en-GB"/>
              </w:rPr>
              <w:t>6. Decision making and legislation - Supporting instruments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r>
              <w:rPr>
                <w:noProof/>
                <w:color w:val="000000"/>
                <w:sz w:val="22"/>
                <w:vertAlign w:val="superscript"/>
                <w:lang w:eastAsia="en-GB"/>
              </w:rPr>
              <w:t>2</w:t>
            </w:r>
          </w:p>
        </w:tc>
        <w:tc>
          <w:tcPr>
            <w:tcW w:w="361" w:type="pct"/>
            <w:noWrap/>
          </w:tcPr>
          <w:p>
            <w:pPr>
              <w:spacing w:before="20" w:after="20"/>
              <w:jc w:val="center"/>
              <w:rPr>
                <w:noProof/>
                <w:color w:val="000000"/>
                <w:sz w:val="22"/>
                <w:lang w:eastAsia="en-GB"/>
              </w:rPr>
            </w:pPr>
            <w:r>
              <w:rPr>
                <w:noProof/>
                <w:color w:val="000000"/>
                <w:sz w:val="22"/>
                <w:lang w:eastAsia="en-GB"/>
              </w:rPr>
              <w:t>2017.03</w:t>
            </w:r>
          </w:p>
        </w:tc>
        <w:tc>
          <w:tcPr>
            <w:tcW w:w="647" w:type="pct"/>
            <w:noWrap/>
          </w:tcPr>
          <w:p>
            <w:pPr>
              <w:spacing w:before="20" w:after="20"/>
              <w:jc w:val="center"/>
              <w:rPr>
                <w:noProof/>
                <w:color w:val="000000"/>
                <w:sz w:val="22"/>
                <w:lang w:eastAsia="en-GB"/>
              </w:rPr>
            </w:pPr>
            <w:r>
              <w:rPr>
                <w:noProof/>
                <w:color w:val="000000"/>
                <w:sz w:val="22"/>
                <w:lang w:eastAsia="en-GB"/>
              </w:rPr>
              <w:t>REFIT Platform IT Tool</w:t>
            </w:r>
          </w:p>
        </w:tc>
        <w:tc>
          <w:tcPr>
            <w:tcW w:w="504" w:type="pct"/>
            <w:noWrap/>
          </w:tcPr>
          <w:p>
            <w:pPr>
              <w:spacing w:before="20" w:after="20"/>
              <w:jc w:val="center"/>
              <w:rPr>
                <w:noProof/>
                <w:sz w:val="22"/>
                <w:lang w:eastAsia="en-GB"/>
              </w:rPr>
            </w:pPr>
            <w:r>
              <w:rPr>
                <w:noProof/>
                <w:color w:val="000000"/>
                <w:sz w:val="22"/>
                <w:lang w:eastAsia="en-GB"/>
              </w:rPr>
              <w:t>Not yet operational.</w:t>
            </w:r>
          </w:p>
        </w:tc>
        <w:tc>
          <w:tcPr>
            <w:tcW w:w="1076" w:type="pct"/>
            <w:noWrap/>
          </w:tcPr>
          <w:p>
            <w:pPr>
              <w:spacing w:before="20" w:after="20"/>
              <w:jc w:val="center"/>
              <w:rPr>
                <w:noProof/>
                <w:sz w:val="22"/>
                <w:lang w:eastAsia="en-GB"/>
              </w:rPr>
            </w:pPr>
            <w:r>
              <w:rPr>
                <w:noProof/>
                <w:color w:val="000000"/>
                <w:sz w:val="22"/>
                <w:lang w:eastAsia="en-GB"/>
              </w:rPr>
              <w:t> </w:t>
            </w:r>
          </w:p>
        </w:tc>
        <w:tc>
          <w:tcPr>
            <w:tcW w:w="491" w:type="pct"/>
            <w:noWrap/>
          </w:tcPr>
          <w:p>
            <w:pPr>
              <w:spacing w:before="20" w:after="20"/>
              <w:jc w:val="center"/>
              <w:rPr>
                <w:noProof/>
                <w:sz w:val="22"/>
                <w:lang w:eastAsia="en-GB"/>
              </w:rPr>
            </w:pPr>
            <w:r>
              <w:rPr>
                <w:noProof/>
                <w:color w:val="000000"/>
                <w:sz w:val="22"/>
                <w:lang w:eastAsia="en-GB"/>
              </w:rPr>
              <w:t> </w:t>
            </w:r>
          </w:p>
        </w:tc>
        <w:tc>
          <w:tcPr>
            <w:tcW w:w="1012" w:type="pct"/>
            <w:noWrap/>
          </w:tcPr>
          <w:p>
            <w:pPr>
              <w:spacing w:before="20" w:after="20"/>
              <w:jc w:val="center"/>
              <w:rPr>
                <w:noProof/>
                <w:sz w:val="22"/>
                <w:lang w:eastAsia="en-GB"/>
              </w:rPr>
            </w:pPr>
            <w:r>
              <w:rPr>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6. Decision making and legislation - Supporting instruments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r>
              <w:rPr>
                <w:noProof/>
                <w:color w:val="000000"/>
                <w:sz w:val="22"/>
                <w:vertAlign w:val="superscript"/>
                <w:lang w:eastAsia="en-GB"/>
              </w:rPr>
              <w:t>2</w:t>
            </w:r>
          </w:p>
        </w:tc>
        <w:tc>
          <w:tcPr>
            <w:tcW w:w="361" w:type="pct"/>
            <w:noWrap/>
          </w:tcPr>
          <w:p>
            <w:pPr>
              <w:spacing w:before="20" w:after="20"/>
              <w:jc w:val="center"/>
              <w:rPr>
                <w:noProof/>
                <w:color w:val="000000"/>
                <w:sz w:val="22"/>
                <w:lang w:eastAsia="en-GB"/>
              </w:rPr>
            </w:pPr>
            <w:r>
              <w:rPr>
                <w:noProof/>
                <w:color w:val="000000"/>
                <w:sz w:val="22"/>
                <w:lang w:eastAsia="en-GB"/>
              </w:rPr>
              <w:t>2017.04</w:t>
            </w:r>
          </w:p>
        </w:tc>
        <w:tc>
          <w:tcPr>
            <w:tcW w:w="647" w:type="pct"/>
            <w:noWrap/>
          </w:tcPr>
          <w:p>
            <w:pPr>
              <w:spacing w:before="20" w:after="20"/>
              <w:jc w:val="center"/>
              <w:rPr>
                <w:noProof/>
                <w:color w:val="000000"/>
                <w:sz w:val="22"/>
                <w:lang w:eastAsia="en-GB"/>
              </w:rPr>
            </w:pPr>
            <w:r>
              <w:rPr>
                <w:noProof/>
                <w:color w:val="000000"/>
                <w:sz w:val="22"/>
                <w:lang w:eastAsia="en-GB"/>
              </w:rPr>
              <w:t>RegDel</w:t>
            </w:r>
          </w:p>
        </w:tc>
        <w:tc>
          <w:tcPr>
            <w:tcW w:w="504" w:type="pct"/>
            <w:noWrap/>
          </w:tcPr>
          <w:p>
            <w:pPr>
              <w:spacing w:before="20" w:after="20"/>
              <w:jc w:val="center"/>
              <w:rPr>
                <w:noProof/>
                <w:sz w:val="22"/>
                <w:lang w:eastAsia="en-GB"/>
              </w:rPr>
            </w:pPr>
            <w:r>
              <w:rPr>
                <w:noProof/>
                <w:color w:val="000000"/>
                <w:sz w:val="22"/>
                <w:lang w:eastAsia="en-GB"/>
              </w:rPr>
              <w:t>144,587</w:t>
            </w:r>
          </w:p>
        </w:tc>
        <w:tc>
          <w:tcPr>
            <w:tcW w:w="1076" w:type="pct"/>
            <w:noWrap/>
          </w:tcPr>
          <w:p>
            <w:pPr>
              <w:spacing w:before="20" w:after="20"/>
              <w:jc w:val="center"/>
              <w:rPr>
                <w:noProof/>
                <w:sz w:val="22"/>
                <w:lang w:eastAsia="en-GB"/>
              </w:rPr>
            </w:pPr>
            <w:r>
              <w:rPr>
                <w:noProof/>
                <w:color w:val="000000"/>
                <w:sz w:val="22"/>
                <w:lang w:eastAsia="en-GB"/>
              </w:rPr>
              <w:t>Number of page views since the launch up until 1 February 2019</w:t>
            </w:r>
          </w:p>
        </w:tc>
        <w:tc>
          <w:tcPr>
            <w:tcW w:w="491" w:type="pct"/>
            <w:noWrap/>
          </w:tcPr>
          <w:p>
            <w:pPr>
              <w:spacing w:before="20" w:after="20"/>
              <w:jc w:val="center"/>
              <w:rPr>
                <w:noProof/>
                <w:sz w:val="22"/>
                <w:lang w:eastAsia="en-GB"/>
              </w:rPr>
            </w:pPr>
            <w:r>
              <w:rPr>
                <w:noProof/>
                <w:color w:val="000000"/>
                <w:sz w:val="22"/>
                <w:lang w:eastAsia="en-GB"/>
              </w:rPr>
              <w:t>2,202</w:t>
            </w:r>
          </w:p>
        </w:tc>
        <w:tc>
          <w:tcPr>
            <w:tcW w:w="1012" w:type="pct"/>
            <w:noWrap/>
          </w:tcPr>
          <w:p>
            <w:pPr>
              <w:spacing w:before="20" w:after="20"/>
              <w:jc w:val="center"/>
              <w:rPr>
                <w:noProof/>
                <w:sz w:val="22"/>
                <w:lang w:eastAsia="en-GB"/>
              </w:rPr>
            </w:pPr>
            <w:r>
              <w:rPr>
                <w:noProof/>
                <w:color w:val="000000"/>
                <w:sz w:val="22"/>
                <w:lang w:eastAsia="en-GB"/>
              </w:rPr>
              <w:t>Number of active subscriptions</w:t>
            </w:r>
          </w:p>
        </w:tc>
      </w:tr>
      <w:tr>
        <w:trPr>
          <w:trHeight w:val="290"/>
        </w:trPr>
        <w:tc>
          <w:tcPr>
            <w:tcW w:w="586" w:type="pct"/>
          </w:tcPr>
          <w:p>
            <w:pPr>
              <w:spacing w:before="20" w:after="20"/>
              <w:rPr>
                <w:b/>
                <w:noProof/>
                <w:color w:val="000000"/>
                <w:sz w:val="22"/>
                <w:lang w:eastAsia="en-GB"/>
              </w:rPr>
            </w:pPr>
            <w:r>
              <w:rPr>
                <w:noProof/>
                <w:color w:val="000000"/>
                <w:sz w:val="22"/>
                <w:lang w:eastAsia="en-GB"/>
              </w:rPr>
              <w:t>7. EU Policies - Supporting instruments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2016.14</w:t>
            </w:r>
          </w:p>
        </w:tc>
        <w:tc>
          <w:tcPr>
            <w:tcW w:w="647" w:type="pct"/>
            <w:noWrap/>
          </w:tcPr>
          <w:p>
            <w:pPr>
              <w:spacing w:before="20" w:after="20"/>
              <w:jc w:val="center"/>
              <w:rPr>
                <w:noProof/>
                <w:color w:val="000000"/>
                <w:sz w:val="22"/>
                <w:lang w:eastAsia="en-GB"/>
              </w:rPr>
            </w:pPr>
            <w:r>
              <w:rPr>
                <w:noProof/>
                <w:color w:val="000000"/>
                <w:sz w:val="22"/>
                <w:lang w:eastAsia="en-GB"/>
              </w:rPr>
              <w:t>Online Collection Software to support European Citizens' Initiative</w:t>
            </w:r>
          </w:p>
        </w:tc>
        <w:tc>
          <w:tcPr>
            <w:tcW w:w="504" w:type="pct"/>
            <w:noWrap/>
          </w:tcPr>
          <w:p>
            <w:pPr>
              <w:spacing w:before="20" w:after="20"/>
              <w:jc w:val="center"/>
              <w:rPr>
                <w:noProof/>
                <w:sz w:val="22"/>
                <w:lang w:eastAsia="en-GB"/>
              </w:rPr>
            </w:pPr>
            <w:r>
              <w:rPr>
                <w:noProof/>
                <w:color w:val="000000"/>
                <w:sz w:val="22"/>
                <w:lang w:eastAsia="en-GB"/>
              </w:rPr>
              <w:t>38</w:t>
            </w:r>
          </w:p>
        </w:tc>
        <w:tc>
          <w:tcPr>
            <w:tcW w:w="1076" w:type="pct"/>
            <w:noWrap/>
          </w:tcPr>
          <w:p>
            <w:pPr>
              <w:spacing w:before="20" w:after="20"/>
              <w:jc w:val="center"/>
              <w:rPr>
                <w:noProof/>
                <w:sz w:val="22"/>
                <w:lang w:eastAsia="en-GB"/>
              </w:rPr>
            </w:pPr>
            <w:r>
              <w:rPr>
                <w:noProof/>
                <w:color w:val="000000"/>
                <w:sz w:val="22"/>
                <w:lang w:eastAsia="en-GB"/>
              </w:rPr>
              <w:t>Number of ECIs launched using the Online Collection Software</w:t>
            </w:r>
          </w:p>
        </w:tc>
        <w:tc>
          <w:tcPr>
            <w:tcW w:w="491" w:type="pct"/>
            <w:noWrap/>
          </w:tcPr>
          <w:p>
            <w:pPr>
              <w:spacing w:before="20" w:after="20"/>
              <w:jc w:val="center"/>
              <w:rPr>
                <w:noProof/>
                <w:sz w:val="22"/>
                <w:lang w:eastAsia="en-GB"/>
              </w:rPr>
            </w:pPr>
            <w:r>
              <w:rPr>
                <w:noProof/>
                <w:color w:val="000000"/>
                <w:sz w:val="22"/>
                <w:lang w:eastAsia="en-GB"/>
              </w:rPr>
              <w:t>1</w:t>
            </w:r>
          </w:p>
        </w:tc>
        <w:tc>
          <w:tcPr>
            <w:tcW w:w="1012" w:type="pct"/>
            <w:noWrap/>
          </w:tcPr>
          <w:p>
            <w:pPr>
              <w:spacing w:before="20" w:after="20"/>
              <w:jc w:val="center"/>
              <w:rPr>
                <w:noProof/>
                <w:sz w:val="22"/>
                <w:lang w:eastAsia="en-GB"/>
              </w:rPr>
            </w:pPr>
            <w:r>
              <w:rPr>
                <w:noProof/>
                <w:color w:val="000000"/>
                <w:sz w:val="22"/>
                <w:lang w:eastAsia="en-GB"/>
              </w:rPr>
              <w:t>Public administration in the Member States</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7. EU Policies - Supporting instruments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2016.14</w:t>
            </w:r>
          </w:p>
        </w:tc>
        <w:tc>
          <w:tcPr>
            <w:tcW w:w="647" w:type="pct"/>
            <w:noWrap/>
          </w:tcPr>
          <w:p>
            <w:pPr>
              <w:spacing w:before="20" w:after="20"/>
              <w:jc w:val="center"/>
              <w:rPr>
                <w:noProof/>
                <w:color w:val="000000"/>
                <w:sz w:val="22"/>
                <w:lang w:eastAsia="en-GB"/>
              </w:rPr>
            </w:pPr>
            <w:r>
              <w:rPr>
                <w:noProof/>
                <w:color w:val="000000"/>
                <w:sz w:val="22"/>
                <w:lang w:eastAsia="en-GB"/>
              </w:rPr>
              <w:t>European Parliament Crypto Tool</w:t>
            </w:r>
          </w:p>
        </w:tc>
        <w:tc>
          <w:tcPr>
            <w:tcW w:w="504" w:type="pct"/>
            <w:noWrap/>
          </w:tcPr>
          <w:p>
            <w:pPr>
              <w:spacing w:before="20" w:after="20"/>
              <w:jc w:val="center"/>
              <w:rPr>
                <w:noProof/>
                <w:sz w:val="22"/>
                <w:lang w:eastAsia="en-GB"/>
              </w:rPr>
            </w:pPr>
            <w:r>
              <w:rPr>
                <w:noProof/>
                <w:color w:val="000000"/>
                <w:sz w:val="22"/>
                <w:lang w:eastAsia="en-GB"/>
              </w:rPr>
              <w:t>28</w:t>
            </w:r>
          </w:p>
        </w:tc>
        <w:tc>
          <w:tcPr>
            <w:tcW w:w="1076" w:type="pct"/>
            <w:noWrap/>
          </w:tcPr>
          <w:p>
            <w:pPr>
              <w:spacing w:before="20" w:after="20"/>
              <w:jc w:val="center"/>
              <w:rPr>
                <w:noProof/>
                <w:sz w:val="22"/>
                <w:lang w:eastAsia="en-GB"/>
              </w:rPr>
            </w:pPr>
            <w:r>
              <w:rPr>
                <w:noProof/>
                <w:color w:val="000000"/>
                <w:sz w:val="22"/>
                <w:lang w:eastAsia="en-GB"/>
              </w:rPr>
              <w:t>Number of Member States using the solution</w:t>
            </w:r>
          </w:p>
        </w:tc>
        <w:tc>
          <w:tcPr>
            <w:tcW w:w="491" w:type="pct"/>
            <w:noWrap/>
          </w:tcPr>
          <w:p>
            <w:pPr>
              <w:spacing w:before="20" w:after="20"/>
              <w:jc w:val="center"/>
              <w:rPr>
                <w:noProof/>
                <w:sz w:val="22"/>
                <w:lang w:eastAsia="en-GB"/>
              </w:rPr>
            </w:pPr>
            <w:r>
              <w:rPr>
                <w:noProof/>
                <w:color w:val="000000"/>
                <w:sz w:val="22"/>
                <w:lang w:eastAsia="en-GB"/>
              </w:rPr>
              <w:t> </w:t>
            </w:r>
          </w:p>
        </w:tc>
        <w:tc>
          <w:tcPr>
            <w:tcW w:w="1012" w:type="pct"/>
            <w:noWrap/>
          </w:tcPr>
          <w:p>
            <w:pPr>
              <w:spacing w:before="20" w:after="20"/>
              <w:jc w:val="center"/>
              <w:rPr>
                <w:noProof/>
                <w:sz w:val="22"/>
                <w:lang w:eastAsia="en-GB"/>
              </w:rPr>
            </w:pPr>
            <w:r>
              <w:rPr>
                <w:noProof/>
                <w:color w:val="000000"/>
                <w:sz w:val="22"/>
                <w:lang w:eastAsia="en-GB"/>
              </w:rPr>
              <w:t> </w:t>
            </w:r>
          </w:p>
        </w:tc>
      </w:tr>
      <w:tr>
        <w:trPr>
          <w:trHeight w:val="290"/>
        </w:trPr>
        <w:tc>
          <w:tcPr>
            <w:tcW w:w="586" w:type="pct"/>
          </w:tcPr>
          <w:p>
            <w:pPr>
              <w:spacing w:before="20" w:after="20"/>
              <w:rPr>
                <w:b/>
                <w:noProof/>
                <w:color w:val="000000"/>
                <w:sz w:val="22"/>
                <w:lang w:eastAsia="en-GB"/>
              </w:rPr>
            </w:pPr>
            <w:r>
              <w:rPr>
                <w:noProof/>
                <w:color w:val="000000"/>
                <w:sz w:val="22"/>
                <w:lang w:eastAsia="en-GB"/>
              </w:rPr>
              <w:t>8. Supporting instruments for public administrations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2016.20</w:t>
            </w:r>
          </w:p>
        </w:tc>
        <w:tc>
          <w:tcPr>
            <w:tcW w:w="647" w:type="pct"/>
            <w:noWrap/>
          </w:tcPr>
          <w:p>
            <w:pPr>
              <w:spacing w:before="20" w:after="20"/>
              <w:jc w:val="center"/>
              <w:rPr>
                <w:noProof/>
                <w:color w:val="000000"/>
                <w:sz w:val="22"/>
                <w:lang w:eastAsia="en-GB"/>
              </w:rPr>
            </w:pPr>
            <w:r>
              <w:rPr>
                <w:noProof/>
                <w:color w:val="000000"/>
                <w:sz w:val="22"/>
                <w:lang w:eastAsia="en-GB"/>
              </w:rPr>
              <w:t>Joinup</w:t>
            </w:r>
          </w:p>
        </w:tc>
        <w:tc>
          <w:tcPr>
            <w:tcW w:w="504" w:type="pct"/>
            <w:noWrap/>
          </w:tcPr>
          <w:p>
            <w:pPr>
              <w:spacing w:before="20" w:after="20"/>
              <w:jc w:val="center"/>
              <w:rPr>
                <w:noProof/>
                <w:sz w:val="22"/>
                <w:lang w:eastAsia="en-GB"/>
              </w:rPr>
            </w:pPr>
            <w:r>
              <w:rPr>
                <w:noProof/>
                <w:color w:val="000000"/>
                <w:sz w:val="22"/>
                <w:lang w:eastAsia="en-GB"/>
              </w:rPr>
              <w:t>13,440</w:t>
            </w:r>
          </w:p>
        </w:tc>
        <w:tc>
          <w:tcPr>
            <w:tcW w:w="1076" w:type="pct"/>
            <w:noWrap/>
          </w:tcPr>
          <w:p>
            <w:pPr>
              <w:spacing w:before="20" w:after="20"/>
              <w:jc w:val="center"/>
              <w:rPr>
                <w:noProof/>
                <w:sz w:val="22"/>
                <w:lang w:eastAsia="en-GB"/>
              </w:rPr>
            </w:pPr>
            <w:r>
              <w:rPr>
                <w:noProof/>
                <w:color w:val="000000"/>
                <w:sz w:val="22"/>
                <w:lang w:eastAsia="en-GB"/>
              </w:rPr>
              <w:t>Professionals working in the field of eGovernment registered on Joinup</w:t>
            </w:r>
          </w:p>
        </w:tc>
        <w:tc>
          <w:tcPr>
            <w:tcW w:w="491" w:type="pct"/>
            <w:noWrap/>
          </w:tcPr>
          <w:p>
            <w:pPr>
              <w:spacing w:before="20" w:after="20"/>
              <w:jc w:val="center"/>
              <w:rPr>
                <w:noProof/>
                <w:sz w:val="22"/>
                <w:lang w:eastAsia="en-GB"/>
              </w:rPr>
            </w:pPr>
            <w:r>
              <w:rPr>
                <w:noProof/>
                <w:color w:val="000000"/>
                <w:sz w:val="22"/>
                <w:lang w:eastAsia="en-GB"/>
              </w:rPr>
              <w:t>2,815</w:t>
            </w:r>
          </w:p>
        </w:tc>
        <w:tc>
          <w:tcPr>
            <w:tcW w:w="1012" w:type="pct"/>
            <w:noWrap/>
          </w:tcPr>
          <w:p>
            <w:pPr>
              <w:spacing w:before="20" w:after="20"/>
              <w:jc w:val="center"/>
              <w:rPr>
                <w:noProof/>
                <w:sz w:val="22"/>
                <w:lang w:eastAsia="en-GB"/>
              </w:rPr>
            </w:pPr>
            <w:r>
              <w:rPr>
                <w:noProof/>
                <w:color w:val="000000"/>
                <w:sz w:val="22"/>
                <w:lang w:eastAsia="en-GB"/>
              </w:rPr>
              <w:t>Solutions created within the 109 Collections (thematic collaborative spaces) on Joinup.</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8. Supporting instruments for public administrations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2016.21</w:t>
            </w:r>
          </w:p>
        </w:tc>
        <w:tc>
          <w:tcPr>
            <w:tcW w:w="647" w:type="pct"/>
            <w:noWrap/>
          </w:tcPr>
          <w:p>
            <w:pPr>
              <w:spacing w:before="20" w:after="20"/>
              <w:jc w:val="center"/>
              <w:rPr>
                <w:noProof/>
                <w:color w:val="000000"/>
                <w:sz w:val="22"/>
                <w:lang w:eastAsia="en-GB"/>
              </w:rPr>
            </w:pPr>
            <w:r>
              <w:rPr>
                <w:noProof/>
                <w:color w:val="000000"/>
                <w:sz w:val="22"/>
                <w:lang w:eastAsia="en-GB"/>
              </w:rPr>
              <w:t>NIFO</w:t>
            </w:r>
          </w:p>
        </w:tc>
        <w:tc>
          <w:tcPr>
            <w:tcW w:w="504" w:type="pct"/>
            <w:noWrap/>
          </w:tcPr>
          <w:p>
            <w:pPr>
              <w:spacing w:before="20" w:after="20"/>
              <w:jc w:val="center"/>
              <w:rPr>
                <w:noProof/>
                <w:sz w:val="22"/>
                <w:lang w:eastAsia="en-GB"/>
              </w:rPr>
            </w:pPr>
            <w:r>
              <w:rPr>
                <w:noProof/>
                <w:color w:val="000000"/>
                <w:sz w:val="22"/>
                <w:lang w:eastAsia="en-GB"/>
              </w:rPr>
              <w:t>193</w:t>
            </w:r>
          </w:p>
        </w:tc>
        <w:tc>
          <w:tcPr>
            <w:tcW w:w="1076" w:type="pct"/>
            <w:noWrap/>
          </w:tcPr>
          <w:p>
            <w:pPr>
              <w:spacing w:before="20" w:after="20"/>
              <w:jc w:val="center"/>
              <w:rPr>
                <w:noProof/>
                <w:sz w:val="22"/>
                <w:lang w:eastAsia="en-GB"/>
              </w:rPr>
            </w:pPr>
            <w:r>
              <w:rPr>
                <w:noProof/>
                <w:color w:val="000000"/>
                <w:sz w:val="22"/>
                <w:lang w:eastAsia="en-GB"/>
              </w:rPr>
              <w:t>Number of users for Q3 2018, according to ISA</w:t>
            </w:r>
            <w:r>
              <w:rPr>
                <w:noProof/>
                <w:color w:val="000000"/>
                <w:sz w:val="22"/>
                <w:vertAlign w:val="superscript"/>
                <w:lang w:eastAsia="en-GB"/>
              </w:rPr>
              <w:t>2</w:t>
            </w:r>
            <w:r>
              <w:rPr>
                <w:noProof/>
                <w:color w:val="000000"/>
                <w:sz w:val="22"/>
                <w:lang w:eastAsia="en-GB"/>
              </w:rPr>
              <w:t xml:space="preserve"> Dashboard - Effectiveness Indicator (approximately equal to the number of members of the NIFO community on Joinup)</w:t>
            </w:r>
          </w:p>
        </w:tc>
        <w:tc>
          <w:tcPr>
            <w:tcW w:w="491" w:type="pct"/>
            <w:noWrap/>
          </w:tcPr>
          <w:p>
            <w:pPr>
              <w:spacing w:before="20" w:after="20"/>
              <w:jc w:val="center"/>
              <w:rPr>
                <w:noProof/>
                <w:sz w:val="22"/>
                <w:lang w:eastAsia="en-GB"/>
              </w:rPr>
            </w:pPr>
            <w:r>
              <w:rPr>
                <w:noProof/>
                <w:color w:val="000000"/>
                <w:sz w:val="22"/>
                <w:lang w:eastAsia="en-GB"/>
              </w:rPr>
              <w:t>34</w:t>
            </w:r>
          </w:p>
        </w:tc>
        <w:tc>
          <w:tcPr>
            <w:tcW w:w="1012" w:type="pct"/>
            <w:noWrap/>
          </w:tcPr>
          <w:p>
            <w:pPr>
              <w:spacing w:before="20" w:after="20"/>
              <w:jc w:val="center"/>
              <w:rPr>
                <w:noProof/>
                <w:sz w:val="22"/>
                <w:lang w:eastAsia="en-GB"/>
              </w:rPr>
            </w:pPr>
            <w:r>
              <w:rPr>
                <w:noProof/>
                <w:color w:val="000000"/>
                <w:sz w:val="22"/>
                <w:lang w:eastAsia="en-GB"/>
              </w:rPr>
              <w:t>Number of countries covered (32 countries covered by NIFO factsheets and 34 by the Interoperability State of Play reports)</w:t>
            </w:r>
          </w:p>
        </w:tc>
      </w:tr>
      <w:tr>
        <w:trPr>
          <w:trHeight w:val="290"/>
        </w:trPr>
        <w:tc>
          <w:tcPr>
            <w:tcW w:w="586" w:type="pct"/>
          </w:tcPr>
          <w:p>
            <w:pPr>
              <w:spacing w:before="20" w:after="20"/>
              <w:rPr>
                <w:b/>
                <w:noProof/>
                <w:color w:val="000000"/>
                <w:sz w:val="22"/>
                <w:lang w:eastAsia="en-GB"/>
              </w:rPr>
            </w:pPr>
            <w:r>
              <w:rPr>
                <w:noProof/>
                <w:color w:val="000000"/>
                <w:sz w:val="22"/>
                <w:lang w:eastAsia="en-GB"/>
              </w:rPr>
              <w:t>8. Supporting instruments for public administrations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2016.32</w:t>
            </w:r>
          </w:p>
        </w:tc>
        <w:tc>
          <w:tcPr>
            <w:tcW w:w="647" w:type="pct"/>
            <w:noWrap/>
          </w:tcPr>
          <w:p>
            <w:pPr>
              <w:spacing w:before="20" w:after="20"/>
              <w:jc w:val="center"/>
              <w:rPr>
                <w:noProof/>
                <w:color w:val="000000"/>
                <w:sz w:val="22"/>
                <w:lang w:eastAsia="en-GB"/>
              </w:rPr>
            </w:pPr>
            <w:r>
              <w:rPr>
                <w:noProof/>
                <w:color w:val="000000"/>
                <w:sz w:val="22"/>
                <w:lang w:eastAsia="en-GB"/>
              </w:rPr>
              <w:t>EIRA and CarTool</w:t>
            </w:r>
          </w:p>
        </w:tc>
        <w:tc>
          <w:tcPr>
            <w:tcW w:w="504" w:type="pct"/>
            <w:noWrap/>
          </w:tcPr>
          <w:p>
            <w:pPr>
              <w:spacing w:before="20" w:after="20"/>
              <w:jc w:val="center"/>
              <w:rPr>
                <w:noProof/>
                <w:sz w:val="22"/>
                <w:lang w:eastAsia="en-GB"/>
              </w:rPr>
            </w:pPr>
            <w:r>
              <w:rPr>
                <w:noProof/>
                <w:color w:val="000000"/>
                <w:sz w:val="22"/>
                <w:lang w:eastAsia="en-GB"/>
              </w:rPr>
              <w:t>8</w:t>
            </w:r>
          </w:p>
        </w:tc>
        <w:tc>
          <w:tcPr>
            <w:tcW w:w="1076" w:type="pct"/>
            <w:noWrap/>
          </w:tcPr>
          <w:p>
            <w:pPr>
              <w:spacing w:before="20" w:after="20"/>
              <w:jc w:val="center"/>
              <w:rPr>
                <w:noProof/>
                <w:sz w:val="22"/>
                <w:lang w:eastAsia="en-GB"/>
              </w:rPr>
            </w:pPr>
            <w:r>
              <w:rPr>
                <w:noProof/>
                <w:color w:val="000000"/>
                <w:sz w:val="22"/>
                <w:lang w:eastAsia="en-GB"/>
              </w:rPr>
              <w:t>Number of public administrations in Member States deploying the solution</w:t>
            </w:r>
          </w:p>
        </w:tc>
        <w:tc>
          <w:tcPr>
            <w:tcW w:w="491" w:type="pct"/>
            <w:noWrap/>
          </w:tcPr>
          <w:p>
            <w:pPr>
              <w:spacing w:before="20" w:after="20"/>
              <w:jc w:val="center"/>
              <w:rPr>
                <w:noProof/>
                <w:sz w:val="22"/>
                <w:lang w:eastAsia="en-GB"/>
              </w:rPr>
            </w:pPr>
            <w:r>
              <w:rPr>
                <w:noProof/>
                <w:color w:val="000000"/>
                <w:sz w:val="22"/>
                <w:lang w:eastAsia="en-GB"/>
              </w:rPr>
              <w:t>1,364</w:t>
            </w:r>
          </w:p>
        </w:tc>
        <w:tc>
          <w:tcPr>
            <w:tcW w:w="1012" w:type="pct"/>
            <w:noWrap/>
          </w:tcPr>
          <w:p>
            <w:pPr>
              <w:spacing w:before="20" w:after="20"/>
              <w:jc w:val="center"/>
              <w:rPr>
                <w:noProof/>
                <w:sz w:val="22"/>
                <w:lang w:eastAsia="en-GB"/>
              </w:rPr>
            </w:pPr>
            <w:r>
              <w:rPr>
                <w:noProof/>
                <w:color w:val="000000"/>
                <w:sz w:val="22"/>
                <w:lang w:eastAsia="en-GB"/>
              </w:rPr>
              <w:t>Number of downloads of EIRA on Joinup up to February 2019</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8. Supporting instruments for public administrations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2016.35</w:t>
            </w:r>
          </w:p>
        </w:tc>
        <w:tc>
          <w:tcPr>
            <w:tcW w:w="647" w:type="pct"/>
            <w:noWrap/>
          </w:tcPr>
          <w:p>
            <w:pPr>
              <w:spacing w:before="20" w:after="20"/>
              <w:jc w:val="center"/>
              <w:rPr>
                <w:noProof/>
                <w:color w:val="000000"/>
                <w:sz w:val="22"/>
                <w:lang w:eastAsia="en-GB"/>
              </w:rPr>
            </w:pPr>
            <w:r>
              <w:rPr>
                <w:noProof/>
                <w:color w:val="000000"/>
                <w:sz w:val="22"/>
                <w:lang w:eastAsia="en-GB"/>
              </w:rPr>
              <w:t>EUSurvey</w:t>
            </w:r>
          </w:p>
        </w:tc>
        <w:tc>
          <w:tcPr>
            <w:tcW w:w="504" w:type="pct"/>
            <w:noWrap/>
          </w:tcPr>
          <w:p>
            <w:pPr>
              <w:spacing w:before="20" w:after="20"/>
              <w:jc w:val="center"/>
              <w:rPr>
                <w:noProof/>
                <w:sz w:val="22"/>
                <w:lang w:eastAsia="en-GB"/>
              </w:rPr>
            </w:pPr>
            <w:r>
              <w:rPr>
                <w:noProof/>
                <w:color w:val="000000"/>
                <w:sz w:val="22"/>
                <w:lang w:eastAsia="en-GB"/>
              </w:rPr>
              <w:t>17,443</w:t>
            </w:r>
          </w:p>
        </w:tc>
        <w:tc>
          <w:tcPr>
            <w:tcW w:w="1076" w:type="pct"/>
            <w:noWrap/>
          </w:tcPr>
          <w:p>
            <w:pPr>
              <w:spacing w:before="20" w:after="20"/>
              <w:jc w:val="center"/>
              <w:rPr>
                <w:noProof/>
                <w:sz w:val="22"/>
                <w:lang w:eastAsia="en-GB"/>
              </w:rPr>
            </w:pPr>
            <w:r>
              <w:rPr>
                <w:noProof/>
                <w:color w:val="000000"/>
                <w:sz w:val="22"/>
                <w:lang w:eastAsia="en-GB"/>
              </w:rPr>
              <w:t>Number of surveys created (sum for 2016, 2017, Q1 and Q3 of 2018), based on the ISA</w:t>
            </w:r>
            <w:r>
              <w:rPr>
                <w:noProof/>
                <w:color w:val="000000"/>
                <w:sz w:val="22"/>
                <w:vertAlign w:val="superscript"/>
                <w:lang w:eastAsia="en-GB"/>
              </w:rPr>
              <w:t>2</w:t>
            </w:r>
            <w:r>
              <w:rPr>
                <w:noProof/>
                <w:color w:val="000000"/>
                <w:sz w:val="22"/>
                <w:lang w:eastAsia="en-GB"/>
              </w:rPr>
              <w:t xml:space="preserve"> solutions webpage and the 2018 Rolling Work Programme.</w:t>
            </w:r>
          </w:p>
        </w:tc>
        <w:tc>
          <w:tcPr>
            <w:tcW w:w="491" w:type="pct"/>
            <w:noWrap/>
          </w:tcPr>
          <w:p>
            <w:pPr>
              <w:spacing w:before="20" w:after="20"/>
              <w:jc w:val="center"/>
              <w:rPr>
                <w:noProof/>
                <w:sz w:val="22"/>
                <w:lang w:eastAsia="en-GB"/>
              </w:rPr>
            </w:pPr>
          </w:p>
        </w:tc>
        <w:tc>
          <w:tcPr>
            <w:tcW w:w="1012" w:type="pct"/>
            <w:noWrap/>
          </w:tcPr>
          <w:p>
            <w:pPr>
              <w:spacing w:before="20" w:after="20"/>
              <w:jc w:val="center"/>
              <w:rPr>
                <w:noProof/>
                <w:sz w:val="22"/>
                <w:lang w:eastAsia="en-GB"/>
              </w:rPr>
            </w:pPr>
          </w:p>
        </w:tc>
      </w:tr>
      <w:tr>
        <w:trPr>
          <w:trHeight w:val="290"/>
        </w:trPr>
        <w:tc>
          <w:tcPr>
            <w:tcW w:w="586" w:type="pct"/>
          </w:tcPr>
          <w:p>
            <w:pPr>
              <w:spacing w:before="20" w:after="20"/>
              <w:rPr>
                <w:b/>
                <w:noProof/>
                <w:color w:val="000000"/>
                <w:sz w:val="22"/>
                <w:lang w:eastAsia="en-GB"/>
              </w:rPr>
            </w:pPr>
            <w:r>
              <w:rPr>
                <w:noProof/>
                <w:color w:val="000000"/>
                <w:sz w:val="22"/>
                <w:lang w:eastAsia="en-GB"/>
              </w:rPr>
              <w:t>8. Supporting instruments for public administrations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p>
        </w:tc>
        <w:tc>
          <w:tcPr>
            <w:tcW w:w="361" w:type="pct"/>
            <w:noWrap/>
          </w:tcPr>
          <w:p>
            <w:pPr>
              <w:spacing w:before="20" w:after="20"/>
              <w:jc w:val="center"/>
              <w:rPr>
                <w:noProof/>
                <w:color w:val="000000"/>
                <w:sz w:val="22"/>
                <w:lang w:eastAsia="en-GB"/>
              </w:rPr>
            </w:pPr>
            <w:r>
              <w:rPr>
                <w:noProof/>
                <w:color w:val="000000"/>
                <w:sz w:val="22"/>
                <w:lang w:eastAsia="en-GB"/>
              </w:rPr>
              <w:t>2016.37</w:t>
            </w:r>
          </w:p>
        </w:tc>
        <w:tc>
          <w:tcPr>
            <w:tcW w:w="647" w:type="pct"/>
            <w:noWrap/>
          </w:tcPr>
          <w:p>
            <w:pPr>
              <w:spacing w:before="20" w:after="20"/>
              <w:jc w:val="center"/>
              <w:rPr>
                <w:noProof/>
                <w:color w:val="000000"/>
                <w:sz w:val="22"/>
                <w:lang w:eastAsia="en-GB"/>
              </w:rPr>
            </w:pPr>
            <w:r>
              <w:rPr>
                <w:noProof/>
                <w:color w:val="000000"/>
                <w:sz w:val="22"/>
                <w:lang w:eastAsia="en-GB"/>
              </w:rPr>
              <w:t>IMAPS</w:t>
            </w:r>
          </w:p>
        </w:tc>
        <w:tc>
          <w:tcPr>
            <w:tcW w:w="504" w:type="pct"/>
            <w:noWrap/>
          </w:tcPr>
          <w:p>
            <w:pPr>
              <w:spacing w:before="20" w:after="20"/>
              <w:jc w:val="center"/>
              <w:rPr>
                <w:noProof/>
                <w:sz w:val="22"/>
                <w:lang w:eastAsia="en-GB"/>
              </w:rPr>
            </w:pPr>
            <w:r>
              <w:rPr>
                <w:noProof/>
                <w:color w:val="000000"/>
                <w:sz w:val="22"/>
                <w:lang w:eastAsia="en-GB"/>
              </w:rPr>
              <w:t>17</w:t>
            </w:r>
          </w:p>
        </w:tc>
        <w:tc>
          <w:tcPr>
            <w:tcW w:w="1076" w:type="pct"/>
            <w:noWrap/>
          </w:tcPr>
          <w:p>
            <w:pPr>
              <w:spacing w:before="20" w:after="20"/>
              <w:jc w:val="center"/>
              <w:rPr>
                <w:noProof/>
                <w:sz w:val="22"/>
                <w:lang w:eastAsia="en-GB"/>
              </w:rPr>
            </w:pPr>
            <w:r>
              <w:rPr>
                <w:noProof/>
                <w:color w:val="000000"/>
                <w:sz w:val="22"/>
                <w:lang w:eastAsia="en-GB"/>
              </w:rPr>
              <w:t>Trans-European Systems assessed with IMM</w:t>
            </w:r>
          </w:p>
        </w:tc>
        <w:tc>
          <w:tcPr>
            <w:tcW w:w="491" w:type="pct"/>
            <w:noWrap/>
          </w:tcPr>
          <w:p>
            <w:pPr>
              <w:spacing w:before="20" w:after="20"/>
              <w:jc w:val="center"/>
              <w:rPr>
                <w:noProof/>
                <w:sz w:val="22"/>
                <w:lang w:eastAsia="en-GB"/>
              </w:rPr>
            </w:pPr>
            <w:r>
              <w:rPr>
                <w:noProof/>
                <w:color w:val="000000"/>
                <w:sz w:val="22"/>
                <w:lang w:eastAsia="en-GB"/>
              </w:rPr>
              <w:t>68 (in 2017); 51 (in 2018)</w:t>
            </w:r>
          </w:p>
        </w:tc>
        <w:tc>
          <w:tcPr>
            <w:tcW w:w="1012" w:type="pct"/>
            <w:noWrap/>
          </w:tcPr>
          <w:p>
            <w:pPr>
              <w:spacing w:before="20" w:after="20"/>
              <w:jc w:val="center"/>
              <w:rPr>
                <w:noProof/>
                <w:sz w:val="22"/>
                <w:lang w:eastAsia="en-GB"/>
              </w:rPr>
            </w:pPr>
            <w:r>
              <w:rPr>
                <w:noProof/>
                <w:color w:val="000000"/>
                <w:sz w:val="22"/>
                <w:lang w:eastAsia="en-GB"/>
              </w:rPr>
              <w:t>Public services benchmarked (Q3 2017)</w:t>
            </w:r>
          </w:p>
        </w:tc>
      </w:tr>
      <w:tr>
        <w:trPr>
          <w:cnfStyle w:val="000000100000" w:firstRow="0" w:lastRow="0" w:firstColumn="0" w:lastColumn="0" w:oddVBand="0" w:evenVBand="0" w:oddHBand="1" w:evenHBand="0" w:firstRowFirstColumn="0" w:firstRowLastColumn="0" w:lastRowFirstColumn="0" w:lastRowLastColumn="0"/>
          <w:trHeight w:val="290"/>
        </w:trPr>
        <w:tc>
          <w:tcPr>
            <w:tcW w:w="586" w:type="pct"/>
          </w:tcPr>
          <w:p>
            <w:pPr>
              <w:spacing w:before="20" w:after="20"/>
              <w:rPr>
                <w:b/>
                <w:noProof/>
                <w:color w:val="000000"/>
                <w:sz w:val="22"/>
                <w:lang w:eastAsia="en-GB"/>
              </w:rPr>
            </w:pPr>
            <w:r>
              <w:rPr>
                <w:noProof/>
                <w:color w:val="000000"/>
                <w:sz w:val="22"/>
                <w:lang w:eastAsia="en-GB"/>
              </w:rPr>
              <w:t>8. Supporting instruments for public administrations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r>
              <w:rPr>
                <w:noProof/>
                <w:color w:val="000000"/>
                <w:sz w:val="22"/>
                <w:vertAlign w:val="superscript"/>
                <w:lang w:eastAsia="en-GB"/>
              </w:rPr>
              <w:t>2</w:t>
            </w:r>
          </w:p>
        </w:tc>
        <w:tc>
          <w:tcPr>
            <w:tcW w:w="361" w:type="pct"/>
            <w:noWrap/>
          </w:tcPr>
          <w:p>
            <w:pPr>
              <w:spacing w:before="20" w:after="20"/>
              <w:jc w:val="center"/>
              <w:rPr>
                <w:noProof/>
                <w:color w:val="000000"/>
                <w:sz w:val="22"/>
                <w:lang w:eastAsia="en-GB"/>
              </w:rPr>
            </w:pPr>
            <w:r>
              <w:rPr>
                <w:noProof/>
                <w:color w:val="000000"/>
                <w:sz w:val="22"/>
                <w:lang w:eastAsia="en-GB"/>
              </w:rPr>
              <w:t>2017.01</w:t>
            </w:r>
          </w:p>
        </w:tc>
        <w:tc>
          <w:tcPr>
            <w:tcW w:w="647" w:type="pct"/>
            <w:noWrap/>
          </w:tcPr>
          <w:p>
            <w:pPr>
              <w:spacing w:before="20" w:after="20"/>
              <w:jc w:val="center"/>
              <w:rPr>
                <w:noProof/>
                <w:color w:val="000000"/>
                <w:sz w:val="22"/>
                <w:lang w:eastAsia="en-GB"/>
              </w:rPr>
            </w:pPr>
            <w:r>
              <w:rPr>
                <w:noProof/>
                <w:color w:val="000000"/>
                <w:sz w:val="22"/>
                <w:lang w:eastAsia="en-GB"/>
              </w:rPr>
              <w:t>Study on Standard-based Archival Data Management, Exchange, and Publication</w:t>
            </w:r>
          </w:p>
        </w:tc>
        <w:tc>
          <w:tcPr>
            <w:tcW w:w="504" w:type="pct"/>
            <w:noWrap/>
          </w:tcPr>
          <w:p>
            <w:pPr>
              <w:spacing w:before="20" w:after="20"/>
              <w:jc w:val="center"/>
              <w:rPr>
                <w:noProof/>
                <w:sz w:val="22"/>
                <w:lang w:eastAsia="en-GB"/>
              </w:rPr>
            </w:pPr>
            <w:r>
              <w:rPr>
                <w:noProof/>
                <w:color w:val="000000"/>
                <w:sz w:val="22"/>
                <w:lang w:eastAsia="en-GB"/>
              </w:rPr>
              <w:t>80</w:t>
            </w:r>
          </w:p>
        </w:tc>
        <w:tc>
          <w:tcPr>
            <w:tcW w:w="1076" w:type="pct"/>
            <w:noWrap/>
          </w:tcPr>
          <w:p>
            <w:pPr>
              <w:spacing w:before="20" w:after="20"/>
              <w:jc w:val="center"/>
              <w:rPr>
                <w:noProof/>
                <w:sz w:val="22"/>
                <w:lang w:eastAsia="en-GB"/>
              </w:rPr>
            </w:pPr>
            <w:r>
              <w:rPr>
                <w:noProof/>
                <w:color w:val="000000"/>
                <w:sz w:val="22"/>
                <w:lang w:eastAsia="en-GB"/>
              </w:rPr>
              <w:t>Unique visitors/downloads since the publication (2018)</w:t>
            </w:r>
          </w:p>
        </w:tc>
        <w:tc>
          <w:tcPr>
            <w:tcW w:w="491" w:type="pct"/>
            <w:noWrap/>
          </w:tcPr>
          <w:p>
            <w:pPr>
              <w:spacing w:before="20" w:after="20"/>
              <w:jc w:val="center"/>
              <w:rPr>
                <w:noProof/>
                <w:sz w:val="22"/>
                <w:lang w:eastAsia="en-GB"/>
              </w:rPr>
            </w:pPr>
            <w:r>
              <w:rPr>
                <w:noProof/>
                <w:color w:val="000000"/>
                <w:sz w:val="22"/>
                <w:lang w:eastAsia="en-GB"/>
              </w:rPr>
              <w:t> </w:t>
            </w:r>
          </w:p>
        </w:tc>
        <w:tc>
          <w:tcPr>
            <w:tcW w:w="1012" w:type="pct"/>
            <w:noWrap/>
          </w:tcPr>
          <w:p>
            <w:pPr>
              <w:spacing w:before="20" w:after="20"/>
              <w:jc w:val="center"/>
              <w:rPr>
                <w:noProof/>
                <w:sz w:val="22"/>
                <w:lang w:eastAsia="en-GB"/>
              </w:rPr>
            </w:pPr>
            <w:r>
              <w:rPr>
                <w:noProof/>
                <w:color w:val="000000"/>
                <w:sz w:val="22"/>
                <w:lang w:eastAsia="en-GB"/>
              </w:rPr>
              <w:t> </w:t>
            </w:r>
          </w:p>
        </w:tc>
      </w:tr>
      <w:tr>
        <w:trPr>
          <w:trHeight w:val="290"/>
        </w:trPr>
        <w:tc>
          <w:tcPr>
            <w:tcW w:w="586" w:type="pct"/>
          </w:tcPr>
          <w:p>
            <w:pPr>
              <w:spacing w:before="20" w:after="20"/>
              <w:rPr>
                <w:b/>
                <w:noProof/>
                <w:color w:val="000000"/>
                <w:sz w:val="22"/>
                <w:lang w:eastAsia="en-GB"/>
              </w:rPr>
            </w:pPr>
            <w:r>
              <w:rPr>
                <w:noProof/>
                <w:color w:val="000000"/>
                <w:sz w:val="22"/>
                <w:lang w:eastAsia="en-GB"/>
              </w:rPr>
              <w:t>8. Supporting instruments for public administrations</w:t>
            </w:r>
          </w:p>
        </w:tc>
        <w:tc>
          <w:tcPr>
            <w:tcW w:w="323" w:type="pct"/>
            <w:gridSpan w:val="2"/>
            <w:noWrap/>
          </w:tcPr>
          <w:p>
            <w:pPr>
              <w:spacing w:before="20" w:after="20"/>
              <w:jc w:val="center"/>
              <w:rPr>
                <w:b/>
                <w:noProof/>
                <w:color w:val="000000"/>
                <w:sz w:val="22"/>
                <w:lang w:eastAsia="en-GB"/>
              </w:rPr>
            </w:pPr>
            <w:r>
              <w:rPr>
                <w:noProof/>
                <w:color w:val="000000"/>
                <w:sz w:val="22"/>
                <w:lang w:eastAsia="en-GB"/>
              </w:rPr>
              <w:t>ISA</w:t>
            </w:r>
            <w:r>
              <w:rPr>
                <w:noProof/>
                <w:color w:val="000000"/>
                <w:sz w:val="22"/>
                <w:vertAlign w:val="superscript"/>
                <w:lang w:eastAsia="en-GB"/>
              </w:rPr>
              <w:t>2</w:t>
            </w:r>
          </w:p>
        </w:tc>
        <w:tc>
          <w:tcPr>
            <w:tcW w:w="361" w:type="pct"/>
            <w:noWrap/>
          </w:tcPr>
          <w:p>
            <w:pPr>
              <w:spacing w:before="20" w:after="20"/>
              <w:jc w:val="center"/>
              <w:rPr>
                <w:noProof/>
                <w:color w:val="000000"/>
                <w:sz w:val="22"/>
                <w:lang w:eastAsia="en-GB"/>
              </w:rPr>
            </w:pPr>
            <w:r>
              <w:rPr>
                <w:noProof/>
                <w:color w:val="000000"/>
                <w:sz w:val="22"/>
                <w:lang w:eastAsia="en-GB"/>
              </w:rPr>
              <w:t>2017.01</w:t>
            </w:r>
          </w:p>
        </w:tc>
        <w:tc>
          <w:tcPr>
            <w:tcW w:w="647" w:type="pct"/>
            <w:noWrap/>
          </w:tcPr>
          <w:p>
            <w:pPr>
              <w:spacing w:before="20" w:after="20"/>
              <w:jc w:val="center"/>
              <w:rPr>
                <w:noProof/>
                <w:color w:val="000000"/>
                <w:sz w:val="22"/>
                <w:lang w:eastAsia="en-GB"/>
              </w:rPr>
            </w:pPr>
            <w:r>
              <w:rPr>
                <w:noProof/>
                <w:color w:val="000000"/>
                <w:sz w:val="22"/>
                <w:lang w:eastAsia="en-GB"/>
              </w:rPr>
              <w:t>Assessment tool offering support for the selection of IT solutions for archives management</w:t>
            </w:r>
          </w:p>
        </w:tc>
        <w:tc>
          <w:tcPr>
            <w:tcW w:w="504" w:type="pct"/>
            <w:noWrap/>
          </w:tcPr>
          <w:p>
            <w:pPr>
              <w:spacing w:before="20" w:after="20"/>
              <w:jc w:val="center"/>
              <w:rPr>
                <w:noProof/>
                <w:sz w:val="22"/>
                <w:lang w:eastAsia="en-GB"/>
              </w:rPr>
            </w:pPr>
            <w:r>
              <w:rPr>
                <w:noProof/>
                <w:color w:val="000000"/>
                <w:sz w:val="22"/>
                <w:lang w:eastAsia="en-GB"/>
              </w:rPr>
              <w:t>58</w:t>
            </w:r>
          </w:p>
        </w:tc>
        <w:tc>
          <w:tcPr>
            <w:tcW w:w="1076" w:type="pct"/>
            <w:noWrap/>
          </w:tcPr>
          <w:p>
            <w:pPr>
              <w:spacing w:before="20" w:after="20"/>
              <w:jc w:val="center"/>
              <w:rPr>
                <w:noProof/>
                <w:sz w:val="22"/>
                <w:lang w:eastAsia="en-GB"/>
              </w:rPr>
            </w:pPr>
            <w:r>
              <w:rPr>
                <w:noProof/>
                <w:color w:val="000000"/>
                <w:sz w:val="22"/>
                <w:lang w:eastAsia="en-GB"/>
              </w:rPr>
              <w:t>Unique visitors/downloads since the publication (2018)</w:t>
            </w:r>
          </w:p>
        </w:tc>
        <w:tc>
          <w:tcPr>
            <w:tcW w:w="491" w:type="pct"/>
            <w:noWrap/>
          </w:tcPr>
          <w:p>
            <w:pPr>
              <w:spacing w:before="20" w:after="20"/>
              <w:jc w:val="center"/>
              <w:rPr>
                <w:noProof/>
                <w:sz w:val="22"/>
                <w:lang w:eastAsia="en-GB"/>
              </w:rPr>
            </w:pPr>
            <w:r>
              <w:rPr>
                <w:noProof/>
                <w:color w:val="000000"/>
                <w:sz w:val="22"/>
                <w:lang w:eastAsia="en-GB"/>
              </w:rPr>
              <w:t> </w:t>
            </w:r>
          </w:p>
        </w:tc>
        <w:tc>
          <w:tcPr>
            <w:tcW w:w="1012" w:type="pct"/>
            <w:noWrap/>
          </w:tcPr>
          <w:p>
            <w:pPr>
              <w:spacing w:before="20" w:after="20"/>
              <w:jc w:val="center"/>
              <w:rPr>
                <w:noProof/>
                <w:sz w:val="22"/>
                <w:lang w:eastAsia="en-GB"/>
              </w:rPr>
            </w:pPr>
            <w:r>
              <w:rPr>
                <w:noProof/>
                <w:color w:val="000000"/>
                <w:sz w:val="22"/>
                <w:lang w:eastAsia="en-GB"/>
              </w:rPr>
              <w:t> </w:t>
            </w:r>
          </w:p>
        </w:tc>
      </w:tr>
    </w:tbl>
    <w:p>
      <w:pPr>
        <w:spacing w:line="240" w:lineRule="auto"/>
        <w:jc w:val="both"/>
        <w:rPr>
          <w:rFonts w:cs="Times New Roman"/>
          <w:i/>
          <w:noProof/>
          <w:sz w:val="20"/>
          <w:szCs w:val="20"/>
          <w:highlight w:val="yellow"/>
          <w:lang w:val="en-GB"/>
        </w:rPr>
      </w:pPr>
      <w:r>
        <w:rPr>
          <w:rFonts w:cs="Times New Roman"/>
          <w:i/>
          <w:noProof/>
          <w:sz w:val="20"/>
          <w:szCs w:val="20"/>
          <w:lang w:val="en-GB"/>
        </w:rPr>
        <w:t xml:space="preserve">Source: </w:t>
      </w:r>
      <w:hyperlink r:id="rId255" w:history="1">
        <w:r>
          <w:rPr>
            <w:rStyle w:val="Hyperlink"/>
            <w:rFonts w:cs="Times New Roman"/>
            <w:i/>
            <w:noProof/>
            <w:sz w:val="20"/>
            <w:lang w:val="en-GB"/>
          </w:rPr>
          <w:t>CEPS final study</w:t>
        </w:r>
      </w:hyperlink>
    </w:p>
    <w:p>
      <w:pPr>
        <w:spacing w:line="240" w:lineRule="auto"/>
        <w:jc w:val="both"/>
        <w:rPr>
          <w:rFonts w:cs="Times New Roman"/>
          <w:i/>
          <w:noProof/>
          <w:sz w:val="20"/>
          <w:szCs w:val="20"/>
          <w:highlight w:val="yellow"/>
          <w:lang w:val="en-GB"/>
        </w:rPr>
      </w:pPr>
    </w:p>
    <w:p>
      <w:pPr>
        <w:pStyle w:val="Heading4"/>
        <w:rPr>
          <w:noProof/>
        </w:rPr>
      </w:pPr>
      <w:r>
        <w:rPr>
          <w:noProof/>
        </w:rPr>
        <w:t>Communication activities</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13</w:t>
      </w:r>
      <w:r>
        <w:rPr>
          <w:rFonts w:cs="Times New Roman"/>
          <w:noProof/>
        </w:rPr>
        <w:fldChar w:fldCharType="end"/>
      </w:r>
      <w:r>
        <w:rPr>
          <w:rFonts w:cs="Times New Roman"/>
          <w:noProof/>
        </w:rPr>
        <w:t>: Events funded by ISA</w:t>
      </w:r>
      <w:r>
        <w:rPr>
          <w:rFonts w:cs="Times New Roman"/>
          <w:noProof/>
          <w:vertAlign w:val="superscript"/>
        </w:rPr>
        <w:t>2</w:t>
      </w:r>
      <w:r>
        <w:rPr>
          <w:rFonts w:cs="Times New Roman"/>
          <w:noProof/>
        </w:rPr>
        <w:t xml:space="preserve"> between 2016 and 2018</w:t>
      </w:r>
    </w:p>
    <w:tbl>
      <w:tblPr>
        <w:tblStyle w:val="ListTable4-Accent11"/>
        <w:tblW w:w="5000" w:type="pct"/>
        <w:tblLayout w:type="fixed"/>
        <w:tblLook w:val="04A0" w:firstRow="1" w:lastRow="0" w:firstColumn="1" w:lastColumn="0" w:noHBand="0" w:noVBand="1"/>
      </w:tblPr>
      <w:tblGrid>
        <w:gridCol w:w="755"/>
        <w:gridCol w:w="2441"/>
        <w:gridCol w:w="2441"/>
        <w:gridCol w:w="1414"/>
        <w:gridCol w:w="1228"/>
        <w:gridCol w:w="1751"/>
        <w:gridCol w:w="1417"/>
        <w:gridCol w:w="1276"/>
        <w:gridCol w:w="1276"/>
        <w:gridCol w:w="1015"/>
      </w:tblGrid>
      <w:tr>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1" w:type="pct"/>
            <w:hideMark/>
          </w:tcPr>
          <w:p>
            <w:pPr>
              <w:spacing w:before="20" w:after="20"/>
              <w:jc w:val="center"/>
              <w:rPr>
                <w:b w:val="0"/>
                <w:bCs w:val="0"/>
                <w:noProof/>
                <w:color w:val="FFFFFF"/>
                <w:sz w:val="22"/>
                <w:lang w:eastAsia="en-GB"/>
              </w:rPr>
            </w:pPr>
            <w:r>
              <w:rPr>
                <w:b w:val="0"/>
                <w:bCs w:val="0"/>
                <w:noProof/>
                <w:color w:val="FFFFFF"/>
                <w:sz w:val="22"/>
                <w:lang w:eastAsia="en-GB"/>
              </w:rPr>
              <w:t>Year</w:t>
            </w:r>
          </w:p>
        </w:tc>
        <w:tc>
          <w:tcPr>
            <w:tcW w:w="813" w:type="pct"/>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p>
        </w:tc>
        <w:tc>
          <w:tcPr>
            <w:tcW w:w="813" w:type="pct"/>
            <w:hideMark/>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r>
              <w:rPr>
                <w:b w:val="0"/>
                <w:bCs w:val="0"/>
                <w:noProof/>
                <w:color w:val="FFFFFF"/>
                <w:sz w:val="22"/>
                <w:lang w:eastAsia="en-GB"/>
              </w:rPr>
              <w:t>ISA</w:t>
            </w:r>
            <w:r>
              <w:rPr>
                <w:b w:val="0"/>
                <w:bCs w:val="0"/>
                <w:noProof/>
                <w:color w:val="FFFFFF"/>
                <w:sz w:val="22"/>
                <w:vertAlign w:val="superscript"/>
                <w:lang w:eastAsia="en-GB"/>
              </w:rPr>
              <w:t>2</w:t>
            </w:r>
            <w:r>
              <w:rPr>
                <w:b w:val="0"/>
                <w:bCs w:val="0"/>
                <w:noProof/>
                <w:color w:val="FFFFFF"/>
                <w:sz w:val="22"/>
                <w:lang w:eastAsia="en-GB"/>
              </w:rPr>
              <w:t xml:space="preserve"> workshops/conferences</w:t>
            </w:r>
          </w:p>
        </w:tc>
        <w:tc>
          <w:tcPr>
            <w:tcW w:w="471" w:type="pct"/>
            <w:hideMark/>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r>
              <w:rPr>
                <w:b w:val="0"/>
                <w:bCs w:val="0"/>
                <w:noProof/>
                <w:color w:val="FFFFFF"/>
                <w:sz w:val="22"/>
                <w:lang w:eastAsia="en-GB"/>
              </w:rPr>
              <w:t>Location</w:t>
            </w:r>
          </w:p>
        </w:tc>
        <w:tc>
          <w:tcPr>
            <w:tcW w:w="409" w:type="pct"/>
            <w:hideMark/>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r>
              <w:rPr>
                <w:b w:val="0"/>
                <w:bCs w:val="0"/>
                <w:noProof/>
                <w:color w:val="FFFFFF"/>
                <w:sz w:val="22"/>
                <w:lang w:eastAsia="en-GB"/>
              </w:rPr>
              <w:t>Total participants onsite</w:t>
            </w:r>
          </w:p>
        </w:tc>
        <w:tc>
          <w:tcPr>
            <w:tcW w:w="583" w:type="pct"/>
            <w:hideMark/>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r>
              <w:rPr>
                <w:b w:val="0"/>
                <w:bCs w:val="0"/>
                <w:noProof/>
                <w:color w:val="FFFFFF"/>
                <w:sz w:val="22"/>
                <w:lang w:eastAsia="en-GB"/>
              </w:rPr>
              <w:t>Total remote participants</w:t>
            </w:r>
          </w:p>
        </w:tc>
        <w:tc>
          <w:tcPr>
            <w:tcW w:w="472" w:type="pct"/>
            <w:hideMark/>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r>
              <w:rPr>
                <w:b w:val="0"/>
                <w:bCs w:val="0"/>
                <w:noProof/>
                <w:color w:val="FFFFFF"/>
                <w:sz w:val="22"/>
                <w:lang w:eastAsia="en-GB"/>
              </w:rPr>
              <w:t>Number of international participants</w:t>
            </w:r>
          </w:p>
        </w:tc>
        <w:tc>
          <w:tcPr>
            <w:tcW w:w="425" w:type="pct"/>
            <w:hideMark/>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r>
              <w:rPr>
                <w:b w:val="0"/>
                <w:bCs w:val="0"/>
                <w:noProof/>
                <w:color w:val="FFFFFF"/>
                <w:sz w:val="22"/>
                <w:lang w:eastAsia="en-GB"/>
              </w:rPr>
              <w:t>Number of Member States represented</w:t>
            </w:r>
          </w:p>
        </w:tc>
        <w:tc>
          <w:tcPr>
            <w:tcW w:w="425" w:type="pct"/>
            <w:hideMark/>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r>
              <w:rPr>
                <w:b w:val="0"/>
                <w:bCs w:val="0"/>
                <w:noProof/>
                <w:color w:val="FFFFFF"/>
                <w:sz w:val="22"/>
                <w:lang w:eastAsia="en-GB"/>
              </w:rPr>
              <w:t>Number of EEA and acceding countries represented</w:t>
            </w:r>
          </w:p>
        </w:tc>
        <w:tc>
          <w:tcPr>
            <w:tcW w:w="338" w:type="pct"/>
            <w:hideMark/>
          </w:tcPr>
          <w:p>
            <w:pPr>
              <w:spacing w:before="20" w:after="20"/>
              <w:jc w:val="center"/>
              <w:cnfStyle w:val="100000000000" w:firstRow="1" w:lastRow="0" w:firstColumn="0" w:lastColumn="0" w:oddVBand="0" w:evenVBand="0" w:oddHBand="0" w:evenHBand="0" w:firstRowFirstColumn="0" w:firstRowLastColumn="0" w:lastRowFirstColumn="0" w:lastRowLastColumn="0"/>
              <w:rPr>
                <w:b w:val="0"/>
                <w:bCs w:val="0"/>
                <w:noProof/>
                <w:color w:val="FFFFFF"/>
                <w:sz w:val="22"/>
                <w:lang w:eastAsia="en-GB"/>
              </w:rPr>
            </w:pPr>
            <w:r>
              <w:rPr>
                <w:b w:val="0"/>
                <w:bCs w:val="0"/>
                <w:noProof/>
                <w:color w:val="FFFFFF"/>
                <w:sz w:val="22"/>
                <w:lang w:eastAsia="en-GB"/>
              </w:rPr>
              <w:t>Number of EC officials (non-DIGIT)</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eastAsia="en-GB"/>
              </w:rPr>
            </w:pPr>
            <w:r>
              <w:rPr>
                <w:noProof/>
                <w:color w:val="000000"/>
                <w:sz w:val="22"/>
                <w:lang w:eastAsia="en-GB"/>
              </w:rPr>
              <w:t>2016</w:t>
            </w:r>
          </w:p>
        </w:tc>
        <w:tc>
          <w:tcPr>
            <w:tcW w:w="813"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p>
        </w:tc>
        <w:tc>
          <w:tcPr>
            <w:tcW w:w="81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From ISA to ISA</w:t>
            </w:r>
            <w:r>
              <w:rPr>
                <w:noProof/>
                <w:color w:val="000000"/>
                <w:sz w:val="22"/>
                <w:vertAlign w:val="superscript"/>
                <w:lang w:eastAsia="en-GB"/>
              </w:rPr>
              <w:t>2</w:t>
            </w:r>
          </w:p>
        </w:tc>
        <w:tc>
          <w:tcPr>
            <w:tcW w:w="471"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Brussels, Belgium</w:t>
            </w:r>
          </w:p>
        </w:tc>
        <w:tc>
          <w:tcPr>
            <w:tcW w:w="409"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300</w:t>
            </w:r>
          </w:p>
        </w:tc>
        <w:tc>
          <w:tcPr>
            <w:tcW w:w="58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472"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338"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eastAsia="en-GB"/>
              </w:rPr>
            </w:pPr>
            <w:r>
              <w:rPr>
                <w:noProof/>
                <w:color w:val="000000"/>
                <w:sz w:val="22"/>
                <w:lang w:eastAsia="en-GB"/>
              </w:rPr>
              <w:t>2016</w:t>
            </w:r>
          </w:p>
        </w:tc>
        <w:tc>
          <w:tcPr>
            <w:tcW w:w="813" w:type="pct"/>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p>
        </w:tc>
        <w:tc>
          <w:tcPr>
            <w:tcW w:w="813"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SEMIC2016*</w:t>
            </w:r>
          </w:p>
        </w:tc>
        <w:tc>
          <w:tcPr>
            <w:tcW w:w="471"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Rome, Italy</w:t>
            </w:r>
          </w:p>
        </w:tc>
        <w:tc>
          <w:tcPr>
            <w:tcW w:w="409"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206</w:t>
            </w:r>
          </w:p>
        </w:tc>
        <w:tc>
          <w:tcPr>
            <w:tcW w:w="583"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c>
          <w:tcPr>
            <w:tcW w:w="472"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25</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3</w:t>
            </w:r>
          </w:p>
        </w:tc>
        <w:tc>
          <w:tcPr>
            <w:tcW w:w="338"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eastAsia="en-GB"/>
              </w:rPr>
            </w:pPr>
            <w:r>
              <w:rPr>
                <w:noProof/>
                <w:color w:val="000000"/>
                <w:sz w:val="22"/>
                <w:lang w:eastAsia="en-GB"/>
              </w:rPr>
              <w:t>2017</w:t>
            </w:r>
          </w:p>
        </w:tc>
        <w:tc>
          <w:tcPr>
            <w:tcW w:w="813"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p>
        </w:tc>
        <w:tc>
          <w:tcPr>
            <w:tcW w:w="81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Workshop on the EIF</w:t>
            </w:r>
          </w:p>
        </w:tc>
        <w:tc>
          <w:tcPr>
            <w:tcW w:w="471"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Thessaloniki</w:t>
            </w:r>
          </w:p>
        </w:tc>
        <w:tc>
          <w:tcPr>
            <w:tcW w:w="409"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N/A</w:t>
            </w:r>
          </w:p>
        </w:tc>
        <w:tc>
          <w:tcPr>
            <w:tcW w:w="58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472"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c>
          <w:tcPr>
            <w:tcW w:w="338"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eastAsia="en-GB"/>
              </w:rPr>
            </w:pPr>
            <w:r>
              <w:rPr>
                <w:noProof/>
                <w:color w:val="000000"/>
                <w:sz w:val="22"/>
                <w:lang w:eastAsia="en-GB"/>
              </w:rPr>
              <w:t>2017</w:t>
            </w:r>
          </w:p>
        </w:tc>
        <w:tc>
          <w:tcPr>
            <w:tcW w:w="813" w:type="pct"/>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p>
        </w:tc>
        <w:tc>
          <w:tcPr>
            <w:tcW w:w="813"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Sharing and reuse Conference</w:t>
            </w:r>
          </w:p>
        </w:tc>
        <w:tc>
          <w:tcPr>
            <w:tcW w:w="471"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Lisbon, Portugal</w:t>
            </w:r>
          </w:p>
        </w:tc>
        <w:tc>
          <w:tcPr>
            <w:tcW w:w="409"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220</w:t>
            </w:r>
          </w:p>
        </w:tc>
        <w:tc>
          <w:tcPr>
            <w:tcW w:w="583"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810</w:t>
            </w:r>
          </w:p>
        </w:tc>
        <w:tc>
          <w:tcPr>
            <w:tcW w:w="472"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204</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21</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0</w:t>
            </w:r>
          </w:p>
        </w:tc>
        <w:tc>
          <w:tcPr>
            <w:tcW w:w="338" w:type="pct"/>
            <w:noWrap/>
            <w:hideMark/>
          </w:tcPr>
          <w:p>
            <w:pPr>
              <w:spacing w:before="20" w:after="20"/>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 </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eastAsia="en-GB"/>
              </w:rPr>
            </w:pPr>
            <w:r>
              <w:rPr>
                <w:noProof/>
                <w:color w:val="000000"/>
                <w:sz w:val="22"/>
                <w:lang w:eastAsia="en-GB"/>
              </w:rPr>
              <w:t>2017</w:t>
            </w:r>
          </w:p>
        </w:tc>
        <w:tc>
          <w:tcPr>
            <w:tcW w:w="813"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p>
        </w:tc>
        <w:tc>
          <w:tcPr>
            <w:tcW w:w="81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SEMIC2017</w:t>
            </w:r>
          </w:p>
        </w:tc>
        <w:tc>
          <w:tcPr>
            <w:tcW w:w="471"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Valletta, Malta</w:t>
            </w:r>
          </w:p>
        </w:tc>
        <w:tc>
          <w:tcPr>
            <w:tcW w:w="409"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224</w:t>
            </w:r>
          </w:p>
        </w:tc>
        <w:tc>
          <w:tcPr>
            <w:tcW w:w="58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609</w:t>
            </w:r>
          </w:p>
        </w:tc>
        <w:tc>
          <w:tcPr>
            <w:tcW w:w="472"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195</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18</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w:t>
            </w:r>
          </w:p>
        </w:tc>
        <w:tc>
          <w:tcPr>
            <w:tcW w:w="338" w:type="pct"/>
            <w:noWrap/>
            <w:hideMark/>
          </w:tcPr>
          <w:p>
            <w:pPr>
              <w:spacing w:before="20" w:after="20"/>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 </w:t>
            </w:r>
          </w:p>
        </w:tc>
      </w:tr>
      <w:tr>
        <w:trPr>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eastAsia="en-GB"/>
              </w:rPr>
            </w:pPr>
            <w:r>
              <w:rPr>
                <w:noProof/>
                <w:color w:val="000000"/>
                <w:sz w:val="22"/>
                <w:lang w:eastAsia="en-GB"/>
              </w:rPr>
              <w:t>2018</w:t>
            </w:r>
          </w:p>
        </w:tc>
        <w:tc>
          <w:tcPr>
            <w:tcW w:w="813" w:type="pct"/>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p>
        </w:tc>
        <w:tc>
          <w:tcPr>
            <w:tcW w:w="813" w:type="pct"/>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Open PM2 Conference (partially funded by ISA</w:t>
            </w:r>
            <w:r>
              <w:rPr>
                <w:noProof/>
                <w:color w:val="000000"/>
                <w:sz w:val="22"/>
                <w:vertAlign w:val="superscript"/>
                <w:lang w:eastAsia="en-GB"/>
              </w:rPr>
              <w:t>2</w:t>
            </w:r>
            <w:r>
              <w:rPr>
                <w:noProof/>
                <w:color w:val="000000"/>
                <w:sz w:val="22"/>
                <w:lang w:eastAsia="en-GB"/>
              </w:rPr>
              <w:t>)</w:t>
            </w:r>
          </w:p>
        </w:tc>
        <w:tc>
          <w:tcPr>
            <w:tcW w:w="471"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Brussels, Belgium</w:t>
            </w:r>
          </w:p>
        </w:tc>
        <w:tc>
          <w:tcPr>
            <w:tcW w:w="409"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538</w:t>
            </w:r>
          </w:p>
        </w:tc>
        <w:tc>
          <w:tcPr>
            <w:tcW w:w="583"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1,800 (connections to web streaming)</w:t>
            </w:r>
          </w:p>
        </w:tc>
        <w:tc>
          <w:tcPr>
            <w:tcW w:w="472"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c>
          <w:tcPr>
            <w:tcW w:w="338"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eastAsia="en-GB"/>
              </w:rPr>
            </w:pPr>
            <w:r>
              <w:rPr>
                <w:noProof/>
                <w:color w:val="000000"/>
                <w:sz w:val="22"/>
                <w:lang w:eastAsia="en-GB"/>
              </w:rPr>
              <w:t>2018</w:t>
            </w:r>
          </w:p>
        </w:tc>
        <w:tc>
          <w:tcPr>
            <w:tcW w:w="813"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p>
        </w:tc>
        <w:tc>
          <w:tcPr>
            <w:tcW w:w="81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SEMIC 2018</w:t>
            </w:r>
          </w:p>
        </w:tc>
        <w:tc>
          <w:tcPr>
            <w:tcW w:w="471"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Sofia, Bulgaria</w:t>
            </w:r>
          </w:p>
        </w:tc>
        <w:tc>
          <w:tcPr>
            <w:tcW w:w="409"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220</w:t>
            </w:r>
          </w:p>
        </w:tc>
        <w:tc>
          <w:tcPr>
            <w:tcW w:w="58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701</w:t>
            </w:r>
          </w:p>
        </w:tc>
        <w:tc>
          <w:tcPr>
            <w:tcW w:w="472"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204</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19</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2</w:t>
            </w:r>
          </w:p>
        </w:tc>
        <w:tc>
          <w:tcPr>
            <w:tcW w:w="338" w:type="pct"/>
            <w:noWrap/>
            <w:hideMark/>
          </w:tcPr>
          <w:p>
            <w:pPr>
              <w:spacing w:before="20" w:after="20"/>
              <w:cnfStyle w:val="000000100000" w:firstRow="0" w:lastRow="0" w:firstColumn="0" w:lastColumn="0" w:oddVBand="0" w:evenVBand="0" w:oddHBand="1" w:evenHBand="0" w:firstRowFirstColumn="0" w:firstRowLastColumn="0" w:lastRowFirstColumn="0" w:lastRowLastColumn="0"/>
              <w:rPr>
                <w:noProof/>
                <w:color w:val="000000"/>
                <w:sz w:val="22"/>
                <w:lang w:eastAsia="en-GB"/>
              </w:rPr>
            </w:pPr>
            <w:r>
              <w:rPr>
                <w:noProof/>
                <w:color w:val="000000"/>
                <w:sz w:val="22"/>
                <w:lang w:eastAsia="en-GB"/>
              </w:rPr>
              <w:t> </w:t>
            </w:r>
          </w:p>
        </w:tc>
      </w:tr>
      <w:tr>
        <w:trPr>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eastAsia="en-GB"/>
              </w:rPr>
            </w:pPr>
            <w:r>
              <w:rPr>
                <w:noProof/>
                <w:color w:val="000000"/>
                <w:sz w:val="22"/>
                <w:lang w:eastAsia="en-GB"/>
              </w:rPr>
              <w:t>2018</w:t>
            </w:r>
          </w:p>
        </w:tc>
        <w:tc>
          <w:tcPr>
            <w:tcW w:w="813" w:type="pct"/>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p>
        </w:tc>
        <w:tc>
          <w:tcPr>
            <w:tcW w:w="813"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ISA2CONF18</w:t>
            </w:r>
          </w:p>
        </w:tc>
        <w:tc>
          <w:tcPr>
            <w:tcW w:w="471"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Brussels, Belgium</w:t>
            </w:r>
          </w:p>
        </w:tc>
        <w:tc>
          <w:tcPr>
            <w:tcW w:w="409"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325</w:t>
            </w:r>
          </w:p>
        </w:tc>
        <w:tc>
          <w:tcPr>
            <w:tcW w:w="583"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w:t>
            </w:r>
          </w:p>
        </w:tc>
        <w:tc>
          <w:tcPr>
            <w:tcW w:w="472"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249</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26</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7</w:t>
            </w:r>
          </w:p>
        </w:tc>
        <w:tc>
          <w:tcPr>
            <w:tcW w:w="338"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eastAsia="en-GB"/>
              </w:rPr>
            </w:pPr>
            <w:r>
              <w:rPr>
                <w:noProof/>
                <w:color w:val="000000"/>
                <w:sz w:val="22"/>
                <w:lang w:eastAsia="en-GB"/>
              </w:rPr>
              <w:t>120</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val="en-GB" w:eastAsia="en-GB"/>
              </w:rPr>
            </w:pPr>
            <w:r>
              <w:rPr>
                <w:noProof/>
                <w:color w:val="000000"/>
                <w:sz w:val="22"/>
                <w:lang w:val="en-GB" w:eastAsia="en-GB"/>
              </w:rPr>
              <w:t>2018</w:t>
            </w:r>
          </w:p>
        </w:tc>
        <w:tc>
          <w:tcPr>
            <w:tcW w:w="813" w:type="pct"/>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p>
        </w:tc>
        <w:tc>
          <w:tcPr>
            <w:tcW w:w="813" w:type="pct"/>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r>
              <w:rPr>
                <w:noProof/>
                <w:color w:val="000000"/>
                <w:sz w:val="22"/>
                <w:lang w:val="en-GB" w:eastAsia="en-GB"/>
              </w:rPr>
              <w:t>Workshop organised as part of the European Week of Regions and Cities 2018</w:t>
            </w:r>
          </w:p>
        </w:tc>
        <w:tc>
          <w:tcPr>
            <w:tcW w:w="471"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r>
              <w:rPr>
                <w:noProof/>
                <w:color w:val="000000"/>
                <w:sz w:val="22"/>
                <w:lang w:val="en-GB" w:eastAsia="en-GB"/>
              </w:rPr>
              <w:t>Brussels, Belgium</w:t>
            </w:r>
          </w:p>
        </w:tc>
        <w:tc>
          <w:tcPr>
            <w:tcW w:w="409"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r>
              <w:rPr>
                <w:noProof/>
                <w:color w:val="000000"/>
                <w:sz w:val="22"/>
                <w:lang w:val="en-GB" w:eastAsia="en-GB"/>
              </w:rPr>
              <w:t>98</w:t>
            </w:r>
          </w:p>
        </w:tc>
        <w:tc>
          <w:tcPr>
            <w:tcW w:w="583"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r>
              <w:rPr>
                <w:noProof/>
                <w:color w:val="000000"/>
                <w:sz w:val="22"/>
                <w:lang w:val="en-GB" w:eastAsia="en-GB"/>
              </w:rPr>
              <w:t>-</w:t>
            </w:r>
          </w:p>
        </w:tc>
        <w:tc>
          <w:tcPr>
            <w:tcW w:w="472"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r>
              <w:rPr>
                <w:noProof/>
                <w:color w:val="000000"/>
                <w:sz w:val="22"/>
                <w:lang w:val="en-GB" w:eastAsia="en-GB"/>
              </w:rPr>
              <w:t>-</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r>
              <w:rPr>
                <w:noProof/>
                <w:color w:val="000000"/>
                <w:sz w:val="22"/>
                <w:lang w:val="en-GB" w:eastAsia="en-GB"/>
              </w:rPr>
              <w:t>-</w:t>
            </w:r>
          </w:p>
        </w:tc>
        <w:tc>
          <w:tcPr>
            <w:tcW w:w="425"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r>
              <w:rPr>
                <w:noProof/>
                <w:color w:val="000000"/>
                <w:sz w:val="22"/>
                <w:lang w:val="en-GB" w:eastAsia="en-GB"/>
              </w:rPr>
              <w:t>-</w:t>
            </w:r>
          </w:p>
        </w:tc>
        <w:tc>
          <w:tcPr>
            <w:tcW w:w="338" w:type="pct"/>
            <w:noWrap/>
            <w:hideMark/>
          </w:tcPr>
          <w:p>
            <w:pPr>
              <w:spacing w:before="20" w:after="20"/>
              <w:jc w:val="center"/>
              <w:cnfStyle w:val="000000100000" w:firstRow="0" w:lastRow="0" w:firstColumn="0" w:lastColumn="0" w:oddVBand="0" w:evenVBand="0" w:oddHBand="1" w:evenHBand="0" w:firstRowFirstColumn="0" w:firstRowLastColumn="0" w:lastRowFirstColumn="0" w:lastRowLastColumn="0"/>
              <w:rPr>
                <w:noProof/>
                <w:color w:val="000000"/>
                <w:sz w:val="22"/>
                <w:lang w:val="en-GB" w:eastAsia="en-GB"/>
              </w:rPr>
            </w:pPr>
            <w:r>
              <w:rPr>
                <w:noProof/>
                <w:color w:val="000000"/>
                <w:sz w:val="22"/>
                <w:lang w:val="en-GB" w:eastAsia="en-GB"/>
              </w:rPr>
              <w:t>-</w:t>
            </w:r>
          </w:p>
        </w:tc>
      </w:tr>
      <w:tr>
        <w:trPr>
          <w:trHeight w:val="20"/>
        </w:trPr>
        <w:tc>
          <w:tcPr>
            <w:cnfStyle w:val="001000000000" w:firstRow="0" w:lastRow="0" w:firstColumn="1" w:lastColumn="0" w:oddVBand="0" w:evenVBand="0" w:oddHBand="0" w:evenHBand="0" w:firstRowFirstColumn="0" w:firstRowLastColumn="0" w:lastRowFirstColumn="0" w:lastRowLastColumn="0"/>
            <w:tcW w:w="251" w:type="pct"/>
            <w:noWrap/>
            <w:hideMark/>
          </w:tcPr>
          <w:p>
            <w:pPr>
              <w:spacing w:before="20" w:after="20"/>
              <w:jc w:val="center"/>
              <w:rPr>
                <w:noProof/>
                <w:color w:val="000000"/>
                <w:sz w:val="22"/>
                <w:lang w:val="en-GB" w:eastAsia="en-GB"/>
              </w:rPr>
            </w:pPr>
            <w:r>
              <w:rPr>
                <w:noProof/>
                <w:color w:val="000000"/>
                <w:sz w:val="22"/>
                <w:lang w:val="en-GB" w:eastAsia="en-GB"/>
              </w:rPr>
              <w:t>2018</w:t>
            </w:r>
          </w:p>
        </w:tc>
        <w:tc>
          <w:tcPr>
            <w:tcW w:w="813" w:type="pct"/>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p>
        </w:tc>
        <w:tc>
          <w:tcPr>
            <w:tcW w:w="813" w:type="pct"/>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r>
              <w:rPr>
                <w:noProof/>
                <w:color w:val="000000"/>
                <w:sz w:val="22"/>
                <w:lang w:val="en-GB" w:eastAsia="en-GB"/>
              </w:rPr>
              <w:t>Workshop organised as part of the Inspire Conference</w:t>
            </w:r>
          </w:p>
        </w:tc>
        <w:tc>
          <w:tcPr>
            <w:tcW w:w="471"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r>
              <w:rPr>
                <w:noProof/>
                <w:color w:val="000000"/>
                <w:sz w:val="22"/>
                <w:lang w:val="en-GB" w:eastAsia="en-GB"/>
              </w:rPr>
              <w:t>Antwerp, Belgium</w:t>
            </w:r>
          </w:p>
        </w:tc>
        <w:tc>
          <w:tcPr>
            <w:tcW w:w="409"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r>
              <w:rPr>
                <w:noProof/>
                <w:color w:val="000000"/>
                <w:sz w:val="22"/>
                <w:lang w:val="en-GB" w:eastAsia="en-GB"/>
              </w:rPr>
              <w:t>95</w:t>
            </w:r>
          </w:p>
        </w:tc>
        <w:tc>
          <w:tcPr>
            <w:tcW w:w="583"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r>
              <w:rPr>
                <w:noProof/>
                <w:color w:val="000000"/>
                <w:sz w:val="22"/>
                <w:lang w:val="en-GB" w:eastAsia="en-GB"/>
              </w:rPr>
              <w:t>-</w:t>
            </w:r>
          </w:p>
        </w:tc>
        <w:tc>
          <w:tcPr>
            <w:tcW w:w="472"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r>
              <w:rPr>
                <w:noProof/>
                <w:color w:val="000000"/>
                <w:sz w:val="22"/>
                <w:lang w:val="en-GB" w:eastAsia="en-GB"/>
              </w:rPr>
              <w:t>-</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r>
              <w:rPr>
                <w:noProof/>
                <w:color w:val="000000"/>
                <w:sz w:val="22"/>
                <w:lang w:val="en-GB" w:eastAsia="en-GB"/>
              </w:rPr>
              <w:t>-</w:t>
            </w:r>
          </w:p>
        </w:tc>
        <w:tc>
          <w:tcPr>
            <w:tcW w:w="425"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r>
              <w:rPr>
                <w:noProof/>
                <w:color w:val="000000"/>
                <w:sz w:val="22"/>
                <w:lang w:val="en-GB" w:eastAsia="en-GB"/>
              </w:rPr>
              <w:t>-</w:t>
            </w:r>
          </w:p>
        </w:tc>
        <w:tc>
          <w:tcPr>
            <w:tcW w:w="338" w:type="pct"/>
            <w:noWrap/>
            <w:hideMark/>
          </w:tcPr>
          <w:p>
            <w:pPr>
              <w:spacing w:before="20" w:after="20"/>
              <w:jc w:val="center"/>
              <w:cnfStyle w:val="000000000000" w:firstRow="0" w:lastRow="0" w:firstColumn="0" w:lastColumn="0" w:oddVBand="0" w:evenVBand="0" w:oddHBand="0" w:evenHBand="0" w:firstRowFirstColumn="0" w:firstRowLastColumn="0" w:lastRowFirstColumn="0" w:lastRowLastColumn="0"/>
              <w:rPr>
                <w:noProof/>
                <w:color w:val="000000"/>
                <w:sz w:val="22"/>
                <w:lang w:val="en-GB" w:eastAsia="en-GB"/>
              </w:rPr>
            </w:pPr>
            <w:r>
              <w:rPr>
                <w:noProof/>
                <w:color w:val="000000"/>
                <w:sz w:val="22"/>
                <w:lang w:val="en-GB" w:eastAsia="en-GB"/>
              </w:rPr>
              <w:t>-</w:t>
            </w:r>
          </w:p>
        </w:tc>
      </w:tr>
    </w:tbl>
    <w:p>
      <w:pPr>
        <w:spacing w:line="240" w:lineRule="auto"/>
        <w:jc w:val="both"/>
        <w:rPr>
          <w:rFonts w:cs="Times New Roman"/>
          <w:i/>
          <w:noProof/>
          <w:sz w:val="20"/>
          <w:szCs w:val="20"/>
          <w:lang w:val="en-GB"/>
        </w:rPr>
      </w:pPr>
      <w:r>
        <w:rPr>
          <w:rFonts w:cs="Times New Roman"/>
          <w:i/>
          <w:noProof/>
          <w:sz w:val="20"/>
          <w:szCs w:val="20"/>
          <w:lang w:val="en-GB"/>
        </w:rPr>
        <w:t xml:space="preserve">Source: </w:t>
      </w:r>
      <w:hyperlink r:id="rId256" w:history="1">
        <w:r>
          <w:rPr>
            <w:rStyle w:val="Hyperlink"/>
            <w:rFonts w:cs="Times New Roman"/>
            <w:i/>
            <w:noProof/>
            <w:sz w:val="20"/>
            <w:lang w:val="en-GB"/>
          </w:rPr>
          <w:t>CEPS final study</w:t>
        </w:r>
      </w:hyperlink>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14</w:t>
      </w:r>
      <w:r>
        <w:rPr>
          <w:rFonts w:cs="Times New Roman"/>
          <w:noProof/>
        </w:rPr>
        <w:fldChar w:fldCharType="end"/>
      </w:r>
      <w:r>
        <w:rPr>
          <w:rFonts w:cs="Times New Roman"/>
          <w:noProof/>
        </w:rPr>
        <w:t>: Events in which ISA</w:t>
      </w:r>
      <w:r>
        <w:rPr>
          <w:rFonts w:cs="Times New Roman"/>
          <w:noProof/>
          <w:vertAlign w:val="superscript"/>
        </w:rPr>
        <w:t>2</w:t>
      </w:r>
      <w:r>
        <w:rPr>
          <w:rFonts w:cs="Times New Roman"/>
          <w:noProof/>
        </w:rPr>
        <w:t xml:space="preserve"> representatives played an active role</w:t>
      </w:r>
    </w:p>
    <w:tbl>
      <w:tblPr>
        <w:tblStyle w:val="GridTable5Dark-Accent11"/>
        <w:tblW w:w="5000" w:type="pct"/>
        <w:tblLayout w:type="fixed"/>
        <w:tblLook w:val="0420" w:firstRow="1" w:lastRow="0" w:firstColumn="0" w:lastColumn="0" w:noHBand="0" w:noVBand="1"/>
      </w:tblPr>
      <w:tblGrid>
        <w:gridCol w:w="910"/>
        <w:gridCol w:w="6597"/>
        <w:gridCol w:w="5306"/>
        <w:gridCol w:w="2201"/>
      </w:tblGrid>
      <w:tr>
        <w:trPr>
          <w:cnfStyle w:val="100000000000" w:firstRow="1" w:lastRow="0" w:firstColumn="0" w:lastColumn="0" w:oddVBand="0" w:evenVBand="0" w:oddHBand="0" w:evenHBand="0" w:firstRowFirstColumn="0" w:firstRowLastColumn="0" w:lastRowFirstColumn="0" w:lastRowLastColumn="0"/>
          <w:trHeight w:val="20"/>
          <w:tblHeader/>
        </w:trPr>
        <w:tc>
          <w:tcPr>
            <w:tcW w:w="303" w:type="pct"/>
            <w:noWrap/>
            <w:hideMark/>
          </w:tcPr>
          <w:p>
            <w:pPr>
              <w:spacing w:before="20" w:after="20"/>
              <w:jc w:val="center"/>
              <w:rPr>
                <w:bCs w:val="0"/>
                <w:noProof/>
                <w:sz w:val="22"/>
                <w:lang w:eastAsia="en-GB"/>
              </w:rPr>
            </w:pPr>
            <w:r>
              <w:rPr>
                <w:noProof/>
                <w:sz w:val="22"/>
                <w:lang w:eastAsia="en-GB"/>
              </w:rPr>
              <w:t>Year</w:t>
            </w:r>
          </w:p>
        </w:tc>
        <w:tc>
          <w:tcPr>
            <w:tcW w:w="2197" w:type="pct"/>
            <w:noWrap/>
            <w:hideMark/>
          </w:tcPr>
          <w:p>
            <w:pPr>
              <w:spacing w:before="20" w:after="20"/>
              <w:jc w:val="center"/>
              <w:rPr>
                <w:bCs w:val="0"/>
                <w:noProof/>
                <w:sz w:val="22"/>
                <w:lang w:eastAsia="en-GB"/>
              </w:rPr>
            </w:pPr>
            <w:r>
              <w:rPr>
                <w:noProof/>
                <w:sz w:val="22"/>
                <w:lang w:eastAsia="en-GB"/>
              </w:rPr>
              <w:t xml:space="preserve">Events </w:t>
            </w:r>
          </w:p>
        </w:tc>
        <w:tc>
          <w:tcPr>
            <w:tcW w:w="1767" w:type="pct"/>
            <w:noWrap/>
            <w:hideMark/>
          </w:tcPr>
          <w:p>
            <w:pPr>
              <w:spacing w:before="20" w:after="20"/>
              <w:jc w:val="center"/>
              <w:rPr>
                <w:bCs w:val="0"/>
                <w:noProof/>
                <w:sz w:val="22"/>
                <w:lang w:eastAsia="en-GB"/>
              </w:rPr>
            </w:pPr>
            <w:r>
              <w:rPr>
                <w:noProof/>
                <w:sz w:val="22"/>
                <w:lang w:eastAsia="en-GB"/>
              </w:rPr>
              <w:t>Location</w:t>
            </w:r>
          </w:p>
        </w:tc>
        <w:tc>
          <w:tcPr>
            <w:tcW w:w="733" w:type="pct"/>
            <w:hideMark/>
          </w:tcPr>
          <w:p>
            <w:pPr>
              <w:spacing w:before="20" w:after="20"/>
              <w:jc w:val="center"/>
              <w:rPr>
                <w:bCs w:val="0"/>
                <w:noProof/>
                <w:sz w:val="22"/>
                <w:lang w:eastAsia="en-GB"/>
              </w:rPr>
            </w:pPr>
            <w:r>
              <w:rPr>
                <w:noProof/>
                <w:sz w:val="22"/>
                <w:lang w:eastAsia="en-GB"/>
              </w:rPr>
              <w:t>Total participants</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2016</w:t>
            </w:r>
          </w:p>
        </w:tc>
        <w:tc>
          <w:tcPr>
            <w:tcW w:w="2197" w:type="pct"/>
            <w:noWrap/>
            <w:hideMark/>
          </w:tcPr>
          <w:p>
            <w:pPr>
              <w:spacing w:before="20" w:after="20"/>
              <w:jc w:val="center"/>
              <w:rPr>
                <w:noProof/>
                <w:color w:val="000000"/>
                <w:sz w:val="22"/>
                <w:lang w:eastAsia="en-GB"/>
              </w:rPr>
            </w:pPr>
            <w:r>
              <w:rPr>
                <w:noProof/>
                <w:color w:val="000000"/>
                <w:sz w:val="22"/>
                <w:lang w:eastAsia="en-GB"/>
              </w:rPr>
              <w:t>Ljubljana ICT Procurement workshop</w:t>
            </w:r>
          </w:p>
        </w:tc>
        <w:tc>
          <w:tcPr>
            <w:tcW w:w="1767" w:type="pct"/>
            <w:noWrap/>
            <w:hideMark/>
          </w:tcPr>
          <w:p>
            <w:pPr>
              <w:spacing w:before="20" w:after="20"/>
              <w:jc w:val="center"/>
              <w:rPr>
                <w:noProof/>
                <w:color w:val="000000"/>
                <w:sz w:val="22"/>
                <w:lang w:eastAsia="en-GB"/>
              </w:rPr>
            </w:pPr>
            <w:r>
              <w:rPr>
                <w:noProof/>
                <w:color w:val="000000"/>
                <w:sz w:val="22"/>
                <w:lang w:eastAsia="en-GB"/>
              </w:rPr>
              <w:t>Ljubljana, Slovenia</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2016</w:t>
            </w:r>
          </w:p>
        </w:tc>
        <w:tc>
          <w:tcPr>
            <w:tcW w:w="2197" w:type="pct"/>
            <w:noWrap/>
            <w:hideMark/>
          </w:tcPr>
          <w:p>
            <w:pPr>
              <w:spacing w:before="20" w:after="20"/>
              <w:jc w:val="center"/>
              <w:rPr>
                <w:noProof/>
                <w:color w:val="000000"/>
                <w:sz w:val="22"/>
                <w:lang w:eastAsia="en-GB"/>
              </w:rPr>
            </w:pPr>
            <w:r>
              <w:rPr>
                <w:noProof/>
                <w:color w:val="000000"/>
                <w:sz w:val="22"/>
                <w:lang w:eastAsia="en-GB"/>
              </w:rPr>
              <w:t>Nordic Digital Day</w:t>
            </w:r>
          </w:p>
        </w:tc>
        <w:tc>
          <w:tcPr>
            <w:tcW w:w="1767" w:type="pct"/>
            <w:noWrap/>
            <w:hideMark/>
          </w:tcPr>
          <w:p>
            <w:pPr>
              <w:spacing w:before="20" w:after="20"/>
              <w:jc w:val="center"/>
              <w:rPr>
                <w:noProof/>
                <w:color w:val="000000"/>
                <w:sz w:val="22"/>
                <w:lang w:eastAsia="en-GB"/>
              </w:rPr>
            </w:pPr>
            <w:r>
              <w:rPr>
                <w:noProof/>
                <w:color w:val="000000"/>
                <w:sz w:val="22"/>
                <w:lang w:eastAsia="en-GB"/>
              </w:rPr>
              <w:t>Tallinn, Estonia</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2016</w:t>
            </w:r>
          </w:p>
        </w:tc>
        <w:tc>
          <w:tcPr>
            <w:tcW w:w="2197" w:type="pct"/>
            <w:noWrap/>
            <w:hideMark/>
          </w:tcPr>
          <w:p>
            <w:pPr>
              <w:spacing w:before="20" w:after="20"/>
              <w:jc w:val="center"/>
              <w:rPr>
                <w:noProof/>
                <w:color w:val="000000"/>
                <w:sz w:val="22"/>
                <w:lang w:eastAsia="en-GB"/>
              </w:rPr>
            </w:pPr>
            <w:r>
              <w:rPr>
                <w:noProof/>
                <w:color w:val="000000"/>
                <w:sz w:val="22"/>
                <w:lang w:eastAsia="en-GB"/>
              </w:rPr>
              <w:t>Open Source Summit Paris</w:t>
            </w:r>
          </w:p>
        </w:tc>
        <w:tc>
          <w:tcPr>
            <w:tcW w:w="1767" w:type="pct"/>
            <w:noWrap/>
            <w:hideMark/>
          </w:tcPr>
          <w:p>
            <w:pPr>
              <w:spacing w:before="20" w:after="20"/>
              <w:jc w:val="center"/>
              <w:rPr>
                <w:noProof/>
                <w:color w:val="000000"/>
                <w:sz w:val="22"/>
                <w:lang w:eastAsia="en-GB"/>
              </w:rPr>
            </w:pPr>
            <w:r>
              <w:rPr>
                <w:noProof/>
                <w:color w:val="000000"/>
                <w:sz w:val="22"/>
                <w:lang w:eastAsia="en-GB"/>
              </w:rPr>
              <w:t>Paris, France</w:t>
            </w:r>
          </w:p>
        </w:tc>
        <w:tc>
          <w:tcPr>
            <w:tcW w:w="733" w:type="pct"/>
            <w:noWrap/>
            <w:hideMark/>
          </w:tcPr>
          <w:p>
            <w:pPr>
              <w:spacing w:before="20" w:after="20"/>
              <w:jc w:val="center"/>
              <w:rPr>
                <w:noProof/>
                <w:color w:val="000000"/>
                <w:sz w:val="22"/>
                <w:lang w:eastAsia="en-GB"/>
              </w:rPr>
            </w:pPr>
            <w:r>
              <w:rPr>
                <w:noProof/>
                <w:color w:val="000000"/>
                <w:sz w:val="22"/>
                <w:lang w:eastAsia="en-GB"/>
              </w:rPr>
              <w:t>180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2016</w:t>
            </w:r>
          </w:p>
        </w:tc>
        <w:tc>
          <w:tcPr>
            <w:tcW w:w="2197" w:type="pct"/>
            <w:noWrap/>
            <w:hideMark/>
          </w:tcPr>
          <w:p>
            <w:pPr>
              <w:spacing w:before="20" w:after="20"/>
              <w:jc w:val="center"/>
              <w:rPr>
                <w:noProof/>
                <w:color w:val="000000"/>
                <w:sz w:val="22"/>
                <w:lang w:eastAsia="en-GB"/>
              </w:rPr>
            </w:pPr>
            <w:r>
              <w:rPr>
                <w:noProof/>
                <w:color w:val="000000"/>
                <w:sz w:val="22"/>
                <w:lang w:eastAsia="en-GB"/>
              </w:rPr>
              <w:t>Digital Stakeholders Forum</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2016</w:t>
            </w:r>
          </w:p>
        </w:tc>
        <w:tc>
          <w:tcPr>
            <w:tcW w:w="2197" w:type="pct"/>
            <w:noWrap/>
            <w:hideMark/>
          </w:tcPr>
          <w:p>
            <w:pPr>
              <w:spacing w:before="20" w:after="20"/>
              <w:jc w:val="center"/>
              <w:rPr>
                <w:noProof/>
                <w:color w:val="000000"/>
                <w:sz w:val="22"/>
                <w:lang w:eastAsia="en-GB"/>
              </w:rPr>
            </w:pPr>
            <w:r>
              <w:rPr>
                <w:noProof/>
                <w:color w:val="000000"/>
                <w:sz w:val="22"/>
                <w:lang w:eastAsia="en-GB"/>
              </w:rPr>
              <w:t>Digitec16</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500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2016</w:t>
            </w:r>
          </w:p>
        </w:tc>
        <w:tc>
          <w:tcPr>
            <w:tcW w:w="2197" w:type="pct"/>
            <w:noWrap/>
            <w:hideMark/>
          </w:tcPr>
          <w:p>
            <w:pPr>
              <w:spacing w:before="20" w:after="20"/>
              <w:jc w:val="center"/>
              <w:rPr>
                <w:noProof/>
                <w:color w:val="000000"/>
                <w:sz w:val="22"/>
                <w:lang w:eastAsia="en-GB"/>
              </w:rPr>
            </w:pPr>
            <w:r>
              <w:rPr>
                <w:noProof/>
                <w:color w:val="000000"/>
                <w:sz w:val="22"/>
                <w:lang w:eastAsia="en-GB"/>
              </w:rPr>
              <w:t>Manage IT 2016</w:t>
            </w:r>
          </w:p>
        </w:tc>
        <w:tc>
          <w:tcPr>
            <w:tcW w:w="1767" w:type="pct"/>
            <w:noWrap/>
            <w:hideMark/>
          </w:tcPr>
          <w:p>
            <w:pPr>
              <w:spacing w:before="20" w:after="20"/>
              <w:jc w:val="center"/>
              <w:rPr>
                <w:noProof/>
                <w:color w:val="000000"/>
                <w:sz w:val="22"/>
                <w:lang w:eastAsia="en-GB"/>
              </w:rPr>
            </w:pPr>
            <w:r>
              <w:rPr>
                <w:noProof/>
                <w:color w:val="000000"/>
                <w:sz w:val="22"/>
                <w:lang w:eastAsia="en-GB"/>
              </w:rPr>
              <w:t>Antwerp, Belgium</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Open Belgium</w:t>
            </w:r>
          </w:p>
        </w:tc>
        <w:tc>
          <w:tcPr>
            <w:tcW w:w="1767" w:type="pct"/>
            <w:noWrap/>
            <w:hideMark/>
          </w:tcPr>
          <w:p>
            <w:pPr>
              <w:spacing w:before="20" w:after="20"/>
              <w:jc w:val="center"/>
              <w:rPr>
                <w:noProof/>
                <w:color w:val="000000"/>
                <w:sz w:val="22"/>
                <w:lang w:eastAsia="en-GB"/>
              </w:rPr>
            </w:pPr>
            <w:r>
              <w:rPr>
                <w:noProof/>
                <w:color w:val="000000"/>
                <w:sz w:val="22"/>
                <w:lang w:eastAsia="en-GB"/>
              </w:rPr>
              <w:t>Antwerp, Belgium</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SG IT Day</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Digital Day Rome</w:t>
            </w:r>
          </w:p>
        </w:tc>
        <w:tc>
          <w:tcPr>
            <w:tcW w:w="1767" w:type="pct"/>
            <w:noWrap/>
            <w:hideMark/>
          </w:tcPr>
          <w:p>
            <w:pPr>
              <w:spacing w:before="20" w:after="20"/>
              <w:jc w:val="center"/>
              <w:rPr>
                <w:noProof/>
                <w:color w:val="000000"/>
                <w:sz w:val="22"/>
                <w:lang w:eastAsia="en-GB"/>
              </w:rPr>
            </w:pPr>
            <w:r>
              <w:rPr>
                <w:noProof/>
                <w:color w:val="000000"/>
                <w:sz w:val="22"/>
                <w:lang w:eastAsia="en-GB"/>
              </w:rPr>
              <w:t>Rome, Italy</w:t>
            </w:r>
          </w:p>
        </w:tc>
        <w:tc>
          <w:tcPr>
            <w:tcW w:w="733" w:type="pct"/>
            <w:noWrap/>
            <w:hideMark/>
          </w:tcPr>
          <w:p>
            <w:pPr>
              <w:spacing w:before="20" w:after="20"/>
              <w:jc w:val="center"/>
              <w:rPr>
                <w:noProof/>
                <w:color w:val="000000"/>
                <w:sz w:val="22"/>
                <w:lang w:eastAsia="en-GB"/>
              </w:rPr>
            </w:pPr>
            <w:r>
              <w:rPr>
                <w:noProof/>
                <w:color w:val="000000"/>
                <w:sz w:val="22"/>
                <w:lang w:eastAsia="en-GB"/>
              </w:rPr>
              <w:t>600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ECI Day 2017</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ICT Spring Luxembourg 2017</w:t>
            </w:r>
          </w:p>
        </w:tc>
        <w:tc>
          <w:tcPr>
            <w:tcW w:w="1767" w:type="pct"/>
            <w:noWrap/>
            <w:hideMark/>
          </w:tcPr>
          <w:p>
            <w:pPr>
              <w:spacing w:before="20" w:after="20"/>
              <w:jc w:val="center"/>
              <w:rPr>
                <w:noProof/>
                <w:color w:val="000000"/>
                <w:sz w:val="22"/>
                <w:lang w:eastAsia="en-GB"/>
              </w:rPr>
            </w:pPr>
            <w:r>
              <w:rPr>
                <w:noProof/>
                <w:color w:val="000000"/>
                <w:sz w:val="22"/>
                <w:lang w:eastAsia="en-GB"/>
              </w:rPr>
              <w:t>Luxembourg, Luxembourg</w:t>
            </w:r>
          </w:p>
        </w:tc>
        <w:tc>
          <w:tcPr>
            <w:tcW w:w="733" w:type="pct"/>
            <w:noWrap/>
            <w:hideMark/>
          </w:tcPr>
          <w:p>
            <w:pPr>
              <w:spacing w:before="20" w:after="20"/>
              <w:jc w:val="center"/>
              <w:rPr>
                <w:noProof/>
                <w:color w:val="000000"/>
                <w:sz w:val="22"/>
                <w:lang w:eastAsia="en-GB"/>
              </w:rPr>
            </w:pPr>
            <w:r>
              <w:rPr>
                <w:noProof/>
                <w:color w:val="000000"/>
                <w:sz w:val="22"/>
                <w:lang w:eastAsia="en-GB"/>
              </w:rPr>
              <w:t>5,000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Conference Krems</w:t>
            </w:r>
          </w:p>
        </w:tc>
        <w:tc>
          <w:tcPr>
            <w:tcW w:w="1767" w:type="pct"/>
            <w:noWrap/>
            <w:hideMark/>
          </w:tcPr>
          <w:p>
            <w:pPr>
              <w:spacing w:before="20" w:after="20"/>
              <w:jc w:val="center"/>
              <w:rPr>
                <w:noProof/>
                <w:color w:val="000000"/>
                <w:sz w:val="22"/>
                <w:lang w:eastAsia="en-GB"/>
              </w:rPr>
            </w:pPr>
            <w:r>
              <w:rPr>
                <w:noProof/>
                <w:color w:val="000000"/>
                <w:sz w:val="22"/>
                <w:lang w:eastAsia="en-GB"/>
              </w:rPr>
              <w:t>Krems, Austria</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Digital Assembly 2017</w:t>
            </w:r>
          </w:p>
        </w:tc>
        <w:tc>
          <w:tcPr>
            <w:tcW w:w="1767" w:type="pct"/>
            <w:noWrap/>
            <w:hideMark/>
          </w:tcPr>
          <w:p>
            <w:pPr>
              <w:spacing w:before="20" w:after="20"/>
              <w:jc w:val="center"/>
              <w:rPr>
                <w:noProof/>
                <w:color w:val="000000"/>
                <w:sz w:val="22"/>
                <w:lang w:eastAsia="en-GB"/>
              </w:rPr>
            </w:pPr>
            <w:r>
              <w:rPr>
                <w:noProof/>
                <w:color w:val="000000"/>
                <w:sz w:val="22"/>
                <w:lang w:eastAsia="en-GB"/>
              </w:rPr>
              <w:t>Valletta, Malta</w:t>
            </w:r>
          </w:p>
        </w:tc>
        <w:tc>
          <w:tcPr>
            <w:tcW w:w="733" w:type="pct"/>
            <w:noWrap/>
            <w:hideMark/>
          </w:tcPr>
          <w:p>
            <w:pPr>
              <w:spacing w:before="20" w:after="20"/>
              <w:jc w:val="center"/>
              <w:rPr>
                <w:noProof/>
                <w:color w:val="000000"/>
                <w:sz w:val="22"/>
                <w:lang w:eastAsia="en-GB"/>
              </w:rPr>
            </w:pPr>
            <w:r>
              <w:rPr>
                <w:noProof/>
                <w:color w:val="000000"/>
                <w:sz w:val="22"/>
                <w:lang w:eastAsia="en-GB"/>
              </w:rPr>
              <w:t>5,000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Semantics Conference 2017</w:t>
            </w:r>
          </w:p>
        </w:tc>
        <w:tc>
          <w:tcPr>
            <w:tcW w:w="1767" w:type="pct"/>
            <w:noWrap/>
            <w:hideMark/>
          </w:tcPr>
          <w:p>
            <w:pPr>
              <w:spacing w:before="20" w:after="20"/>
              <w:jc w:val="center"/>
              <w:rPr>
                <w:noProof/>
                <w:color w:val="000000"/>
                <w:sz w:val="22"/>
                <w:lang w:eastAsia="en-GB"/>
              </w:rPr>
            </w:pPr>
            <w:r>
              <w:rPr>
                <w:noProof/>
                <w:color w:val="000000"/>
                <w:sz w:val="22"/>
                <w:lang w:eastAsia="en-GB"/>
              </w:rPr>
              <w:t>Amsterdam, The Netherlands</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ICA Conference 2017</w:t>
            </w:r>
          </w:p>
        </w:tc>
        <w:tc>
          <w:tcPr>
            <w:tcW w:w="1767" w:type="pct"/>
            <w:noWrap/>
            <w:hideMark/>
          </w:tcPr>
          <w:p>
            <w:pPr>
              <w:spacing w:before="20" w:after="20"/>
              <w:jc w:val="center"/>
              <w:rPr>
                <w:noProof/>
                <w:color w:val="000000"/>
                <w:sz w:val="22"/>
                <w:lang w:eastAsia="en-GB"/>
              </w:rPr>
            </w:pP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Inspire Conference 2017</w:t>
            </w:r>
          </w:p>
        </w:tc>
        <w:tc>
          <w:tcPr>
            <w:tcW w:w="1767" w:type="pct"/>
            <w:noWrap/>
            <w:hideMark/>
          </w:tcPr>
          <w:p>
            <w:pPr>
              <w:spacing w:before="20" w:after="20"/>
              <w:jc w:val="center"/>
              <w:rPr>
                <w:noProof/>
                <w:color w:val="000000"/>
                <w:sz w:val="22"/>
                <w:lang w:eastAsia="en-GB"/>
              </w:rPr>
            </w:pPr>
            <w:r>
              <w:rPr>
                <w:noProof/>
                <w:color w:val="000000"/>
                <w:sz w:val="22"/>
                <w:lang w:eastAsia="en-GB"/>
              </w:rPr>
              <w:t>Strasbourg, France</w:t>
            </w:r>
          </w:p>
        </w:tc>
        <w:tc>
          <w:tcPr>
            <w:tcW w:w="733" w:type="pct"/>
            <w:noWrap/>
            <w:hideMark/>
          </w:tcPr>
          <w:p>
            <w:pPr>
              <w:spacing w:before="20" w:after="20"/>
              <w:jc w:val="center"/>
              <w:rPr>
                <w:noProof/>
                <w:color w:val="000000"/>
                <w:sz w:val="22"/>
                <w:lang w:eastAsia="en-GB"/>
              </w:rPr>
            </w:pPr>
            <w:r>
              <w:rPr>
                <w:noProof/>
                <w:color w:val="000000"/>
                <w:sz w:val="22"/>
                <w:lang w:eastAsia="en-GB"/>
              </w:rPr>
              <w:t>3,000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Data for Policy</w:t>
            </w:r>
          </w:p>
        </w:tc>
        <w:tc>
          <w:tcPr>
            <w:tcW w:w="1767" w:type="pct"/>
            <w:noWrap/>
            <w:hideMark/>
          </w:tcPr>
          <w:p>
            <w:pPr>
              <w:spacing w:before="20" w:after="20"/>
              <w:jc w:val="center"/>
              <w:rPr>
                <w:noProof/>
                <w:color w:val="000000"/>
                <w:sz w:val="22"/>
                <w:lang w:eastAsia="en-GB"/>
              </w:rPr>
            </w:pPr>
            <w:r>
              <w:rPr>
                <w:noProof/>
                <w:color w:val="000000"/>
                <w:sz w:val="22"/>
                <w:lang w:eastAsia="en-GB"/>
              </w:rPr>
              <w:t>London, UK</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DK Architecture Conference</w:t>
            </w:r>
          </w:p>
        </w:tc>
        <w:tc>
          <w:tcPr>
            <w:tcW w:w="1767" w:type="pct"/>
            <w:noWrap/>
            <w:hideMark/>
          </w:tcPr>
          <w:p>
            <w:pPr>
              <w:spacing w:before="20" w:after="20"/>
              <w:jc w:val="center"/>
              <w:rPr>
                <w:noProof/>
                <w:color w:val="000000"/>
                <w:sz w:val="22"/>
                <w:lang w:eastAsia="en-GB"/>
              </w:rPr>
            </w:pPr>
            <w:r>
              <w:rPr>
                <w:noProof/>
                <w:color w:val="000000"/>
                <w:sz w:val="22"/>
                <w:lang w:eastAsia="en-GB"/>
              </w:rPr>
              <w:t>Copenhagen, Denmark</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val="it-IT" w:eastAsia="en-GB"/>
              </w:rPr>
            </w:pPr>
            <w:r>
              <w:rPr>
                <w:noProof/>
                <w:color w:val="000000"/>
                <w:sz w:val="22"/>
                <w:lang w:val="it-IT" w:eastAsia="en-GB"/>
              </w:rPr>
              <w:t>Jornada sobre Interoperabilidad y Archivo Electronico</w:t>
            </w:r>
          </w:p>
        </w:tc>
        <w:tc>
          <w:tcPr>
            <w:tcW w:w="1767" w:type="pct"/>
            <w:noWrap/>
            <w:hideMark/>
          </w:tcPr>
          <w:p>
            <w:pPr>
              <w:spacing w:before="20" w:after="20"/>
              <w:jc w:val="center"/>
              <w:rPr>
                <w:noProof/>
                <w:color w:val="000000"/>
                <w:sz w:val="22"/>
                <w:lang w:eastAsia="en-GB"/>
              </w:rPr>
            </w:pPr>
            <w:r>
              <w:rPr>
                <w:noProof/>
                <w:color w:val="000000"/>
                <w:sz w:val="22"/>
                <w:lang w:eastAsia="en-GB"/>
              </w:rPr>
              <w:t>Madrid, Spain</w:t>
            </w:r>
          </w:p>
        </w:tc>
        <w:tc>
          <w:tcPr>
            <w:tcW w:w="733" w:type="pct"/>
            <w:noWrap/>
            <w:hideMark/>
          </w:tcPr>
          <w:p>
            <w:pPr>
              <w:spacing w:before="20" w:after="20"/>
              <w:jc w:val="center"/>
              <w:rPr>
                <w:noProof/>
                <w:color w:val="000000"/>
                <w:sz w:val="22"/>
                <w:lang w:eastAsia="en-GB"/>
              </w:rPr>
            </w:pPr>
            <w:r>
              <w:rPr>
                <w:noProof/>
                <w:color w:val="000000"/>
                <w:sz w:val="22"/>
                <w:lang w:eastAsia="en-GB"/>
              </w:rPr>
              <w:t>180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Digitalisseringsmessen 17</w:t>
            </w:r>
          </w:p>
        </w:tc>
        <w:tc>
          <w:tcPr>
            <w:tcW w:w="1767" w:type="pct"/>
            <w:noWrap/>
            <w:hideMark/>
          </w:tcPr>
          <w:p>
            <w:pPr>
              <w:spacing w:before="20" w:after="20"/>
              <w:jc w:val="center"/>
              <w:rPr>
                <w:noProof/>
                <w:color w:val="000000"/>
                <w:sz w:val="22"/>
                <w:lang w:eastAsia="en-GB"/>
              </w:rPr>
            </w:pPr>
            <w:r>
              <w:rPr>
                <w:noProof/>
                <w:color w:val="000000"/>
                <w:sz w:val="22"/>
                <w:lang w:eastAsia="en-GB"/>
              </w:rPr>
              <w:t>Odense, Denmark</w:t>
            </w:r>
          </w:p>
        </w:tc>
        <w:tc>
          <w:tcPr>
            <w:tcW w:w="733" w:type="pct"/>
            <w:noWrap/>
            <w:hideMark/>
          </w:tcPr>
          <w:p>
            <w:pPr>
              <w:spacing w:before="20" w:after="20"/>
              <w:jc w:val="center"/>
              <w:rPr>
                <w:noProof/>
                <w:color w:val="000000"/>
                <w:sz w:val="22"/>
                <w:lang w:eastAsia="en-GB"/>
              </w:rPr>
            </w:pPr>
            <w:r>
              <w:rPr>
                <w:noProof/>
                <w:color w:val="000000"/>
                <w:sz w:val="22"/>
                <w:lang w:eastAsia="en-GB"/>
              </w:rPr>
              <w:t>350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Egov Conference Tallinn, 2017</w:t>
            </w:r>
          </w:p>
        </w:tc>
        <w:tc>
          <w:tcPr>
            <w:tcW w:w="1767" w:type="pct"/>
            <w:noWrap/>
            <w:hideMark/>
          </w:tcPr>
          <w:p>
            <w:pPr>
              <w:spacing w:before="20" w:after="20"/>
              <w:jc w:val="center"/>
              <w:rPr>
                <w:noProof/>
                <w:color w:val="000000"/>
                <w:sz w:val="22"/>
                <w:lang w:eastAsia="en-GB"/>
              </w:rPr>
            </w:pPr>
            <w:r>
              <w:rPr>
                <w:noProof/>
                <w:color w:val="000000"/>
                <w:sz w:val="22"/>
                <w:lang w:eastAsia="en-GB"/>
              </w:rPr>
              <w:t>Tallinn, Estonia</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3rd Annual Public Sector Transformation Conference</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3rd ELRC Conference</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ICT Proposers Day 2017</w:t>
            </w:r>
          </w:p>
        </w:tc>
        <w:tc>
          <w:tcPr>
            <w:tcW w:w="1767" w:type="pct"/>
            <w:noWrap/>
            <w:hideMark/>
          </w:tcPr>
          <w:p>
            <w:pPr>
              <w:spacing w:before="20" w:after="20"/>
              <w:jc w:val="center"/>
              <w:rPr>
                <w:noProof/>
                <w:color w:val="000000"/>
                <w:sz w:val="22"/>
                <w:lang w:eastAsia="en-GB"/>
              </w:rPr>
            </w:pPr>
            <w:r>
              <w:rPr>
                <w:noProof/>
                <w:color w:val="000000"/>
                <w:sz w:val="22"/>
                <w:lang w:eastAsia="en-GB"/>
              </w:rPr>
              <w:t>Budapest, Hungary</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Metaforum 2017</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Informatika v Javni Upravi</w:t>
            </w:r>
          </w:p>
        </w:tc>
        <w:tc>
          <w:tcPr>
            <w:tcW w:w="1767" w:type="pct"/>
            <w:noWrap/>
            <w:hideMark/>
          </w:tcPr>
          <w:p>
            <w:pPr>
              <w:spacing w:before="20" w:after="20"/>
              <w:jc w:val="center"/>
              <w:rPr>
                <w:noProof/>
                <w:color w:val="000000"/>
                <w:sz w:val="22"/>
                <w:lang w:eastAsia="en-GB"/>
              </w:rPr>
            </w:pPr>
            <w:r>
              <w:rPr>
                <w:noProof/>
                <w:color w:val="000000"/>
                <w:sz w:val="22"/>
                <w:lang w:eastAsia="en-GB"/>
              </w:rPr>
              <w:t>Brdo, Slovenia</w:t>
            </w:r>
          </w:p>
        </w:tc>
        <w:tc>
          <w:tcPr>
            <w:tcW w:w="733" w:type="pct"/>
            <w:noWrap/>
            <w:hideMark/>
          </w:tcPr>
          <w:p>
            <w:pPr>
              <w:spacing w:before="20" w:after="20"/>
              <w:jc w:val="center"/>
              <w:rPr>
                <w:noProof/>
                <w:color w:val="000000"/>
                <w:sz w:val="22"/>
                <w:lang w:eastAsia="en-GB"/>
              </w:rPr>
            </w:pPr>
            <w:r>
              <w:rPr>
                <w:noProof/>
                <w:color w:val="000000"/>
                <w:sz w:val="22"/>
                <w:lang w:eastAsia="en-GB"/>
              </w:rPr>
              <w:t>175</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Paris Open Source Summit 2017</w:t>
            </w:r>
          </w:p>
        </w:tc>
        <w:tc>
          <w:tcPr>
            <w:tcW w:w="1767" w:type="pct"/>
            <w:noWrap/>
            <w:hideMark/>
          </w:tcPr>
          <w:p>
            <w:pPr>
              <w:spacing w:before="20" w:after="20"/>
              <w:jc w:val="center"/>
              <w:rPr>
                <w:noProof/>
                <w:color w:val="000000"/>
                <w:sz w:val="22"/>
                <w:lang w:eastAsia="en-GB"/>
              </w:rPr>
            </w:pPr>
            <w:r>
              <w:rPr>
                <w:noProof/>
                <w:color w:val="000000"/>
                <w:sz w:val="22"/>
                <w:lang w:eastAsia="en-GB"/>
              </w:rPr>
              <w:t>Paris, France</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CEF Conference</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2017</w:t>
            </w:r>
          </w:p>
        </w:tc>
        <w:tc>
          <w:tcPr>
            <w:tcW w:w="2197" w:type="pct"/>
            <w:noWrap/>
            <w:hideMark/>
          </w:tcPr>
          <w:p>
            <w:pPr>
              <w:spacing w:before="20" w:after="20"/>
              <w:jc w:val="center"/>
              <w:rPr>
                <w:noProof/>
                <w:color w:val="000000"/>
                <w:sz w:val="22"/>
                <w:lang w:eastAsia="en-GB"/>
              </w:rPr>
            </w:pPr>
            <w:r>
              <w:rPr>
                <w:noProof/>
                <w:color w:val="000000"/>
                <w:sz w:val="22"/>
                <w:lang w:eastAsia="en-GB"/>
              </w:rPr>
              <w:t>eDemocracy Conference</w:t>
            </w:r>
          </w:p>
        </w:tc>
        <w:tc>
          <w:tcPr>
            <w:tcW w:w="1767" w:type="pct"/>
            <w:noWrap/>
            <w:hideMark/>
          </w:tcPr>
          <w:p>
            <w:pPr>
              <w:spacing w:before="20" w:after="20"/>
              <w:jc w:val="center"/>
              <w:rPr>
                <w:noProof/>
                <w:color w:val="000000"/>
                <w:sz w:val="22"/>
                <w:lang w:eastAsia="en-GB"/>
              </w:rPr>
            </w:pPr>
            <w:r>
              <w:rPr>
                <w:noProof/>
                <w:color w:val="000000"/>
                <w:sz w:val="22"/>
                <w:lang w:eastAsia="en-GB"/>
              </w:rPr>
              <w:t>Athens, Greece</w:t>
            </w:r>
          </w:p>
        </w:tc>
        <w:tc>
          <w:tcPr>
            <w:tcW w:w="733" w:type="pct"/>
            <w:noWrap/>
            <w:hideMark/>
          </w:tcPr>
          <w:p>
            <w:pPr>
              <w:spacing w:before="20" w:after="20"/>
              <w:jc w:val="center"/>
              <w:rPr>
                <w:noProof/>
                <w:color w:val="000000"/>
                <w:sz w:val="22"/>
                <w:lang w:eastAsia="en-GB"/>
              </w:rPr>
            </w:pPr>
            <w:r>
              <w:rPr>
                <w:noProof/>
                <w:color w:val="000000"/>
                <w:sz w:val="22"/>
                <w:lang w:eastAsia="en-GB"/>
              </w:rPr>
              <w:t>100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Connected Smart Cities Conference</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500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Flosscon</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GDPR Conference</w:t>
            </w:r>
          </w:p>
        </w:tc>
        <w:tc>
          <w:tcPr>
            <w:tcW w:w="1767" w:type="pct"/>
            <w:noWrap/>
            <w:hideMark/>
          </w:tcPr>
          <w:p>
            <w:pPr>
              <w:spacing w:before="20" w:after="20"/>
              <w:jc w:val="center"/>
              <w:rPr>
                <w:noProof/>
                <w:color w:val="000000"/>
                <w:sz w:val="22"/>
                <w:lang w:eastAsia="en-GB"/>
              </w:rPr>
            </w:pPr>
            <w:r>
              <w:rPr>
                <w:noProof/>
                <w:color w:val="000000"/>
                <w:sz w:val="22"/>
                <w:lang w:eastAsia="en-GB"/>
              </w:rPr>
              <w:t>Berlin, Germany</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Digital Czech Republic</w:t>
            </w:r>
          </w:p>
        </w:tc>
        <w:tc>
          <w:tcPr>
            <w:tcW w:w="1767" w:type="pct"/>
            <w:noWrap/>
            <w:hideMark/>
          </w:tcPr>
          <w:p>
            <w:pPr>
              <w:spacing w:before="20" w:after="20"/>
              <w:jc w:val="center"/>
              <w:rPr>
                <w:noProof/>
                <w:color w:val="000000"/>
                <w:sz w:val="22"/>
                <w:lang w:eastAsia="en-GB"/>
              </w:rPr>
            </w:pPr>
            <w:r>
              <w:rPr>
                <w:noProof/>
                <w:color w:val="000000"/>
                <w:sz w:val="22"/>
                <w:lang w:eastAsia="en-GB"/>
              </w:rPr>
              <w:t>Prague, Czech Republic</w:t>
            </w:r>
          </w:p>
        </w:tc>
        <w:tc>
          <w:tcPr>
            <w:tcW w:w="733" w:type="pct"/>
            <w:noWrap/>
            <w:hideMark/>
          </w:tcPr>
          <w:p>
            <w:pPr>
              <w:spacing w:before="20" w:after="20"/>
              <w:jc w:val="center"/>
              <w:rPr>
                <w:noProof/>
                <w:color w:val="000000"/>
                <w:sz w:val="22"/>
                <w:lang w:eastAsia="en-GB"/>
              </w:rPr>
            </w:pPr>
            <w:r>
              <w:rPr>
                <w:noProof/>
                <w:color w:val="000000"/>
                <w:sz w:val="22"/>
                <w:lang w:eastAsia="en-GB"/>
              </w:rPr>
              <w:t>250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Interop Summit 2018</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Open Belgium</w:t>
            </w:r>
          </w:p>
        </w:tc>
        <w:tc>
          <w:tcPr>
            <w:tcW w:w="1767" w:type="pct"/>
            <w:noWrap/>
            <w:hideMark/>
          </w:tcPr>
          <w:p>
            <w:pPr>
              <w:spacing w:before="20" w:after="20"/>
              <w:jc w:val="center"/>
              <w:rPr>
                <w:noProof/>
                <w:color w:val="000000"/>
                <w:sz w:val="22"/>
                <w:lang w:eastAsia="en-GB"/>
              </w:rPr>
            </w:pPr>
            <w:r>
              <w:rPr>
                <w:noProof/>
                <w:color w:val="000000"/>
                <w:sz w:val="22"/>
                <w:lang w:eastAsia="en-GB"/>
              </w:rPr>
              <w:t>Louvain La Neuve, Belgium</w:t>
            </w:r>
          </w:p>
        </w:tc>
        <w:tc>
          <w:tcPr>
            <w:tcW w:w="733" w:type="pct"/>
            <w:noWrap/>
            <w:hideMark/>
          </w:tcPr>
          <w:p>
            <w:pPr>
              <w:spacing w:before="20" w:after="20"/>
              <w:jc w:val="center"/>
              <w:rPr>
                <w:noProof/>
                <w:color w:val="000000"/>
                <w:sz w:val="22"/>
                <w:lang w:eastAsia="en-GB"/>
              </w:rPr>
            </w:pPr>
            <w:r>
              <w:rPr>
                <w:noProof/>
                <w:color w:val="000000"/>
                <w:sz w:val="22"/>
                <w:lang w:eastAsia="en-GB"/>
              </w:rPr>
              <w:t>250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RDA Berlin</w:t>
            </w:r>
          </w:p>
        </w:tc>
        <w:tc>
          <w:tcPr>
            <w:tcW w:w="1767" w:type="pct"/>
            <w:noWrap/>
            <w:hideMark/>
          </w:tcPr>
          <w:p>
            <w:pPr>
              <w:spacing w:before="20" w:after="20"/>
              <w:jc w:val="center"/>
              <w:rPr>
                <w:noProof/>
                <w:color w:val="000000"/>
                <w:sz w:val="22"/>
                <w:lang w:eastAsia="en-GB"/>
              </w:rPr>
            </w:pPr>
            <w:r>
              <w:rPr>
                <w:noProof/>
                <w:color w:val="000000"/>
                <w:sz w:val="22"/>
                <w:lang w:eastAsia="en-GB"/>
              </w:rPr>
              <w:t>Berlin, Germany</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IESA 2018</w:t>
            </w:r>
          </w:p>
        </w:tc>
        <w:tc>
          <w:tcPr>
            <w:tcW w:w="1767" w:type="pct"/>
            <w:noWrap/>
            <w:hideMark/>
          </w:tcPr>
          <w:p>
            <w:pPr>
              <w:spacing w:before="20" w:after="20"/>
              <w:jc w:val="center"/>
              <w:rPr>
                <w:noProof/>
                <w:color w:val="000000"/>
                <w:sz w:val="22"/>
                <w:lang w:eastAsia="en-GB"/>
              </w:rPr>
            </w:pPr>
            <w:r>
              <w:rPr>
                <w:noProof/>
                <w:color w:val="000000"/>
                <w:sz w:val="22"/>
                <w:lang w:eastAsia="en-GB"/>
              </w:rPr>
              <w:t>Berlin, Germany</w:t>
            </w:r>
          </w:p>
        </w:tc>
        <w:tc>
          <w:tcPr>
            <w:tcW w:w="733" w:type="pct"/>
            <w:noWrap/>
            <w:hideMark/>
          </w:tcPr>
          <w:p>
            <w:pPr>
              <w:spacing w:before="20" w:after="20"/>
              <w:jc w:val="center"/>
              <w:rPr>
                <w:noProof/>
                <w:color w:val="000000"/>
                <w:sz w:val="22"/>
                <w:lang w:eastAsia="en-GB"/>
              </w:rPr>
            </w:pPr>
            <w:r>
              <w:rPr>
                <w:noProof/>
                <w:color w:val="000000"/>
                <w:sz w:val="22"/>
                <w:lang w:eastAsia="en-GB"/>
              </w:rPr>
              <w:t>250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CNIS2018</w:t>
            </w:r>
          </w:p>
        </w:tc>
        <w:tc>
          <w:tcPr>
            <w:tcW w:w="1767" w:type="pct"/>
            <w:noWrap/>
            <w:hideMark/>
          </w:tcPr>
          <w:p>
            <w:pPr>
              <w:spacing w:before="20" w:after="20"/>
              <w:jc w:val="center"/>
              <w:rPr>
                <w:noProof/>
                <w:color w:val="000000"/>
                <w:sz w:val="22"/>
                <w:lang w:eastAsia="en-GB"/>
              </w:rPr>
            </w:pPr>
            <w:r>
              <w:rPr>
                <w:noProof/>
                <w:color w:val="000000"/>
                <w:sz w:val="22"/>
                <w:lang w:eastAsia="en-GB"/>
              </w:rPr>
              <w:t>Madrid, Spain</w:t>
            </w:r>
          </w:p>
        </w:tc>
        <w:tc>
          <w:tcPr>
            <w:tcW w:w="733" w:type="pct"/>
            <w:noWrap/>
            <w:hideMark/>
          </w:tcPr>
          <w:p>
            <w:pPr>
              <w:spacing w:before="20" w:after="20"/>
              <w:jc w:val="center"/>
              <w:rPr>
                <w:noProof/>
                <w:color w:val="000000"/>
                <w:sz w:val="22"/>
                <w:lang w:eastAsia="en-GB"/>
              </w:rPr>
            </w:pPr>
            <w:r>
              <w:rPr>
                <w:noProof/>
                <w:color w:val="000000"/>
                <w:sz w:val="22"/>
                <w:lang w:eastAsia="en-GB"/>
              </w:rPr>
              <w:t>300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Digital Day</w:t>
            </w:r>
          </w:p>
        </w:tc>
        <w:tc>
          <w:tcPr>
            <w:tcW w:w="1767" w:type="pct"/>
            <w:noWrap/>
            <w:hideMark/>
          </w:tcPr>
          <w:p>
            <w:pPr>
              <w:spacing w:before="20" w:after="20"/>
              <w:jc w:val="center"/>
              <w:rPr>
                <w:noProof/>
                <w:color w:val="000000"/>
                <w:sz w:val="22"/>
                <w:lang w:eastAsia="en-GB"/>
              </w:rPr>
            </w:pPr>
            <w:r>
              <w:rPr>
                <w:noProof/>
                <w:color w:val="000000"/>
                <w:sz w:val="22"/>
                <w:lang w:eastAsia="en-GB"/>
              </w:rPr>
              <w:t>Rome, Italy</w:t>
            </w:r>
          </w:p>
        </w:tc>
        <w:tc>
          <w:tcPr>
            <w:tcW w:w="733" w:type="pct"/>
            <w:noWrap/>
            <w:hideMark/>
          </w:tcPr>
          <w:p>
            <w:pPr>
              <w:spacing w:before="20" w:after="20"/>
              <w:jc w:val="center"/>
              <w:rPr>
                <w:noProof/>
                <w:color w:val="000000"/>
                <w:sz w:val="22"/>
                <w:lang w:eastAsia="en-GB"/>
              </w:rPr>
            </w:pPr>
            <w:r>
              <w:rPr>
                <w:noProof/>
                <w:color w:val="000000"/>
                <w:sz w:val="22"/>
                <w:lang w:eastAsia="en-GB"/>
              </w:rPr>
              <w:t>300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CEEE Gov Days 2018</w:t>
            </w:r>
          </w:p>
        </w:tc>
        <w:tc>
          <w:tcPr>
            <w:tcW w:w="1767" w:type="pct"/>
            <w:noWrap/>
            <w:hideMark/>
          </w:tcPr>
          <w:p>
            <w:pPr>
              <w:spacing w:before="20" w:after="20"/>
              <w:jc w:val="center"/>
              <w:rPr>
                <w:noProof/>
                <w:color w:val="000000"/>
                <w:sz w:val="22"/>
                <w:lang w:eastAsia="en-GB"/>
              </w:rPr>
            </w:pPr>
            <w:r>
              <w:rPr>
                <w:noProof/>
                <w:color w:val="000000"/>
                <w:sz w:val="22"/>
                <w:lang w:eastAsia="en-GB"/>
              </w:rPr>
              <w:t>Budapest, Hungary</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German Federal Level Conference</w:t>
            </w:r>
          </w:p>
        </w:tc>
        <w:tc>
          <w:tcPr>
            <w:tcW w:w="1767" w:type="pct"/>
            <w:noWrap/>
            <w:hideMark/>
          </w:tcPr>
          <w:p>
            <w:pPr>
              <w:spacing w:before="20" w:after="20"/>
              <w:jc w:val="center"/>
              <w:rPr>
                <w:noProof/>
                <w:color w:val="000000"/>
                <w:sz w:val="22"/>
                <w:lang w:eastAsia="en-GB"/>
              </w:rPr>
            </w:pPr>
            <w:r>
              <w:rPr>
                <w:noProof/>
                <w:color w:val="000000"/>
                <w:sz w:val="22"/>
                <w:lang w:eastAsia="en-GB"/>
              </w:rPr>
              <w:t>Berlin, Germany</w:t>
            </w:r>
          </w:p>
        </w:tc>
        <w:tc>
          <w:tcPr>
            <w:tcW w:w="733" w:type="pct"/>
            <w:noWrap/>
            <w:hideMark/>
          </w:tcPr>
          <w:p>
            <w:pPr>
              <w:spacing w:before="20" w:after="20"/>
              <w:jc w:val="center"/>
              <w:rPr>
                <w:noProof/>
                <w:color w:val="000000"/>
                <w:sz w:val="22"/>
                <w:lang w:eastAsia="en-GB"/>
              </w:rPr>
            </w:pPr>
            <w:r>
              <w:rPr>
                <w:noProof/>
                <w:color w:val="000000"/>
                <w:sz w:val="22"/>
                <w:lang w:eastAsia="en-GB"/>
              </w:rPr>
              <w:t>120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Good Governance Conference 2018</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650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Civil Society Days 2018</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Language Technology Industry Summit</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Egov Conference Tallinn, 2018</w:t>
            </w:r>
          </w:p>
        </w:tc>
        <w:tc>
          <w:tcPr>
            <w:tcW w:w="1767" w:type="pct"/>
            <w:noWrap/>
            <w:hideMark/>
          </w:tcPr>
          <w:p>
            <w:pPr>
              <w:spacing w:before="20" w:after="20"/>
              <w:jc w:val="center"/>
              <w:rPr>
                <w:noProof/>
                <w:color w:val="000000"/>
                <w:sz w:val="22"/>
                <w:lang w:eastAsia="en-GB"/>
              </w:rPr>
            </w:pPr>
            <w:r>
              <w:rPr>
                <w:noProof/>
                <w:color w:val="000000"/>
                <w:sz w:val="22"/>
                <w:lang w:eastAsia="en-GB"/>
              </w:rPr>
              <w:t>Tallinn, Estonia</w:t>
            </w:r>
          </w:p>
        </w:tc>
        <w:tc>
          <w:tcPr>
            <w:tcW w:w="733" w:type="pct"/>
            <w:noWrap/>
            <w:hideMark/>
          </w:tcPr>
          <w:p>
            <w:pPr>
              <w:spacing w:before="20" w:after="20"/>
              <w:jc w:val="center"/>
              <w:rPr>
                <w:noProof/>
                <w:color w:val="000000"/>
                <w:sz w:val="22"/>
                <w:lang w:eastAsia="en-GB"/>
              </w:rPr>
            </w:pPr>
            <w:r>
              <w:rPr>
                <w:noProof/>
                <w:color w:val="000000"/>
                <w:sz w:val="22"/>
                <w:lang w:eastAsia="en-GB"/>
              </w:rPr>
              <w:t>300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Conference Supervisory reporting for the Digital Age</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Digital Assembly 2018</w:t>
            </w:r>
          </w:p>
        </w:tc>
        <w:tc>
          <w:tcPr>
            <w:tcW w:w="1767" w:type="pct"/>
            <w:noWrap/>
            <w:hideMark/>
          </w:tcPr>
          <w:p>
            <w:pPr>
              <w:spacing w:before="20" w:after="20"/>
              <w:jc w:val="center"/>
              <w:rPr>
                <w:noProof/>
                <w:color w:val="000000"/>
                <w:sz w:val="22"/>
                <w:lang w:eastAsia="en-GB"/>
              </w:rPr>
            </w:pPr>
            <w:r>
              <w:rPr>
                <w:noProof/>
                <w:color w:val="000000"/>
                <w:sz w:val="22"/>
                <w:lang w:eastAsia="en-GB"/>
              </w:rPr>
              <w:t>Helsinki, Finland</w:t>
            </w:r>
          </w:p>
        </w:tc>
        <w:tc>
          <w:tcPr>
            <w:tcW w:w="733" w:type="pct"/>
            <w:noWrap/>
            <w:hideMark/>
          </w:tcPr>
          <w:p>
            <w:pPr>
              <w:spacing w:before="20" w:after="20"/>
              <w:jc w:val="center"/>
              <w:rPr>
                <w:noProof/>
                <w:color w:val="000000"/>
                <w:sz w:val="22"/>
                <w:lang w:eastAsia="en-GB"/>
              </w:rPr>
            </w:pPr>
            <w:r>
              <w:rPr>
                <w:noProof/>
                <w:color w:val="000000"/>
                <w:sz w:val="22"/>
                <w:lang w:eastAsia="en-GB"/>
              </w:rPr>
              <w:t>125</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ICA Conference 2018</w:t>
            </w:r>
          </w:p>
        </w:tc>
        <w:tc>
          <w:tcPr>
            <w:tcW w:w="1767" w:type="pct"/>
            <w:noWrap/>
            <w:hideMark/>
          </w:tcPr>
          <w:p>
            <w:pPr>
              <w:spacing w:before="20" w:after="20"/>
              <w:jc w:val="center"/>
              <w:rPr>
                <w:noProof/>
                <w:color w:val="000000"/>
                <w:sz w:val="22"/>
                <w:lang w:eastAsia="en-GB"/>
              </w:rPr>
            </w:pPr>
            <w:r>
              <w:rPr>
                <w:noProof/>
                <w:color w:val="000000"/>
                <w:sz w:val="22"/>
                <w:lang w:eastAsia="en-GB"/>
              </w:rPr>
              <w:t>Sofia, Bulgaria</w:t>
            </w:r>
          </w:p>
        </w:tc>
        <w:tc>
          <w:tcPr>
            <w:tcW w:w="733" w:type="pct"/>
            <w:noWrap/>
            <w:hideMark/>
          </w:tcPr>
          <w:p>
            <w:pPr>
              <w:spacing w:before="20" w:after="20"/>
              <w:jc w:val="center"/>
              <w:rPr>
                <w:noProof/>
                <w:color w:val="000000"/>
                <w:sz w:val="22"/>
                <w:lang w:eastAsia="en-GB"/>
              </w:rPr>
            </w:pPr>
            <w:r>
              <w:rPr>
                <w:noProof/>
                <w:color w:val="000000"/>
                <w:sz w:val="22"/>
                <w:lang w:eastAsia="en-GB"/>
              </w:rPr>
              <w:t>5,000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ICT implications presentation in Vienna</w:t>
            </w:r>
          </w:p>
        </w:tc>
        <w:tc>
          <w:tcPr>
            <w:tcW w:w="1767" w:type="pct"/>
            <w:noWrap/>
            <w:hideMark/>
          </w:tcPr>
          <w:p>
            <w:pPr>
              <w:spacing w:before="20" w:after="20"/>
              <w:jc w:val="center"/>
              <w:rPr>
                <w:noProof/>
                <w:color w:val="000000"/>
                <w:sz w:val="22"/>
                <w:lang w:eastAsia="en-GB"/>
              </w:rPr>
            </w:pPr>
            <w:r>
              <w:rPr>
                <w:noProof/>
                <w:color w:val="000000"/>
                <w:sz w:val="22"/>
                <w:lang w:eastAsia="en-GB"/>
              </w:rPr>
              <w:t>Vienna, Austria</w:t>
            </w:r>
          </w:p>
        </w:tc>
        <w:tc>
          <w:tcPr>
            <w:tcW w:w="733" w:type="pct"/>
            <w:noWrap/>
            <w:hideMark/>
          </w:tcPr>
          <w:p>
            <w:pPr>
              <w:spacing w:before="20" w:after="20"/>
              <w:jc w:val="center"/>
              <w:rPr>
                <w:noProof/>
                <w:color w:val="000000"/>
                <w:sz w:val="22"/>
                <w:lang w:eastAsia="en-GB"/>
              </w:rPr>
            </w:pPr>
            <w:r>
              <w:rPr>
                <w:noProof/>
                <w:color w:val="000000"/>
                <w:sz w:val="22"/>
                <w:lang w:eastAsia="en-GB"/>
              </w:rPr>
              <w:t>120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Inspire Conference 2018</w:t>
            </w:r>
          </w:p>
        </w:tc>
        <w:tc>
          <w:tcPr>
            <w:tcW w:w="1767" w:type="pct"/>
            <w:noWrap/>
            <w:hideMark/>
          </w:tcPr>
          <w:p>
            <w:pPr>
              <w:spacing w:before="20" w:after="20"/>
              <w:jc w:val="center"/>
              <w:rPr>
                <w:noProof/>
                <w:color w:val="000000"/>
                <w:sz w:val="22"/>
                <w:lang w:eastAsia="en-GB"/>
              </w:rPr>
            </w:pPr>
            <w:r>
              <w:rPr>
                <w:noProof/>
                <w:color w:val="000000"/>
                <w:sz w:val="22"/>
                <w:lang w:eastAsia="en-GB"/>
              </w:rPr>
              <w:t>Antwerp, Belgium</w:t>
            </w:r>
          </w:p>
        </w:tc>
        <w:tc>
          <w:tcPr>
            <w:tcW w:w="733" w:type="pct"/>
            <w:noWrap/>
            <w:hideMark/>
          </w:tcPr>
          <w:p>
            <w:pPr>
              <w:spacing w:before="20" w:after="20"/>
              <w:jc w:val="center"/>
              <w:rPr>
                <w:noProof/>
                <w:color w:val="000000"/>
                <w:sz w:val="22"/>
                <w:lang w:eastAsia="en-GB"/>
              </w:rPr>
            </w:pPr>
            <w:r>
              <w:rPr>
                <w:noProof/>
                <w:color w:val="000000"/>
                <w:sz w:val="22"/>
                <w:lang w:eastAsia="en-GB"/>
              </w:rPr>
              <w:t>900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TOOP Conference</w:t>
            </w:r>
          </w:p>
        </w:tc>
        <w:tc>
          <w:tcPr>
            <w:tcW w:w="1767" w:type="pct"/>
            <w:noWrap/>
            <w:hideMark/>
          </w:tcPr>
          <w:p>
            <w:pPr>
              <w:spacing w:before="20" w:after="20"/>
              <w:jc w:val="center"/>
              <w:rPr>
                <w:noProof/>
                <w:color w:val="000000"/>
                <w:sz w:val="22"/>
                <w:lang w:eastAsia="en-GB"/>
              </w:rPr>
            </w:pPr>
            <w:r>
              <w:rPr>
                <w:noProof/>
                <w:color w:val="000000"/>
                <w:sz w:val="22"/>
                <w:lang w:eastAsia="en-GB"/>
              </w:rPr>
              <w:t>Vienna, Austria</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eGov High Level Conference 2018</w:t>
            </w:r>
          </w:p>
        </w:tc>
        <w:tc>
          <w:tcPr>
            <w:tcW w:w="1767" w:type="pct"/>
            <w:noWrap/>
            <w:hideMark/>
          </w:tcPr>
          <w:p>
            <w:pPr>
              <w:spacing w:before="20" w:after="20"/>
              <w:jc w:val="center"/>
              <w:rPr>
                <w:noProof/>
                <w:color w:val="000000"/>
                <w:sz w:val="22"/>
                <w:lang w:eastAsia="en-GB"/>
              </w:rPr>
            </w:pPr>
            <w:r>
              <w:rPr>
                <w:noProof/>
                <w:color w:val="000000"/>
                <w:sz w:val="22"/>
                <w:lang w:eastAsia="en-GB"/>
              </w:rPr>
              <w:t>Vienna, Austria</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Infofest Montenegro</w:t>
            </w:r>
          </w:p>
        </w:tc>
        <w:tc>
          <w:tcPr>
            <w:tcW w:w="1767" w:type="pct"/>
            <w:noWrap/>
            <w:hideMark/>
          </w:tcPr>
          <w:p>
            <w:pPr>
              <w:spacing w:before="20" w:after="20"/>
              <w:jc w:val="center"/>
              <w:rPr>
                <w:noProof/>
                <w:color w:val="000000"/>
                <w:sz w:val="22"/>
                <w:lang w:eastAsia="en-GB"/>
              </w:rPr>
            </w:pPr>
            <w:r>
              <w:rPr>
                <w:noProof/>
                <w:color w:val="000000"/>
                <w:sz w:val="22"/>
                <w:lang w:eastAsia="en-GB"/>
              </w:rPr>
              <w:t>Podgorica, Montenegro</w:t>
            </w:r>
          </w:p>
        </w:tc>
        <w:tc>
          <w:tcPr>
            <w:tcW w:w="733" w:type="pct"/>
            <w:noWrap/>
            <w:hideMark/>
          </w:tcPr>
          <w:p>
            <w:pPr>
              <w:spacing w:before="20" w:after="20"/>
              <w:jc w:val="center"/>
              <w:rPr>
                <w:noProof/>
                <w:color w:val="000000"/>
                <w:sz w:val="22"/>
                <w:lang w:eastAsia="en-GB"/>
              </w:rPr>
            </w:pPr>
            <w:r>
              <w:rPr>
                <w:noProof/>
                <w:color w:val="000000"/>
                <w:sz w:val="22"/>
                <w:lang w:eastAsia="en-GB"/>
              </w:rPr>
              <w:t>150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European Week of Regions and Cities 2018</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6,000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GovTech Summit 2018</w:t>
            </w:r>
          </w:p>
        </w:tc>
        <w:tc>
          <w:tcPr>
            <w:tcW w:w="1767" w:type="pct"/>
            <w:noWrap/>
            <w:hideMark/>
          </w:tcPr>
          <w:p>
            <w:pPr>
              <w:spacing w:before="20" w:after="20"/>
              <w:jc w:val="center"/>
              <w:rPr>
                <w:noProof/>
                <w:color w:val="000000"/>
                <w:sz w:val="22"/>
                <w:lang w:eastAsia="en-GB"/>
              </w:rPr>
            </w:pPr>
            <w:r>
              <w:rPr>
                <w:noProof/>
                <w:color w:val="000000"/>
                <w:sz w:val="22"/>
                <w:lang w:eastAsia="en-GB"/>
              </w:rPr>
              <w:t>Paris, France</w:t>
            </w:r>
          </w:p>
        </w:tc>
        <w:tc>
          <w:tcPr>
            <w:tcW w:w="733" w:type="pct"/>
            <w:noWrap/>
            <w:hideMark/>
          </w:tcPr>
          <w:p>
            <w:pPr>
              <w:spacing w:before="20" w:after="20"/>
              <w:jc w:val="center"/>
              <w:rPr>
                <w:noProof/>
                <w:color w:val="000000"/>
                <w:sz w:val="22"/>
                <w:lang w:eastAsia="en-GB"/>
              </w:rPr>
            </w:pPr>
            <w:r>
              <w:rPr>
                <w:noProof/>
                <w:color w:val="000000"/>
                <w:sz w:val="22"/>
                <w:lang w:eastAsia="en-GB"/>
              </w:rPr>
              <w:t>3,000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Digitec18</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900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ICT Vienna</w:t>
            </w:r>
          </w:p>
        </w:tc>
        <w:tc>
          <w:tcPr>
            <w:tcW w:w="1767" w:type="pct"/>
            <w:noWrap/>
            <w:hideMark/>
          </w:tcPr>
          <w:p>
            <w:pPr>
              <w:spacing w:before="20" w:after="20"/>
              <w:jc w:val="center"/>
              <w:rPr>
                <w:noProof/>
                <w:color w:val="000000"/>
                <w:sz w:val="22"/>
                <w:lang w:eastAsia="en-GB"/>
              </w:rPr>
            </w:pPr>
            <w:r>
              <w:rPr>
                <w:noProof/>
                <w:color w:val="000000"/>
                <w:sz w:val="22"/>
                <w:lang w:eastAsia="en-GB"/>
              </w:rPr>
              <w:t>Vienna, Austria</w:t>
            </w:r>
          </w:p>
        </w:tc>
        <w:tc>
          <w:tcPr>
            <w:tcW w:w="733" w:type="pct"/>
            <w:noWrap/>
            <w:hideMark/>
          </w:tcPr>
          <w:p>
            <w:pPr>
              <w:spacing w:before="20" w:after="20"/>
              <w:jc w:val="center"/>
              <w:rPr>
                <w:noProof/>
                <w:color w:val="000000"/>
                <w:sz w:val="22"/>
                <w:lang w:eastAsia="en-GB"/>
              </w:rPr>
            </w:pPr>
            <w:r>
              <w:rPr>
                <w:noProof/>
                <w:color w:val="000000"/>
                <w:sz w:val="22"/>
                <w:lang w:eastAsia="en-GB"/>
              </w:rPr>
              <w:t>5,000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Paris Open Source Summit 2018</w:t>
            </w:r>
          </w:p>
        </w:tc>
        <w:tc>
          <w:tcPr>
            <w:tcW w:w="1767" w:type="pct"/>
            <w:noWrap/>
            <w:hideMark/>
          </w:tcPr>
          <w:p>
            <w:pPr>
              <w:spacing w:before="20" w:after="20"/>
              <w:jc w:val="center"/>
              <w:rPr>
                <w:noProof/>
                <w:color w:val="000000"/>
                <w:sz w:val="22"/>
                <w:lang w:eastAsia="en-GB"/>
              </w:rPr>
            </w:pPr>
            <w:r>
              <w:rPr>
                <w:noProof/>
                <w:color w:val="000000"/>
                <w:sz w:val="22"/>
                <w:lang w:eastAsia="en-GB"/>
              </w:rPr>
              <w:t>Paris, France</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Symposium on Digital Transformation of the public sector 2018</w:t>
            </w:r>
          </w:p>
        </w:tc>
        <w:tc>
          <w:tcPr>
            <w:tcW w:w="1767" w:type="pct"/>
            <w:noWrap/>
            <w:hideMark/>
          </w:tcPr>
          <w:p>
            <w:pPr>
              <w:spacing w:before="20" w:after="20"/>
              <w:jc w:val="center"/>
              <w:rPr>
                <w:noProof/>
                <w:color w:val="000000"/>
                <w:sz w:val="22"/>
                <w:lang w:eastAsia="en-GB"/>
              </w:rPr>
            </w:pPr>
            <w:r>
              <w:rPr>
                <w:noProof/>
                <w:color w:val="000000"/>
                <w:sz w:val="22"/>
                <w:lang w:eastAsia="en-GB"/>
              </w:rPr>
              <w:t>Belgium</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Webinar on Government Transformation: ‘How co-creation will shape the future of value creation in the public sector’</w:t>
            </w:r>
          </w:p>
        </w:tc>
        <w:tc>
          <w:tcPr>
            <w:tcW w:w="1767" w:type="pct"/>
            <w:noWrap/>
            <w:hideMark/>
          </w:tcPr>
          <w:p>
            <w:pPr>
              <w:spacing w:before="20" w:after="20"/>
              <w:jc w:val="center"/>
              <w:rPr>
                <w:noProof/>
                <w:color w:val="000000"/>
                <w:sz w:val="22"/>
                <w:lang w:eastAsia="en-GB"/>
              </w:rPr>
            </w:pPr>
            <w:r>
              <w:rPr>
                <w:noProof/>
                <w:color w:val="000000"/>
                <w:sz w:val="22"/>
                <w:lang w:eastAsia="en-GB"/>
              </w:rPr>
              <w:t>Belgium</w:t>
            </w:r>
          </w:p>
        </w:tc>
        <w:tc>
          <w:tcPr>
            <w:tcW w:w="733" w:type="pct"/>
            <w:noWrap/>
            <w:hideMark/>
          </w:tcPr>
          <w:p>
            <w:pPr>
              <w:spacing w:before="20" w:after="20"/>
              <w:jc w:val="center"/>
              <w:rPr>
                <w:noProof/>
                <w:color w:val="000000"/>
                <w:sz w:val="22"/>
                <w:lang w:eastAsia="en-GB"/>
              </w:rPr>
            </w:pPr>
            <w:r>
              <w:rPr>
                <w:noProof/>
                <w:color w:val="000000"/>
                <w:sz w:val="22"/>
                <w:lang w:eastAsia="en-GB"/>
              </w:rPr>
              <w:t>200</w:t>
            </w:r>
          </w:p>
        </w:tc>
      </w:tr>
      <w:tr>
        <w:trPr>
          <w:cnfStyle w:val="000000100000" w:firstRow="0" w:lastRow="0" w:firstColumn="0" w:lastColumn="0" w:oddVBand="0" w:evenVBand="0" w:oddHBand="1" w:evenHBand="0" w:firstRowFirstColumn="0" w:firstRowLastColumn="0" w:lastRowFirstColumn="0" w:lastRowLastColumn="0"/>
          <w:trHeight w:val="20"/>
        </w:trPr>
        <w:tc>
          <w:tcPr>
            <w:tcW w:w="303" w:type="pct"/>
            <w:noWrap/>
            <w:hideMark/>
          </w:tcPr>
          <w:p>
            <w:pPr>
              <w:spacing w:before="20" w:after="20"/>
              <w:jc w:val="center"/>
              <w:rPr>
                <w:noProof/>
                <w:color w:val="000000"/>
                <w:sz w:val="22"/>
                <w:lang w:eastAsia="en-GB"/>
              </w:rPr>
            </w:pPr>
            <w:r>
              <w:rPr>
                <w:noProof/>
                <w:color w:val="000000"/>
                <w:sz w:val="22"/>
                <w:lang w:eastAsia="en-GB"/>
              </w:rPr>
              <w:t>2018</w:t>
            </w:r>
          </w:p>
        </w:tc>
        <w:tc>
          <w:tcPr>
            <w:tcW w:w="2197" w:type="pct"/>
            <w:noWrap/>
            <w:hideMark/>
          </w:tcPr>
          <w:p>
            <w:pPr>
              <w:spacing w:before="20" w:after="20"/>
              <w:jc w:val="center"/>
              <w:rPr>
                <w:noProof/>
                <w:color w:val="000000"/>
                <w:sz w:val="22"/>
                <w:lang w:eastAsia="en-GB"/>
              </w:rPr>
            </w:pPr>
            <w:r>
              <w:rPr>
                <w:noProof/>
                <w:color w:val="000000"/>
                <w:sz w:val="22"/>
                <w:lang w:eastAsia="en-GB"/>
              </w:rPr>
              <w:t>1st CEF eTranslation Conference</w:t>
            </w:r>
          </w:p>
        </w:tc>
        <w:tc>
          <w:tcPr>
            <w:tcW w:w="1767" w:type="pct"/>
            <w:noWrap/>
            <w:hideMark/>
          </w:tcPr>
          <w:p>
            <w:pPr>
              <w:spacing w:before="20" w:after="20"/>
              <w:jc w:val="center"/>
              <w:rPr>
                <w:noProof/>
                <w:color w:val="000000"/>
                <w:sz w:val="22"/>
                <w:lang w:eastAsia="en-GB"/>
              </w:rPr>
            </w:pPr>
            <w:r>
              <w:rPr>
                <w:noProof/>
                <w:color w:val="000000"/>
                <w:sz w:val="22"/>
                <w:lang w:eastAsia="en-GB"/>
              </w:rPr>
              <w:t>Brussels, Belgium</w:t>
            </w:r>
          </w:p>
        </w:tc>
        <w:tc>
          <w:tcPr>
            <w:tcW w:w="733" w:type="pct"/>
            <w:noWrap/>
            <w:hideMark/>
          </w:tcPr>
          <w:p>
            <w:pPr>
              <w:spacing w:before="20" w:after="20"/>
              <w:jc w:val="center"/>
              <w:rPr>
                <w:noProof/>
                <w:color w:val="000000"/>
                <w:sz w:val="22"/>
                <w:lang w:eastAsia="en-GB"/>
              </w:rPr>
            </w:pPr>
            <w:r>
              <w:rPr>
                <w:noProof/>
                <w:color w:val="000000"/>
                <w:sz w:val="22"/>
                <w:lang w:eastAsia="en-GB"/>
              </w:rPr>
              <w:t>N/A</w:t>
            </w:r>
          </w:p>
        </w:tc>
      </w:tr>
    </w:tbl>
    <w:p>
      <w:pPr>
        <w:spacing w:line="240" w:lineRule="auto"/>
        <w:jc w:val="both"/>
        <w:rPr>
          <w:rFonts w:cs="Times New Roman"/>
          <w:noProof/>
          <w:lang w:val="en-GB"/>
        </w:rPr>
      </w:pPr>
      <w:r>
        <w:rPr>
          <w:rFonts w:cs="Times New Roman"/>
          <w:i/>
          <w:noProof/>
          <w:sz w:val="20"/>
          <w:szCs w:val="20"/>
        </w:rPr>
        <w:t xml:space="preserve">Source: </w:t>
      </w:r>
      <w:hyperlink r:id="rId257" w:history="1">
        <w:r>
          <w:rPr>
            <w:rStyle w:val="Hyperlink"/>
            <w:rFonts w:cs="Times New Roman"/>
            <w:i/>
            <w:noProof/>
            <w:sz w:val="20"/>
            <w:lang w:val="en-GB"/>
          </w:rPr>
          <w:t>CEPS final study</w:t>
        </w:r>
      </w:hyperlink>
    </w:p>
    <w:p>
      <w:pPr>
        <w:pStyle w:val="Note"/>
        <w:jc w:val="both"/>
        <w:rPr>
          <w:rFonts w:ascii="Times New Roman" w:hAnsi="Times New Roman"/>
          <w:noProof/>
        </w:rPr>
        <w:sectPr>
          <w:headerReference w:type="even" r:id="rId258"/>
          <w:headerReference w:type="default" r:id="rId259"/>
          <w:footerReference w:type="even" r:id="rId260"/>
          <w:footerReference w:type="default" r:id="rId261"/>
          <w:headerReference w:type="first" r:id="rId262"/>
          <w:footerReference w:type="first" r:id="rId263"/>
          <w:pgSz w:w="16838" w:h="11906" w:orient="landscape"/>
          <w:pgMar w:top="1587" w:right="1020" w:bottom="1701" w:left="1020" w:header="601" w:footer="1077" w:gutter="0"/>
          <w:cols w:space="720"/>
          <w:titlePg/>
          <w:docGrid w:linePitch="326"/>
        </w:sectPr>
      </w:pPr>
    </w:p>
    <w:p>
      <w:pPr>
        <w:pStyle w:val="Heading4"/>
        <w:rPr>
          <w:noProof/>
        </w:rPr>
      </w:pPr>
      <w:r>
        <w:rPr>
          <w:noProof/>
        </w:rPr>
        <w:t>Alignment with principles spelled out in Article 4(b) of the ISA</w:t>
      </w:r>
      <w:r>
        <w:rPr>
          <w:noProof/>
          <w:vertAlign w:val="superscript"/>
        </w:rPr>
        <w:t>2</w:t>
      </w:r>
      <w:r>
        <w:rPr>
          <w:noProof/>
        </w:rPr>
        <w:t xml:space="preserve"> Decision</w:t>
      </w:r>
    </w:p>
    <w:p>
      <w:pPr>
        <w:pStyle w:val="Note"/>
        <w:jc w:val="both"/>
        <w:rPr>
          <w:rFonts w:ascii="Times New Roman" w:hAnsi="Times New Roman"/>
          <w:noProof/>
        </w:rPr>
      </w:pP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15</w:t>
      </w:r>
      <w:r>
        <w:rPr>
          <w:rFonts w:cs="Times New Roman"/>
          <w:noProof/>
        </w:rPr>
        <w:fldChar w:fldCharType="end"/>
      </w:r>
      <w:r>
        <w:rPr>
          <w:rFonts w:cs="Times New Roman"/>
          <w:noProof/>
        </w:rPr>
        <w:t>: Contribution of ISA</w:t>
      </w:r>
      <w:r>
        <w:rPr>
          <w:rFonts w:cs="Times New Roman"/>
          <w:noProof/>
          <w:vertAlign w:val="superscript"/>
        </w:rPr>
        <w:t>2</w:t>
      </w:r>
      <w:r>
        <w:rPr>
          <w:rFonts w:cs="Times New Roman"/>
          <w:noProof/>
        </w:rPr>
        <w:t xml:space="preserve"> actions to the principles listed in Art. 4(b) of the ISA</w:t>
      </w:r>
      <w:r>
        <w:rPr>
          <w:rFonts w:cs="Times New Roman"/>
          <w:noProof/>
          <w:vertAlign w:val="superscript"/>
        </w:rPr>
        <w:t>2</w:t>
      </w:r>
      <w:r>
        <w:rPr>
          <w:rFonts w:cs="Times New Roman"/>
          <w:noProof/>
        </w:rPr>
        <w:t xml:space="preserve"> Decision</w:t>
      </w:r>
    </w:p>
    <w:tbl>
      <w:tblPr>
        <w:tblStyle w:val="GridTable5Dark-Accent111"/>
        <w:tblW w:w="9085" w:type="dxa"/>
        <w:tblLook w:val="04A0" w:firstRow="1" w:lastRow="0" w:firstColumn="1" w:lastColumn="0" w:noHBand="0" w:noVBand="1"/>
      </w:tblPr>
      <w:tblGrid>
        <w:gridCol w:w="2965"/>
        <w:gridCol w:w="6120"/>
      </w:tblGrid>
      <w:tr>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65" w:type="dxa"/>
            <w:noWrap/>
            <w:hideMark/>
          </w:tcPr>
          <w:p>
            <w:pPr>
              <w:spacing w:before="40" w:after="40" w:line="276" w:lineRule="auto"/>
              <w:jc w:val="center"/>
              <w:rPr>
                <w:rFonts w:eastAsiaTheme="minorHAnsi"/>
                <w:noProof/>
                <w:sz w:val="22"/>
              </w:rPr>
            </w:pPr>
            <w:r>
              <w:rPr>
                <w:rFonts w:eastAsiaTheme="minorHAnsi"/>
                <w:noProof/>
                <w:sz w:val="22"/>
              </w:rPr>
              <w:t>Art. 4(b) Principles</w:t>
            </w:r>
          </w:p>
        </w:tc>
        <w:tc>
          <w:tcPr>
            <w:tcW w:w="6120" w:type="dxa"/>
            <w:noWrap/>
            <w:hideMark/>
          </w:tcPr>
          <w:p>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Relevant evidence</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Subsidiarity and proportionality</w:t>
            </w:r>
          </w:p>
        </w:tc>
        <w:tc>
          <w:tcPr>
            <w:tcW w:w="6120" w:type="dxa"/>
            <w:hideMark/>
          </w:tcPr>
          <w:p>
            <w:pPr>
              <w:spacing w:before="40" w:after="4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ISA</w:t>
            </w:r>
            <w:r>
              <w:rPr>
                <w:rFonts w:eastAsiaTheme="minorHAnsi"/>
                <w:noProof/>
                <w:sz w:val="22"/>
                <w:vertAlign w:val="superscript"/>
              </w:rPr>
              <w:t>2</w:t>
            </w:r>
            <w:r>
              <w:rPr>
                <w:rFonts w:eastAsiaTheme="minorHAnsi"/>
                <w:noProof/>
                <w:sz w:val="22"/>
              </w:rPr>
              <w:t xml:space="preserve"> aims to contribute to a holistic interoperability landscape by creating solutions at EU level. The adoption of solutions by European public administrations is voluntary.</w:t>
            </w:r>
          </w:p>
        </w:tc>
      </w:tr>
      <w:tr>
        <w:trPr>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User-centricity</w:t>
            </w:r>
          </w:p>
        </w:tc>
        <w:tc>
          <w:tcPr>
            <w:tcW w:w="6120" w:type="dxa"/>
            <w:hideMark/>
          </w:tcPr>
          <w:p>
            <w:pPr>
              <w:spacing w:before="40" w:after="40"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 xml:space="preserve">As part of the process of proposing actions to be included in the rolling work programme, all proposed actions must take user-centricity into account and describe the ways in which user input is integrated into the action and the development of solutions. </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Inclusion and accessibility</w:t>
            </w:r>
          </w:p>
        </w:tc>
        <w:tc>
          <w:tcPr>
            <w:tcW w:w="6120" w:type="dxa"/>
            <w:hideMark/>
          </w:tcPr>
          <w:p>
            <w:pPr>
              <w:spacing w:before="40" w:after="4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ISA</w:t>
            </w:r>
            <w:r>
              <w:rPr>
                <w:rFonts w:eastAsiaTheme="minorHAnsi"/>
                <w:noProof/>
                <w:sz w:val="22"/>
                <w:vertAlign w:val="superscript"/>
              </w:rPr>
              <w:t>2</w:t>
            </w:r>
            <w:r>
              <w:rPr>
                <w:rFonts w:eastAsiaTheme="minorHAnsi"/>
                <w:noProof/>
                <w:sz w:val="22"/>
              </w:rPr>
              <w:t xml:space="preserve"> uses a number of channels to disseminate information about the actions and the solutions developed. These include: i) the ISA</w:t>
            </w:r>
            <w:r>
              <w:rPr>
                <w:rFonts w:eastAsiaTheme="minorHAnsi"/>
                <w:noProof/>
                <w:sz w:val="22"/>
                <w:vertAlign w:val="superscript"/>
              </w:rPr>
              <w:t>2</w:t>
            </w:r>
            <w:r>
              <w:rPr>
                <w:rFonts w:eastAsiaTheme="minorHAnsi"/>
                <w:noProof/>
                <w:sz w:val="22"/>
              </w:rPr>
              <w:t xml:space="preserve"> website, which contains information on each action and solution, official documents, infographics, videos, presentations, training material, and publications; ii) the Joinup platform to share the solutions developed under ISA</w:t>
            </w:r>
            <w:r>
              <w:rPr>
                <w:rFonts w:eastAsiaTheme="minorHAnsi"/>
                <w:noProof/>
                <w:sz w:val="22"/>
                <w:vertAlign w:val="superscript"/>
              </w:rPr>
              <w:t>2</w:t>
            </w:r>
            <w:r>
              <w:rPr>
                <w:rFonts w:eastAsiaTheme="minorHAnsi"/>
                <w:noProof/>
                <w:sz w:val="22"/>
              </w:rPr>
              <w:t>; iii) events organised by ISA</w:t>
            </w:r>
            <w:r>
              <w:rPr>
                <w:rFonts w:eastAsiaTheme="minorHAnsi"/>
                <w:noProof/>
                <w:sz w:val="22"/>
                <w:vertAlign w:val="superscript"/>
              </w:rPr>
              <w:t>2</w:t>
            </w:r>
            <w:r>
              <w:rPr>
                <w:rFonts w:eastAsiaTheme="minorHAnsi"/>
                <w:noProof/>
                <w:sz w:val="22"/>
              </w:rPr>
              <w:t xml:space="preserve"> in various Member States where promotional material is distributed; and iv) events with ISA</w:t>
            </w:r>
            <w:r>
              <w:rPr>
                <w:rFonts w:eastAsiaTheme="minorHAnsi"/>
                <w:noProof/>
                <w:sz w:val="22"/>
                <w:vertAlign w:val="superscript"/>
              </w:rPr>
              <w:t>2</w:t>
            </w:r>
            <w:r>
              <w:rPr>
                <w:rFonts w:eastAsiaTheme="minorHAnsi"/>
                <w:noProof/>
                <w:sz w:val="22"/>
              </w:rPr>
              <w:t xml:space="preserve"> participation in various Member States where promotional material is distributed. In addition, solutions take into account potential barriers to accessibility and inclusion, detailing such barriers where relevant and providing solutions. An example is the ‘EU CAPTCHA’</w:t>
            </w:r>
            <w:r>
              <w:rPr>
                <w:rFonts w:eastAsiaTheme="minorHAnsi"/>
                <w:noProof/>
                <w:sz w:val="22"/>
                <w:vertAlign w:val="superscript"/>
              </w:rPr>
              <w:footnoteReference w:id="141"/>
            </w:r>
            <w:r>
              <w:rPr>
                <w:rFonts w:eastAsiaTheme="minorHAnsi"/>
                <w:noProof/>
                <w:sz w:val="22"/>
              </w:rPr>
              <w:t xml:space="preserve"> action, which aims to address the issues of accessibility of CAPTCHA tests by exploring alternative solutions to improve the user experience.</w:t>
            </w:r>
          </w:p>
        </w:tc>
      </w:tr>
      <w:tr>
        <w:trPr>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Delivery of public services in such a way as to prevent digital divide</w:t>
            </w:r>
          </w:p>
        </w:tc>
        <w:tc>
          <w:tcPr>
            <w:tcW w:w="6120" w:type="dxa"/>
            <w:hideMark/>
          </w:tcPr>
          <w:p>
            <w:pPr>
              <w:spacing w:before="40" w:after="40"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As part of the process of proposing actions to be included in the rolling work programme, all the proposed actions must specify their expected contribution to the EU’s higher political priorities, such as the Digital Single Market. Where applicable, the rolling work programme details how specific actions contribute to the third pillar of the Digital Single Market Strategy, which also includes support for an inclusive digital society.</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Security, respect for privacy and data protection</w:t>
            </w:r>
          </w:p>
        </w:tc>
        <w:tc>
          <w:tcPr>
            <w:tcW w:w="6120" w:type="dxa"/>
            <w:hideMark/>
          </w:tcPr>
          <w:p>
            <w:pPr>
              <w:spacing w:before="40" w:after="4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 xml:space="preserve">Where appropriate, the descriptions of actions included in the rolling work programme must specify the measures taken to ensure security, respect for privacy and data protection. </w:t>
            </w:r>
          </w:p>
        </w:tc>
      </w:tr>
      <w:tr>
        <w:trPr>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Multilingualism</w:t>
            </w:r>
          </w:p>
        </w:tc>
        <w:tc>
          <w:tcPr>
            <w:tcW w:w="6120" w:type="dxa"/>
            <w:hideMark/>
          </w:tcPr>
          <w:p>
            <w:pPr>
              <w:spacing w:before="40" w:after="40"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Examples of ISA</w:t>
            </w:r>
            <w:r>
              <w:rPr>
                <w:rFonts w:eastAsiaTheme="minorHAnsi"/>
                <w:noProof/>
                <w:sz w:val="22"/>
                <w:vertAlign w:val="superscript"/>
              </w:rPr>
              <w:t>2</w:t>
            </w:r>
            <w:r>
              <w:rPr>
                <w:rFonts w:eastAsiaTheme="minorHAnsi"/>
                <w:noProof/>
                <w:sz w:val="22"/>
              </w:rPr>
              <w:t xml:space="preserve"> actions that produce tools and frameworks that contribute to multilingualism are: ‘SEMIC’; ‘PMKI’; ‘Development of an open data service, support and training package in the area of linked open data, data visualisation and persistent identification’, and ‘EUSurvey’.</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Administrative simplification and modernisation</w:t>
            </w:r>
          </w:p>
        </w:tc>
        <w:tc>
          <w:tcPr>
            <w:tcW w:w="6120" w:type="dxa"/>
            <w:hideMark/>
          </w:tcPr>
          <w:p>
            <w:pPr>
              <w:spacing w:before="40" w:after="4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Administrative simplification and modernisation are taken into consideration in the rolling work programme of ISA</w:t>
            </w:r>
            <w:r>
              <w:rPr>
                <w:rFonts w:eastAsiaTheme="minorHAnsi"/>
                <w:noProof/>
                <w:sz w:val="22"/>
                <w:vertAlign w:val="superscript"/>
              </w:rPr>
              <w:t>2</w:t>
            </w:r>
            <w:r>
              <w:rPr>
                <w:rFonts w:eastAsiaTheme="minorHAnsi"/>
                <w:noProof/>
                <w:sz w:val="22"/>
              </w:rPr>
              <w:t xml:space="preserve"> under the section ‘main impact list’. The detailed list of expected impacts for each action indicates the extent to which the proposed actions contribute to this aspect.</w:t>
            </w:r>
          </w:p>
        </w:tc>
      </w:tr>
      <w:tr>
        <w:trPr>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Transparency</w:t>
            </w:r>
          </w:p>
        </w:tc>
        <w:tc>
          <w:tcPr>
            <w:tcW w:w="6120" w:type="dxa"/>
            <w:hideMark/>
          </w:tcPr>
          <w:p>
            <w:pPr>
              <w:spacing w:before="40" w:after="40"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Various channels ensure the transparency of ISA</w:t>
            </w:r>
            <w:r>
              <w:rPr>
                <w:rFonts w:eastAsiaTheme="minorHAnsi"/>
                <w:noProof/>
                <w:sz w:val="22"/>
                <w:vertAlign w:val="superscript"/>
              </w:rPr>
              <w:t>2</w:t>
            </w:r>
            <w:r>
              <w:rPr>
                <w:rFonts w:eastAsiaTheme="minorHAnsi"/>
                <w:noProof/>
                <w:sz w:val="22"/>
              </w:rPr>
              <w:t xml:space="preserve"> actions. These include: i) the rolling work programme that provides an overview of each action’s objectives, planned and developed solutions, expected impacts, and budget; ii) the ISA</w:t>
            </w:r>
            <w:r>
              <w:rPr>
                <w:rFonts w:eastAsiaTheme="minorHAnsi"/>
                <w:noProof/>
                <w:sz w:val="22"/>
                <w:vertAlign w:val="superscript"/>
              </w:rPr>
              <w:t>2</w:t>
            </w:r>
            <w:r>
              <w:rPr>
                <w:rFonts w:eastAsiaTheme="minorHAnsi"/>
                <w:noProof/>
                <w:sz w:val="22"/>
              </w:rPr>
              <w:t xml:space="preserve"> Dashboard that provides quarterly updates on the efficiency and effectiveness of actions, in terms of costs, earned value management, effectiveness indicators and targets; iii) a specific ISA</w:t>
            </w:r>
            <w:r>
              <w:rPr>
                <w:rFonts w:eastAsiaTheme="minorHAnsi"/>
                <w:noProof/>
                <w:sz w:val="22"/>
                <w:vertAlign w:val="superscript"/>
              </w:rPr>
              <w:t>2</w:t>
            </w:r>
            <w:r>
              <w:rPr>
                <w:rFonts w:eastAsiaTheme="minorHAnsi"/>
                <w:noProof/>
                <w:sz w:val="22"/>
              </w:rPr>
              <w:t xml:space="preserve"> webpage with information on the level of take-up of solutions; and iv) the Joinup platform where developed solutions can be accessed. </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Preservation of information</w:t>
            </w:r>
          </w:p>
        </w:tc>
        <w:tc>
          <w:tcPr>
            <w:tcW w:w="6120" w:type="dxa"/>
            <w:hideMark/>
          </w:tcPr>
          <w:p>
            <w:pPr>
              <w:spacing w:before="40" w:after="4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The ‘Library’ section of the ISA</w:t>
            </w:r>
            <w:r>
              <w:rPr>
                <w:rFonts w:eastAsiaTheme="minorHAnsi"/>
                <w:noProof/>
                <w:sz w:val="22"/>
                <w:vertAlign w:val="superscript"/>
              </w:rPr>
              <w:t>2</w:t>
            </w:r>
            <w:r>
              <w:rPr>
                <w:rFonts w:eastAsiaTheme="minorHAnsi"/>
                <w:noProof/>
                <w:sz w:val="22"/>
              </w:rPr>
              <w:t xml:space="preserve"> website preserves information about ISA</w:t>
            </w:r>
            <w:r>
              <w:rPr>
                <w:rFonts w:eastAsiaTheme="minorHAnsi"/>
                <w:noProof/>
                <w:sz w:val="22"/>
                <w:vertAlign w:val="superscript"/>
              </w:rPr>
              <w:t>2</w:t>
            </w:r>
            <w:r>
              <w:rPr>
                <w:rFonts w:eastAsiaTheme="minorHAnsi"/>
                <w:noProof/>
                <w:sz w:val="22"/>
              </w:rPr>
              <w:t xml:space="preserve"> in various formats including presentations, videos, publications, infographics, posters, leaflets, training course materials, press releases, articles, ISA</w:t>
            </w:r>
            <w:r>
              <w:rPr>
                <w:rFonts w:eastAsiaTheme="minorHAnsi"/>
                <w:noProof/>
                <w:sz w:val="22"/>
                <w:vertAlign w:val="superscript"/>
              </w:rPr>
              <w:t>2</w:t>
            </w:r>
            <w:r>
              <w:rPr>
                <w:rFonts w:eastAsiaTheme="minorHAnsi"/>
                <w:noProof/>
                <w:sz w:val="22"/>
              </w:rPr>
              <w:t xml:space="preserve"> work programmes, speeches, and official documents. </w:t>
            </w:r>
          </w:p>
        </w:tc>
      </w:tr>
      <w:tr>
        <w:trPr>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Openness</w:t>
            </w:r>
          </w:p>
        </w:tc>
        <w:tc>
          <w:tcPr>
            <w:tcW w:w="6120" w:type="dxa"/>
            <w:hideMark/>
          </w:tcPr>
          <w:p>
            <w:pPr>
              <w:spacing w:before="40" w:after="40"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The publication of ISA</w:t>
            </w:r>
            <w:r>
              <w:rPr>
                <w:rFonts w:eastAsiaTheme="minorHAnsi"/>
                <w:noProof/>
                <w:sz w:val="22"/>
                <w:vertAlign w:val="superscript"/>
              </w:rPr>
              <w:t>2</w:t>
            </w:r>
            <w:r>
              <w:rPr>
                <w:rFonts w:eastAsiaTheme="minorHAnsi"/>
                <w:noProof/>
                <w:sz w:val="22"/>
              </w:rPr>
              <w:t xml:space="preserve"> solutions on Joinup ensures that solutions are openly available for (potential) users.</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Re-usability and avoidance of duplication</w:t>
            </w:r>
          </w:p>
        </w:tc>
        <w:tc>
          <w:tcPr>
            <w:tcW w:w="6120" w:type="dxa"/>
            <w:hideMark/>
          </w:tcPr>
          <w:p>
            <w:pPr>
              <w:spacing w:before="40" w:after="4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As part of the proposal process for actions to be included in the rolling work programme, the descriptions of proposed actions specify (i) the extent to which the action proposed reuses other readily available solutions and (ii) the reusability of the action outputs.</w:t>
            </w:r>
          </w:p>
        </w:tc>
      </w:tr>
      <w:tr>
        <w:trPr>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Technological neutrality, solutions which, insofar as possible, are future-proof, and adaptability</w:t>
            </w:r>
          </w:p>
        </w:tc>
        <w:tc>
          <w:tcPr>
            <w:tcW w:w="6120" w:type="dxa"/>
            <w:hideMark/>
          </w:tcPr>
          <w:p>
            <w:pPr>
              <w:spacing w:before="40" w:after="40" w:line="276" w:lineRule="auto"/>
              <w:jc w:val="both"/>
              <w:cnfStyle w:val="000000000000" w:firstRow="0" w:lastRow="0" w:firstColumn="0" w:lastColumn="0" w:oddVBand="0" w:evenVBand="0" w:oddHBand="0" w:evenHBand="0" w:firstRowFirstColumn="0" w:firstRowLastColumn="0" w:lastRowFirstColumn="0" w:lastRowLastColumn="0"/>
              <w:rPr>
                <w:rFonts w:eastAsiaTheme="minorHAnsi"/>
                <w:noProof/>
                <w:sz w:val="22"/>
              </w:rPr>
            </w:pPr>
            <w:r>
              <w:rPr>
                <w:rFonts w:eastAsiaTheme="minorHAnsi"/>
                <w:noProof/>
                <w:sz w:val="22"/>
              </w:rPr>
              <w:t>The rolling work programme’s section on ‘Contribution to the interoperability landscape’ describes, among others, the contributions made by actions to the European Interoperability Framework, aspects of which include technological neutrality, future-proof solutions and adaptability. As such, this principle is already taken into account in the proposal phase.</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5" w:type="dxa"/>
            <w:hideMark/>
          </w:tcPr>
          <w:p>
            <w:pPr>
              <w:spacing w:before="40" w:after="40" w:line="276" w:lineRule="auto"/>
              <w:rPr>
                <w:rFonts w:eastAsiaTheme="minorHAnsi"/>
                <w:noProof/>
                <w:sz w:val="22"/>
              </w:rPr>
            </w:pPr>
            <w:r>
              <w:rPr>
                <w:rFonts w:eastAsiaTheme="minorHAnsi"/>
                <w:noProof/>
                <w:sz w:val="22"/>
              </w:rPr>
              <w:t>Effectiveness and efficiency</w:t>
            </w:r>
          </w:p>
        </w:tc>
        <w:tc>
          <w:tcPr>
            <w:tcW w:w="6120" w:type="dxa"/>
            <w:hideMark/>
          </w:tcPr>
          <w:p>
            <w:pPr>
              <w:spacing w:before="40" w:after="4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noProof/>
                <w:sz w:val="22"/>
              </w:rPr>
            </w:pPr>
            <w:r>
              <w:rPr>
                <w:rFonts w:eastAsiaTheme="minorHAnsi"/>
                <w:noProof/>
                <w:sz w:val="22"/>
              </w:rPr>
              <w:t>The ISA</w:t>
            </w:r>
            <w:r>
              <w:rPr>
                <w:rFonts w:eastAsiaTheme="minorHAnsi"/>
                <w:noProof/>
                <w:sz w:val="22"/>
                <w:vertAlign w:val="superscript"/>
              </w:rPr>
              <w:t>2</w:t>
            </w:r>
            <w:r>
              <w:rPr>
                <w:rFonts w:eastAsiaTheme="minorHAnsi"/>
                <w:noProof/>
                <w:sz w:val="22"/>
              </w:rPr>
              <w:t xml:space="preserve"> Dashboard provides quarterly data on the efficiency and effectiveness of actions. The historic data can be accessed together with the most recent data available.</w:t>
            </w:r>
          </w:p>
        </w:tc>
      </w:tr>
    </w:tbl>
    <w:p>
      <w:pPr>
        <w:spacing w:line="240" w:lineRule="auto"/>
        <w:jc w:val="both"/>
        <w:rPr>
          <w:rFonts w:cs="Times New Roman"/>
          <w:i/>
          <w:noProof/>
          <w:sz w:val="20"/>
          <w:szCs w:val="20"/>
          <w:highlight w:val="yellow"/>
          <w:lang w:val="en-IE"/>
        </w:rPr>
      </w:pPr>
      <w:r>
        <w:rPr>
          <w:rFonts w:cs="Times New Roman"/>
          <w:i/>
          <w:noProof/>
          <w:sz w:val="20"/>
          <w:szCs w:val="20"/>
          <w:lang w:val="en-IE"/>
        </w:rPr>
        <w:t xml:space="preserve">Source: </w:t>
      </w:r>
      <w:hyperlink r:id="rId264" w:history="1">
        <w:r>
          <w:rPr>
            <w:rStyle w:val="Hyperlink"/>
            <w:rFonts w:cs="Times New Roman"/>
            <w:i/>
            <w:noProof/>
            <w:sz w:val="20"/>
            <w:lang w:val="en-IE"/>
          </w:rPr>
          <w:t>CEPS final study</w:t>
        </w:r>
      </w:hyperlink>
    </w:p>
    <w:p>
      <w:pPr>
        <w:pStyle w:val="Note"/>
        <w:jc w:val="both"/>
        <w:rPr>
          <w:rFonts w:ascii="Times New Roman" w:hAnsi="Times New Roman"/>
          <w:noProof/>
        </w:rPr>
        <w:sectPr>
          <w:headerReference w:type="even" r:id="rId265"/>
          <w:headerReference w:type="default" r:id="rId266"/>
          <w:footerReference w:type="even" r:id="rId267"/>
          <w:footerReference w:type="default" r:id="rId268"/>
          <w:headerReference w:type="first" r:id="rId269"/>
          <w:footerReference w:type="first" r:id="rId270"/>
          <w:pgSz w:w="11906" w:h="16838"/>
          <w:pgMar w:top="1020" w:right="1701" w:bottom="1020" w:left="1587" w:header="601" w:footer="1077" w:gutter="0"/>
          <w:cols w:space="720"/>
          <w:titlePg/>
          <w:docGrid w:linePitch="326"/>
        </w:sectPr>
      </w:pPr>
    </w:p>
    <w:p>
      <w:pPr>
        <w:pStyle w:val="Heading3"/>
        <w:rPr>
          <w:noProof/>
          <w:lang w:val="en-GB"/>
        </w:rPr>
      </w:pPr>
      <w:r>
        <w:rPr>
          <w:noProof/>
          <w:lang w:val="en-GB"/>
        </w:rPr>
        <w:t>Efficiency</w:t>
      </w:r>
    </w:p>
    <w:p>
      <w:pPr>
        <w:shd w:val="clear" w:color="auto" w:fill="C6D9F1" w:themeFill="text2" w:themeFillTint="33"/>
        <w:rPr>
          <w:rFonts w:cs="Times New Roman"/>
          <w:noProof/>
          <w:lang w:val="en-GB" w:eastAsia="it-IT"/>
        </w:rPr>
      </w:pPr>
      <w:r>
        <w:rPr>
          <w:rFonts w:cs="Times New Roman"/>
          <w:noProof/>
          <w:lang w:val="en-GB"/>
        </w:rPr>
        <w:t>EQ4</w:t>
      </w:r>
      <w:r>
        <w:rPr>
          <w:rFonts w:cs="Times New Roman"/>
          <w:noProof/>
          <w:lang w:val="en-GB" w:eastAsia="it-IT"/>
        </w:rPr>
        <w:t>: To what extent has the programme been cost-effective?</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16</w:t>
      </w:r>
      <w:r>
        <w:rPr>
          <w:rFonts w:cs="Times New Roman"/>
          <w:noProof/>
        </w:rPr>
        <w:fldChar w:fldCharType="end"/>
      </w:r>
      <w:r>
        <w:rPr>
          <w:rFonts w:cs="Times New Roman"/>
          <w:noProof/>
        </w:rPr>
        <w:t>: Labour costs per hour in euro, services in 2017</w:t>
      </w:r>
    </w:p>
    <w:tbl>
      <w:tblPr>
        <w:tblStyle w:val="GridTable5Dark-Accent11"/>
        <w:tblW w:w="8897" w:type="dxa"/>
        <w:tblLook w:val="0420" w:firstRow="1" w:lastRow="0" w:firstColumn="0" w:lastColumn="0" w:noHBand="0" w:noVBand="1"/>
      </w:tblPr>
      <w:tblGrid>
        <w:gridCol w:w="4726"/>
        <w:gridCol w:w="4171"/>
      </w:tblGrid>
      <w:tr>
        <w:trPr>
          <w:cnfStyle w:val="100000000000" w:firstRow="1" w:lastRow="0" w:firstColumn="0" w:lastColumn="0" w:oddVBand="0" w:evenVBand="0" w:oddHBand="0" w:evenHBand="0" w:firstRowFirstColumn="0" w:firstRowLastColumn="0" w:lastRowFirstColumn="0" w:lastRowLastColumn="0"/>
          <w:trHeight w:val="144"/>
          <w:tblHeader/>
        </w:trPr>
        <w:tc>
          <w:tcPr>
            <w:tcW w:w="4726" w:type="dxa"/>
            <w:noWrap/>
            <w:hideMark/>
          </w:tcPr>
          <w:p>
            <w:pPr>
              <w:spacing w:before="20" w:after="20"/>
              <w:jc w:val="center"/>
              <w:rPr>
                <w:b w:val="0"/>
                <w:bCs w:val="0"/>
                <w:noProof/>
                <w:sz w:val="22"/>
              </w:rPr>
            </w:pPr>
            <w:r>
              <w:rPr>
                <w:noProof/>
                <w:sz w:val="22"/>
              </w:rPr>
              <w:t>Country</w:t>
            </w:r>
          </w:p>
        </w:tc>
        <w:tc>
          <w:tcPr>
            <w:tcW w:w="4171" w:type="dxa"/>
            <w:hideMark/>
          </w:tcPr>
          <w:p>
            <w:pPr>
              <w:spacing w:before="20" w:after="20"/>
              <w:jc w:val="center"/>
              <w:rPr>
                <w:b w:val="0"/>
                <w:bCs w:val="0"/>
                <w:noProof/>
                <w:sz w:val="22"/>
              </w:rPr>
            </w:pPr>
            <w:r>
              <w:rPr>
                <w:noProof/>
                <w:sz w:val="22"/>
              </w:rPr>
              <w:t>€/h</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20" w:after="20"/>
              <w:rPr>
                <w:b/>
                <w:bCs/>
                <w:noProof/>
                <w:color w:val="000000"/>
                <w:sz w:val="22"/>
              </w:rPr>
            </w:pPr>
            <w:r>
              <w:rPr>
                <w:b/>
                <w:noProof/>
                <w:sz w:val="22"/>
              </w:rPr>
              <w:t>Belgium</w:t>
            </w:r>
          </w:p>
        </w:tc>
        <w:tc>
          <w:tcPr>
            <w:tcW w:w="4171" w:type="dxa"/>
            <w:noWrap/>
            <w:hideMark/>
          </w:tcPr>
          <w:p>
            <w:pPr>
              <w:spacing w:before="20" w:after="20"/>
              <w:jc w:val="center"/>
              <w:rPr>
                <w:noProof/>
                <w:color w:val="000000"/>
                <w:sz w:val="22"/>
              </w:rPr>
            </w:pPr>
            <w:r>
              <w:rPr>
                <w:noProof/>
                <w:sz w:val="22"/>
              </w:rPr>
              <w:t>41.1</w:t>
            </w:r>
          </w:p>
        </w:tc>
      </w:tr>
      <w:tr>
        <w:trPr>
          <w:trHeight w:val="20"/>
        </w:trPr>
        <w:tc>
          <w:tcPr>
            <w:tcW w:w="4726" w:type="dxa"/>
            <w:hideMark/>
          </w:tcPr>
          <w:p>
            <w:pPr>
              <w:spacing w:before="20" w:after="20"/>
              <w:rPr>
                <w:b/>
                <w:bCs/>
                <w:noProof/>
                <w:color w:val="000000"/>
                <w:sz w:val="22"/>
              </w:rPr>
            </w:pPr>
            <w:r>
              <w:rPr>
                <w:b/>
                <w:noProof/>
                <w:sz w:val="22"/>
              </w:rPr>
              <w:t>Bulgaria</w:t>
            </w:r>
          </w:p>
        </w:tc>
        <w:tc>
          <w:tcPr>
            <w:tcW w:w="4171" w:type="dxa"/>
            <w:noWrap/>
            <w:hideMark/>
          </w:tcPr>
          <w:p>
            <w:pPr>
              <w:spacing w:before="20" w:after="20"/>
              <w:jc w:val="center"/>
              <w:rPr>
                <w:noProof/>
                <w:color w:val="000000"/>
                <w:sz w:val="22"/>
              </w:rPr>
            </w:pPr>
            <w:r>
              <w:rPr>
                <w:noProof/>
                <w:sz w:val="22"/>
              </w:rPr>
              <w:t>5.2</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20" w:after="20"/>
              <w:rPr>
                <w:b/>
                <w:bCs/>
                <w:noProof/>
                <w:color w:val="000000"/>
                <w:sz w:val="22"/>
              </w:rPr>
            </w:pPr>
            <w:r>
              <w:rPr>
                <w:b/>
                <w:noProof/>
                <w:sz w:val="22"/>
              </w:rPr>
              <w:t>Czech Republic</w:t>
            </w:r>
          </w:p>
        </w:tc>
        <w:tc>
          <w:tcPr>
            <w:tcW w:w="4171" w:type="dxa"/>
            <w:noWrap/>
            <w:hideMark/>
          </w:tcPr>
          <w:p>
            <w:pPr>
              <w:spacing w:before="20" w:after="20"/>
              <w:jc w:val="center"/>
              <w:rPr>
                <w:noProof/>
                <w:color w:val="000000"/>
                <w:sz w:val="22"/>
              </w:rPr>
            </w:pPr>
            <w:r>
              <w:rPr>
                <w:noProof/>
                <w:sz w:val="22"/>
              </w:rPr>
              <w:t>11.5</w:t>
            </w:r>
          </w:p>
        </w:tc>
      </w:tr>
      <w:tr>
        <w:trPr>
          <w:trHeight w:val="20"/>
        </w:trPr>
        <w:tc>
          <w:tcPr>
            <w:tcW w:w="4726" w:type="dxa"/>
            <w:hideMark/>
          </w:tcPr>
          <w:p>
            <w:pPr>
              <w:spacing w:before="20" w:after="20"/>
              <w:rPr>
                <w:b/>
                <w:bCs/>
                <w:noProof/>
                <w:color w:val="000000"/>
                <w:sz w:val="22"/>
              </w:rPr>
            </w:pPr>
            <w:r>
              <w:rPr>
                <w:b/>
                <w:noProof/>
                <w:sz w:val="22"/>
              </w:rPr>
              <w:t>Denmark</w:t>
            </w:r>
          </w:p>
        </w:tc>
        <w:tc>
          <w:tcPr>
            <w:tcW w:w="4171" w:type="dxa"/>
            <w:noWrap/>
            <w:hideMark/>
          </w:tcPr>
          <w:p>
            <w:pPr>
              <w:spacing w:before="20" w:after="20"/>
              <w:jc w:val="center"/>
              <w:rPr>
                <w:noProof/>
                <w:color w:val="000000"/>
                <w:sz w:val="22"/>
              </w:rPr>
            </w:pPr>
            <w:r>
              <w:rPr>
                <w:noProof/>
                <w:sz w:val="22"/>
              </w:rPr>
              <w:t>43.8</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20" w:after="20"/>
              <w:rPr>
                <w:b/>
                <w:bCs/>
                <w:noProof/>
                <w:color w:val="000000"/>
                <w:sz w:val="22"/>
              </w:rPr>
            </w:pPr>
            <w:r>
              <w:rPr>
                <w:b/>
                <w:noProof/>
                <w:sz w:val="22"/>
              </w:rPr>
              <w:t xml:space="preserve">Germany </w:t>
            </w:r>
          </w:p>
        </w:tc>
        <w:tc>
          <w:tcPr>
            <w:tcW w:w="4171" w:type="dxa"/>
            <w:noWrap/>
            <w:hideMark/>
          </w:tcPr>
          <w:p>
            <w:pPr>
              <w:spacing w:before="20" w:after="20"/>
              <w:jc w:val="center"/>
              <w:rPr>
                <w:noProof/>
                <w:color w:val="000000"/>
                <w:sz w:val="22"/>
              </w:rPr>
            </w:pPr>
            <w:r>
              <w:rPr>
                <w:noProof/>
                <w:sz w:val="22"/>
              </w:rPr>
              <w:t>31.5</w:t>
            </w:r>
          </w:p>
        </w:tc>
      </w:tr>
      <w:tr>
        <w:trPr>
          <w:trHeight w:val="20"/>
        </w:trPr>
        <w:tc>
          <w:tcPr>
            <w:tcW w:w="4726" w:type="dxa"/>
            <w:hideMark/>
          </w:tcPr>
          <w:p>
            <w:pPr>
              <w:spacing w:before="20" w:after="20"/>
              <w:rPr>
                <w:b/>
                <w:bCs/>
                <w:noProof/>
                <w:color w:val="000000"/>
                <w:sz w:val="22"/>
              </w:rPr>
            </w:pPr>
            <w:r>
              <w:rPr>
                <w:b/>
                <w:noProof/>
                <w:sz w:val="22"/>
              </w:rPr>
              <w:t>Estonia</w:t>
            </w:r>
          </w:p>
        </w:tc>
        <w:tc>
          <w:tcPr>
            <w:tcW w:w="4171" w:type="dxa"/>
            <w:noWrap/>
            <w:hideMark/>
          </w:tcPr>
          <w:p>
            <w:pPr>
              <w:spacing w:before="20" w:after="20"/>
              <w:jc w:val="center"/>
              <w:rPr>
                <w:noProof/>
                <w:color w:val="000000"/>
                <w:sz w:val="22"/>
              </w:rPr>
            </w:pPr>
            <w:r>
              <w:rPr>
                <w:noProof/>
                <w:sz w:val="22"/>
              </w:rPr>
              <w:t>12.5</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Ireland</w:t>
            </w:r>
          </w:p>
        </w:tc>
        <w:tc>
          <w:tcPr>
            <w:tcW w:w="4171" w:type="dxa"/>
            <w:noWrap/>
          </w:tcPr>
          <w:p>
            <w:pPr>
              <w:spacing w:before="20" w:after="20"/>
              <w:jc w:val="center"/>
              <w:rPr>
                <w:noProof/>
                <w:color w:val="000000"/>
                <w:sz w:val="22"/>
              </w:rPr>
            </w:pPr>
            <w:r>
              <w:rPr>
                <w:noProof/>
                <w:sz w:val="22"/>
              </w:rPr>
              <w:t>28.9</w:t>
            </w:r>
          </w:p>
        </w:tc>
      </w:tr>
      <w:tr>
        <w:trPr>
          <w:trHeight w:val="20"/>
        </w:trPr>
        <w:tc>
          <w:tcPr>
            <w:tcW w:w="4726" w:type="dxa"/>
          </w:tcPr>
          <w:p>
            <w:pPr>
              <w:spacing w:before="20" w:after="20"/>
              <w:rPr>
                <w:b/>
                <w:noProof/>
                <w:color w:val="000000"/>
                <w:sz w:val="22"/>
              </w:rPr>
            </w:pPr>
            <w:r>
              <w:rPr>
                <w:b/>
                <w:noProof/>
                <w:sz w:val="22"/>
              </w:rPr>
              <w:t>Greece</w:t>
            </w:r>
          </w:p>
        </w:tc>
        <w:tc>
          <w:tcPr>
            <w:tcW w:w="4171" w:type="dxa"/>
            <w:noWrap/>
          </w:tcPr>
          <w:p>
            <w:pPr>
              <w:spacing w:before="20" w:after="20"/>
              <w:jc w:val="center"/>
              <w:rPr>
                <w:noProof/>
                <w:color w:val="000000"/>
                <w:sz w:val="22"/>
              </w:rPr>
            </w:pPr>
            <w:r>
              <w:rPr>
                <w:noProof/>
                <w:sz w:val="22"/>
              </w:rPr>
              <w:t>14.3</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Spain</w:t>
            </w:r>
          </w:p>
        </w:tc>
        <w:tc>
          <w:tcPr>
            <w:tcW w:w="4171" w:type="dxa"/>
            <w:noWrap/>
          </w:tcPr>
          <w:p>
            <w:pPr>
              <w:spacing w:before="20" w:after="20"/>
              <w:jc w:val="center"/>
              <w:rPr>
                <w:noProof/>
                <w:color w:val="000000"/>
                <w:sz w:val="22"/>
              </w:rPr>
            </w:pPr>
            <w:r>
              <w:rPr>
                <w:noProof/>
                <w:sz w:val="22"/>
              </w:rPr>
              <w:t>20.0</w:t>
            </w:r>
          </w:p>
        </w:tc>
      </w:tr>
      <w:tr>
        <w:trPr>
          <w:trHeight w:val="20"/>
        </w:trPr>
        <w:tc>
          <w:tcPr>
            <w:tcW w:w="4726" w:type="dxa"/>
          </w:tcPr>
          <w:p>
            <w:pPr>
              <w:spacing w:before="20" w:after="20"/>
              <w:rPr>
                <w:b/>
                <w:noProof/>
                <w:color w:val="000000"/>
                <w:sz w:val="22"/>
              </w:rPr>
            </w:pPr>
            <w:r>
              <w:rPr>
                <w:b/>
                <w:noProof/>
                <w:sz w:val="22"/>
              </w:rPr>
              <w:t>France</w:t>
            </w:r>
          </w:p>
        </w:tc>
        <w:tc>
          <w:tcPr>
            <w:tcW w:w="4171" w:type="dxa"/>
            <w:noWrap/>
          </w:tcPr>
          <w:p>
            <w:pPr>
              <w:spacing w:before="20" w:after="20"/>
              <w:jc w:val="center"/>
              <w:rPr>
                <w:noProof/>
                <w:color w:val="000000"/>
                <w:sz w:val="22"/>
              </w:rPr>
            </w:pPr>
            <w:r>
              <w:rPr>
                <w:noProof/>
                <w:sz w:val="22"/>
              </w:rPr>
              <w:t>36.4</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Croatia</w:t>
            </w:r>
          </w:p>
        </w:tc>
        <w:tc>
          <w:tcPr>
            <w:tcW w:w="4171" w:type="dxa"/>
            <w:noWrap/>
          </w:tcPr>
          <w:p>
            <w:pPr>
              <w:spacing w:before="20" w:after="20"/>
              <w:jc w:val="center"/>
              <w:rPr>
                <w:noProof/>
                <w:color w:val="000000"/>
                <w:sz w:val="22"/>
              </w:rPr>
            </w:pPr>
            <w:r>
              <w:rPr>
                <w:noProof/>
                <w:sz w:val="22"/>
              </w:rPr>
              <w:t>11.4</w:t>
            </w:r>
          </w:p>
        </w:tc>
      </w:tr>
      <w:tr>
        <w:trPr>
          <w:trHeight w:val="20"/>
        </w:trPr>
        <w:tc>
          <w:tcPr>
            <w:tcW w:w="4726" w:type="dxa"/>
          </w:tcPr>
          <w:p>
            <w:pPr>
              <w:spacing w:before="20" w:after="20"/>
              <w:rPr>
                <w:b/>
                <w:noProof/>
                <w:color w:val="000000"/>
                <w:sz w:val="22"/>
              </w:rPr>
            </w:pPr>
            <w:r>
              <w:rPr>
                <w:b/>
                <w:noProof/>
                <w:sz w:val="22"/>
              </w:rPr>
              <w:t>Italy</w:t>
            </w:r>
          </w:p>
        </w:tc>
        <w:tc>
          <w:tcPr>
            <w:tcW w:w="4171" w:type="dxa"/>
            <w:noWrap/>
          </w:tcPr>
          <w:p>
            <w:pPr>
              <w:spacing w:before="20" w:after="20"/>
              <w:jc w:val="center"/>
              <w:rPr>
                <w:noProof/>
                <w:color w:val="000000"/>
                <w:sz w:val="22"/>
              </w:rPr>
            </w:pPr>
            <w:r>
              <w:rPr>
                <w:noProof/>
                <w:sz w:val="22"/>
              </w:rPr>
              <w:t>27.4</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Cyprus</w:t>
            </w:r>
          </w:p>
        </w:tc>
        <w:tc>
          <w:tcPr>
            <w:tcW w:w="4171" w:type="dxa"/>
            <w:noWrap/>
          </w:tcPr>
          <w:p>
            <w:pPr>
              <w:spacing w:before="20" w:after="20"/>
              <w:jc w:val="center"/>
              <w:rPr>
                <w:noProof/>
                <w:color w:val="000000"/>
                <w:sz w:val="22"/>
              </w:rPr>
            </w:pPr>
            <w:r>
              <w:rPr>
                <w:noProof/>
                <w:sz w:val="22"/>
              </w:rPr>
              <w:t>16.5</w:t>
            </w:r>
          </w:p>
        </w:tc>
      </w:tr>
      <w:tr>
        <w:trPr>
          <w:trHeight w:val="20"/>
        </w:trPr>
        <w:tc>
          <w:tcPr>
            <w:tcW w:w="4726" w:type="dxa"/>
          </w:tcPr>
          <w:p>
            <w:pPr>
              <w:spacing w:before="20" w:after="20"/>
              <w:rPr>
                <w:b/>
                <w:noProof/>
                <w:color w:val="000000"/>
                <w:sz w:val="22"/>
              </w:rPr>
            </w:pPr>
            <w:r>
              <w:rPr>
                <w:b/>
                <w:noProof/>
                <w:sz w:val="22"/>
              </w:rPr>
              <w:t>Latvia</w:t>
            </w:r>
          </w:p>
        </w:tc>
        <w:tc>
          <w:tcPr>
            <w:tcW w:w="4171" w:type="dxa"/>
            <w:noWrap/>
          </w:tcPr>
          <w:p>
            <w:pPr>
              <w:spacing w:before="20" w:after="20"/>
              <w:jc w:val="center"/>
              <w:rPr>
                <w:noProof/>
                <w:color w:val="000000"/>
                <w:sz w:val="22"/>
              </w:rPr>
            </w:pPr>
            <w:r>
              <w:rPr>
                <w:noProof/>
                <w:sz w:val="22"/>
              </w:rPr>
              <w:t>8.8</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Lithuania</w:t>
            </w:r>
          </w:p>
        </w:tc>
        <w:tc>
          <w:tcPr>
            <w:tcW w:w="4171" w:type="dxa"/>
            <w:noWrap/>
          </w:tcPr>
          <w:p>
            <w:pPr>
              <w:spacing w:before="20" w:after="20"/>
              <w:jc w:val="center"/>
              <w:rPr>
                <w:noProof/>
                <w:color w:val="000000"/>
                <w:sz w:val="22"/>
              </w:rPr>
            </w:pPr>
            <w:r>
              <w:rPr>
                <w:noProof/>
                <w:sz w:val="22"/>
              </w:rPr>
              <w:t>8.5</w:t>
            </w:r>
          </w:p>
        </w:tc>
      </w:tr>
      <w:tr>
        <w:trPr>
          <w:trHeight w:val="20"/>
        </w:trPr>
        <w:tc>
          <w:tcPr>
            <w:tcW w:w="4726" w:type="dxa"/>
          </w:tcPr>
          <w:p>
            <w:pPr>
              <w:spacing w:before="20" w:after="20"/>
              <w:rPr>
                <w:b/>
                <w:noProof/>
                <w:color w:val="000000"/>
                <w:sz w:val="22"/>
              </w:rPr>
            </w:pPr>
            <w:r>
              <w:rPr>
                <w:b/>
                <w:noProof/>
                <w:sz w:val="22"/>
              </w:rPr>
              <w:t>Luxembourg</w:t>
            </w:r>
          </w:p>
        </w:tc>
        <w:tc>
          <w:tcPr>
            <w:tcW w:w="4171" w:type="dxa"/>
            <w:noWrap/>
          </w:tcPr>
          <w:p>
            <w:pPr>
              <w:spacing w:before="20" w:after="20"/>
              <w:jc w:val="center"/>
              <w:rPr>
                <w:noProof/>
                <w:color w:val="000000"/>
                <w:sz w:val="22"/>
              </w:rPr>
            </w:pPr>
            <w:r>
              <w:rPr>
                <w:noProof/>
                <w:sz w:val="22"/>
              </w:rPr>
              <w:t>40.6</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Hungary</w:t>
            </w:r>
          </w:p>
        </w:tc>
        <w:tc>
          <w:tcPr>
            <w:tcW w:w="4171" w:type="dxa"/>
            <w:noWrap/>
          </w:tcPr>
          <w:p>
            <w:pPr>
              <w:spacing w:before="20" w:after="20"/>
              <w:jc w:val="center"/>
              <w:rPr>
                <w:noProof/>
                <w:color w:val="000000"/>
                <w:sz w:val="22"/>
              </w:rPr>
            </w:pPr>
            <w:r>
              <w:rPr>
                <w:noProof/>
                <w:sz w:val="22"/>
              </w:rPr>
              <w:t>9.3</w:t>
            </w:r>
          </w:p>
        </w:tc>
      </w:tr>
      <w:tr>
        <w:trPr>
          <w:trHeight w:val="20"/>
        </w:trPr>
        <w:tc>
          <w:tcPr>
            <w:tcW w:w="4726" w:type="dxa"/>
          </w:tcPr>
          <w:p>
            <w:pPr>
              <w:spacing w:before="20" w:after="20"/>
              <w:rPr>
                <w:b/>
                <w:noProof/>
                <w:color w:val="000000"/>
                <w:sz w:val="22"/>
              </w:rPr>
            </w:pPr>
            <w:r>
              <w:rPr>
                <w:b/>
                <w:noProof/>
                <w:sz w:val="22"/>
              </w:rPr>
              <w:t>Malta</w:t>
            </w:r>
          </w:p>
        </w:tc>
        <w:tc>
          <w:tcPr>
            <w:tcW w:w="4171" w:type="dxa"/>
            <w:noWrap/>
          </w:tcPr>
          <w:p>
            <w:pPr>
              <w:spacing w:before="20" w:after="20"/>
              <w:jc w:val="center"/>
              <w:rPr>
                <w:noProof/>
                <w:color w:val="000000"/>
                <w:sz w:val="22"/>
              </w:rPr>
            </w:pPr>
            <w:r>
              <w:rPr>
                <w:noProof/>
                <w:sz w:val="22"/>
              </w:rPr>
              <w:t>13.5</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Netherlands</w:t>
            </w:r>
          </w:p>
        </w:tc>
        <w:tc>
          <w:tcPr>
            <w:tcW w:w="4171" w:type="dxa"/>
            <w:noWrap/>
          </w:tcPr>
          <w:p>
            <w:pPr>
              <w:spacing w:before="20" w:after="20"/>
              <w:jc w:val="center"/>
              <w:rPr>
                <w:noProof/>
                <w:color w:val="000000"/>
                <w:sz w:val="22"/>
              </w:rPr>
            </w:pPr>
            <w:r>
              <w:rPr>
                <w:noProof/>
                <w:sz w:val="22"/>
              </w:rPr>
              <w:t>32.9</w:t>
            </w:r>
          </w:p>
        </w:tc>
      </w:tr>
      <w:tr>
        <w:trPr>
          <w:trHeight w:val="20"/>
        </w:trPr>
        <w:tc>
          <w:tcPr>
            <w:tcW w:w="4726" w:type="dxa"/>
          </w:tcPr>
          <w:p>
            <w:pPr>
              <w:spacing w:before="20" w:after="20"/>
              <w:rPr>
                <w:b/>
                <w:noProof/>
                <w:color w:val="000000"/>
                <w:sz w:val="22"/>
              </w:rPr>
            </w:pPr>
            <w:r>
              <w:rPr>
                <w:b/>
                <w:noProof/>
                <w:sz w:val="22"/>
              </w:rPr>
              <w:t>Austria</w:t>
            </w:r>
          </w:p>
        </w:tc>
        <w:tc>
          <w:tcPr>
            <w:tcW w:w="4171" w:type="dxa"/>
            <w:noWrap/>
          </w:tcPr>
          <w:p>
            <w:pPr>
              <w:spacing w:before="20" w:after="20"/>
              <w:jc w:val="center"/>
              <w:rPr>
                <w:noProof/>
                <w:color w:val="000000"/>
                <w:sz w:val="22"/>
              </w:rPr>
            </w:pPr>
            <w:r>
              <w:rPr>
                <w:noProof/>
                <w:sz w:val="22"/>
              </w:rPr>
              <w:t>33.5</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Poland</w:t>
            </w:r>
          </w:p>
        </w:tc>
        <w:tc>
          <w:tcPr>
            <w:tcW w:w="4171" w:type="dxa"/>
            <w:noWrap/>
          </w:tcPr>
          <w:p>
            <w:pPr>
              <w:spacing w:before="20" w:after="20"/>
              <w:jc w:val="center"/>
              <w:rPr>
                <w:noProof/>
                <w:color w:val="000000"/>
                <w:sz w:val="22"/>
              </w:rPr>
            </w:pPr>
            <w:r>
              <w:rPr>
                <w:noProof/>
                <w:sz w:val="22"/>
              </w:rPr>
              <w:t>9.3</w:t>
            </w:r>
          </w:p>
        </w:tc>
      </w:tr>
      <w:tr>
        <w:trPr>
          <w:trHeight w:val="20"/>
        </w:trPr>
        <w:tc>
          <w:tcPr>
            <w:tcW w:w="4726" w:type="dxa"/>
          </w:tcPr>
          <w:p>
            <w:pPr>
              <w:spacing w:before="20" w:after="20"/>
              <w:rPr>
                <w:b/>
                <w:noProof/>
                <w:color w:val="000000"/>
                <w:sz w:val="22"/>
              </w:rPr>
            </w:pPr>
            <w:r>
              <w:rPr>
                <w:b/>
                <w:noProof/>
                <w:sz w:val="22"/>
              </w:rPr>
              <w:t>Portugal</w:t>
            </w:r>
          </w:p>
        </w:tc>
        <w:tc>
          <w:tcPr>
            <w:tcW w:w="4171" w:type="dxa"/>
            <w:noWrap/>
          </w:tcPr>
          <w:p>
            <w:pPr>
              <w:spacing w:before="20" w:after="20"/>
              <w:jc w:val="center"/>
              <w:rPr>
                <w:noProof/>
                <w:color w:val="000000"/>
                <w:sz w:val="22"/>
              </w:rPr>
            </w:pPr>
            <w:r>
              <w:rPr>
                <w:noProof/>
                <w:sz w:val="22"/>
              </w:rPr>
              <w:t>14.5</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Romania</w:t>
            </w:r>
          </w:p>
        </w:tc>
        <w:tc>
          <w:tcPr>
            <w:tcW w:w="4171" w:type="dxa"/>
            <w:noWrap/>
          </w:tcPr>
          <w:p>
            <w:pPr>
              <w:spacing w:before="20" w:after="20"/>
              <w:jc w:val="center"/>
              <w:rPr>
                <w:noProof/>
                <w:color w:val="000000"/>
                <w:sz w:val="22"/>
              </w:rPr>
            </w:pPr>
            <w:r>
              <w:rPr>
                <w:noProof/>
                <w:sz w:val="22"/>
              </w:rPr>
              <w:t>6.7</w:t>
            </w:r>
          </w:p>
        </w:tc>
      </w:tr>
      <w:tr>
        <w:trPr>
          <w:trHeight w:val="20"/>
        </w:trPr>
        <w:tc>
          <w:tcPr>
            <w:tcW w:w="4726" w:type="dxa"/>
          </w:tcPr>
          <w:p>
            <w:pPr>
              <w:spacing w:before="20" w:after="20"/>
              <w:rPr>
                <w:b/>
                <w:noProof/>
                <w:color w:val="000000"/>
                <w:sz w:val="22"/>
              </w:rPr>
            </w:pPr>
            <w:r>
              <w:rPr>
                <w:b/>
                <w:noProof/>
                <w:sz w:val="22"/>
              </w:rPr>
              <w:t>Slovenia</w:t>
            </w:r>
          </w:p>
        </w:tc>
        <w:tc>
          <w:tcPr>
            <w:tcW w:w="4171" w:type="dxa"/>
            <w:noWrap/>
          </w:tcPr>
          <w:p>
            <w:pPr>
              <w:spacing w:before="20" w:after="20"/>
              <w:jc w:val="center"/>
              <w:rPr>
                <w:noProof/>
                <w:color w:val="000000"/>
                <w:sz w:val="22"/>
              </w:rPr>
            </w:pPr>
            <w:r>
              <w:rPr>
                <w:noProof/>
                <w:sz w:val="22"/>
              </w:rPr>
              <w:t>17.5</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Slovakia</w:t>
            </w:r>
          </w:p>
        </w:tc>
        <w:tc>
          <w:tcPr>
            <w:tcW w:w="4171" w:type="dxa"/>
            <w:noWrap/>
          </w:tcPr>
          <w:p>
            <w:pPr>
              <w:spacing w:before="20" w:after="20"/>
              <w:jc w:val="center"/>
              <w:rPr>
                <w:noProof/>
                <w:color w:val="000000"/>
                <w:sz w:val="22"/>
              </w:rPr>
            </w:pPr>
            <w:r>
              <w:rPr>
                <w:noProof/>
                <w:sz w:val="22"/>
              </w:rPr>
              <w:t>11.4</w:t>
            </w:r>
          </w:p>
        </w:tc>
      </w:tr>
      <w:tr>
        <w:trPr>
          <w:trHeight w:val="20"/>
        </w:trPr>
        <w:tc>
          <w:tcPr>
            <w:tcW w:w="4726" w:type="dxa"/>
          </w:tcPr>
          <w:p>
            <w:pPr>
              <w:spacing w:before="20" w:after="20"/>
              <w:rPr>
                <w:b/>
                <w:noProof/>
                <w:color w:val="000000"/>
                <w:sz w:val="22"/>
              </w:rPr>
            </w:pPr>
            <w:r>
              <w:rPr>
                <w:b/>
                <w:noProof/>
                <w:sz w:val="22"/>
              </w:rPr>
              <w:t>Finland</w:t>
            </w:r>
          </w:p>
        </w:tc>
        <w:tc>
          <w:tcPr>
            <w:tcW w:w="4171" w:type="dxa"/>
            <w:noWrap/>
          </w:tcPr>
          <w:p>
            <w:pPr>
              <w:spacing w:before="20" w:after="20"/>
              <w:jc w:val="center"/>
              <w:rPr>
                <w:noProof/>
                <w:color w:val="000000"/>
                <w:sz w:val="22"/>
              </w:rPr>
            </w:pPr>
            <w:r>
              <w:rPr>
                <w:noProof/>
                <w:sz w:val="22"/>
              </w:rPr>
              <w:t>32.0</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tcPr>
          <w:p>
            <w:pPr>
              <w:spacing w:before="20" w:after="20"/>
              <w:rPr>
                <w:b/>
                <w:noProof/>
                <w:color w:val="000000"/>
                <w:sz w:val="22"/>
              </w:rPr>
            </w:pPr>
            <w:r>
              <w:rPr>
                <w:b/>
                <w:noProof/>
                <w:sz w:val="22"/>
              </w:rPr>
              <w:t>Sweden</w:t>
            </w:r>
          </w:p>
        </w:tc>
        <w:tc>
          <w:tcPr>
            <w:tcW w:w="4171" w:type="dxa"/>
            <w:noWrap/>
          </w:tcPr>
          <w:p>
            <w:pPr>
              <w:spacing w:before="20" w:after="20"/>
              <w:jc w:val="center"/>
              <w:rPr>
                <w:noProof/>
                <w:color w:val="000000"/>
                <w:sz w:val="22"/>
              </w:rPr>
            </w:pPr>
            <w:r>
              <w:rPr>
                <w:noProof/>
                <w:sz w:val="22"/>
              </w:rPr>
              <w:t>40.9</w:t>
            </w:r>
          </w:p>
        </w:tc>
      </w:tr>
      <w:tr>
        <w:trPr>
          <w:trHeight w:val="20"/>
        </w:trPr>
        <w:tc>
          <w:tcPr>
            <w:tcW w:w="4726" w:type="dxa"/>
          </w:tcPr>
          <w:p>
            <w:pPr>
              <w:spacing w:before="20" w:after="20"/>
              <w:rPr>
                <w:b/>
                <w:noProof/>
                <w:color w:val="000000"/>
                <w:sz w:val="22"/>
              </w:rPr>
            </w:pPr>
            <w:r>
              <w:rPr>
                <w:b/>
                <w:noProof/>
                <w:sz w:val="22"/>
              </w:rPr>
              <w:t>United Kingdom</w:t>
            </w:r>
          </w:p>
        </w:tc>
        <w:tc>
          <w:tcPr>
            <w:tcW w:w="4171" w:type="dxa"/>
            <w:noWrap/>
          </w:tcPr>
          <w:p>
            <w:pPr>
              <w:spacing w:before="20" w:after="20"/>
              <w:jc w:val="center"/>
              <w:rPr>
                <w:noProof/>
                <w:color w:val="000000"/>
                <w:sz w:val="22"/>
              </w:rPr>
            </w:pPr>
            <w:r>
              <w:rPr>
                <w:noProof/>
                <w:sz w:val="22"/>
              </w:rPr>
              <w:t>25.2</w:t>
            </w:r>
          </w:p>
        </w:tc>
      </w:tr>
    </w:tbl>
    <w:p>
      <w:pPr>
        <w:pStyle w:val="Notes"/>
        <w:rPr>
          <w:rFonts w:cs="Times New Roman"/>
          <w:noProof/>
        </w:rPr>
      </w:pPr>
      <w:r>
        <w:rPr>
          <w:rFonts w:cs="Times New Roman"/>
          <w:noProof/>
        </w:rPr>
        <w:t>Note: The table details the hourly labour costs for the service sector at Member State level. Such costs include wage and non-wage costs net of subsidies. They do not include vocational training costs or other expenditures such as recruitment costs, spending on working clothes, etc.</w:t>
      </w:r>
      <w:r>
        <w:rPr>
          <w:rStyle w:val="FootnoteReference"/>
          <w:noProof/>
        </w:rPr>
        <w:footnoteReference w:id="142"/>
      </w:r>
    </w:p>
    <w:p>
      <w:pPr>
        <w:pStyle w:val="Notes"/>
        <w:rPr>
          <w:rFonts w:cs="Times New Roman"/>
          <w:noProof/>
        </w:rPr>
      </w:pPr>
      <w:r>
        <w:rPr>
          <w:rFonts w:cs="Times New Roman"/>
          <w:noProof/>
        </w:rPr>
        <w:t>Source: Eurostat.</w:t>
      </w:r>
    </w:p>
    <w:p>
      <w:pPr>
        <w:spacing w:after="160"/>
        <w:rPr>
          <w:rFonts w:eastAsiaTheme="majorEastAsia" w:cs="Times New Roman"/>
          <w:b/>
          <w:bCs/>
          <w:noProof/>
          <w:snapToGrid w:val="0"/>
          <w:color w:val="000000"/>
          <w:szCs w:val="24"/>
          <w:lang w:val="en-GB" w:eastAsia="it-IT"/>
        </w:rPr>
      </w:pPr>
      <w:r>
        <w:rPr>
          <w:rFonts w:cs="Times New Roman"/>
          <w:noProof/>
          <w:lang w:val="en-GB"/>
        </w:rPr>
        <w:br w:type="page"/>
      </w:r>
    </w:p>
    <w:p>
      <w:pPr>
        <w:pStyle w:val="Heading3"/>
        <w:rPr>
          <w:noProof/>
          <w:lang w:val="en-GB"/>
        </w:rPr>
      </w:pPr>
      <w:r>
        <w:rPr>
          <w:noProof/>
          <w:lang w:val="en-GB"/>
        </w:rPr>
        <w:t>Coherence</w:t>
      </w:r>
    </w:p>
    <w:p>
      <w:pPr>
        <w:shd w:val="clear" w:color="auto" w:fill="C6D9F1" w:themeFill="text2" w:themeFillTint="33"/>
        <w:rPr>
          <w:rFonts w:cs="Times New Roman"/>
          <w:noProof/>
        </w:rPr>
      </w:pPr>
      <w:r>
        <w:rPr>
          <w:rFonts w:cs="Times New Roman"/>
          <w:noProof/>
          <w:lang w:val="en-GB"/>
        </w:rPr>
        <w:t xml:space="preserve">EQ6: To what extent do the ISA² actions form part of a ‘holistic’ approach within the framework of the programme? </w:t>
      </w:r>
      <w:r>
        <w:rPr>
          <w:rFonts w:cs="Times New Roman"/>
          <w:noProof/>
        </w:rPr>
        <w:t>(</w:t>
      </w:r>
      <w:r>
        <w:rPr>
          <w:rFonts w:cs="Times New Roman"/>
          <w:noProof/>
          <w:lang w:val="en-GB"/>
        </w:rPr>
        <w:t>Internal coherence)</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17</w:t>
      </w:r>
      <w:r>
        <w:rPr>
          <w:rFonts w:cs="Times New Roman"/>
          <w:noProof/>
        </w:rPr>
        <w:fldChar w:fldCharType="end"/>
      </w:r>
      <w:r>
        <w:rPr>
          <w:rFonts w:cs="Times New Roman"/>
          <w:noProof/>
        </w:rPr>
        <w:t>: Number of links between sampled actions</w:t>
      </w:r>
    </w:p>
    <w:tbl>
      <w:tblPr>
        <w:tblStyle w:val="GridTable4-Accent11"/>
        <w:tblW w:w="8915" w:type="dxa"/>
        <w:tblLook w:val="0420" w:firstRow="1" w:lastRow="0" w:firstColumn="0" w:lastColumn="0" w:noHBand="0" w:noVBand="1"/>
      </w:tblPr>
      <w:tblGrid>
        <w:gridCol w:w="3775"/>
        <w:gridCol w:w="2520"/>
        <w:gridCol w:w="2620"/>
      </w:tblGrid>
      <w:tr>
        <w:trPr>
          <w:cnfStyle w:val="100000000000" w:firstRow="1" w:lastRow="0" w:firstColumn="0" w:lastColumn="0" w:oddVBand="0" w:evenVBand="0" w:oddHBand="0" w:evenHBand="0" w:firstRowFirstColumn="0" w:firstRowLastColumn="0" w:lastRowFirstColumn="0" w:lastRowLastColumn="0"/>
          <w:trHeight w:val="20"/>
        </w:trPr>
        <w:tc>
          <w:tcPr>
            <w:tcW w:w="3775" w:type="dxa"/>
            <w:noWrap/>
            <w:vAlign w:val="center"/>
            <w:hideMark/>
          </w:tcPr>
          <w:p>
            <w:pPr>
              <w:spacing w:before="20" w:after="20"/>
              <w:jc w:val="center"/>
              <w:rPr>
                <w:rFonts w:eastAsiaTheme="majorEastAsia"/>
                <w:noProof/>
                <w:sz w:val="22"/>
              </w:rPr>
            </w:pPr>
            <w:r>
              <w:rPr>
                <w:noProof/>
                <w:sz w:val="22"/>
              </w:rPr>
              <w:t>Actions</w:t>
            </w:r>
          </w:p>
        </w:tc>
        <w:tc>
          <w:tcPr>
            <w:tcW w:w="2520" w:type="dxa"/>
            <w:vAlign w:val="center"/>
            <w:hideMark/>
          </w:tcPr>
          <w:p>
            <w:pPr>
              <w:spacing w:before="20" w:after="20"/>
              <w:jc w:val="center"/>
              <w:rPr>
                <w:rFonts w:eastAsiaTheme="majorEastAsia"/>
                <w:noProof/>
                <w:sz w:val="22"/>
              </w:rPr>
            </w:pPr>
            <w:r>
              <w:rPr>
                <w:noProof/>
                <w:sz w:val="22"/>
              </w:rPr>
              <w:t>Number of other ISA² solutions that are used by the action</w:t>
            </w:r>
          </w:p>
        </w:tc>
        <w:tc>
          <w:tcPr>
            <w:tcW w:w="2620" w:type="dxa"/>
            <w:vAlign w:val="center"/>
            <w:hideMark/>
          </w:tcPr>
          <w:p>
            <w:pPr>
              <w:spacing w:before="20" w:after="20"/>
              <w:jc w:val="center"/>
              <w:rPr>
                <w:rFonts w:eastAsiaTheme="majorEastAsia"/>
                <w:noProof/>
                <w:sz w:val="22"/>
              </w:rPr>
            </w:pPr>
            <w:r>
              <w:rPr>
                <w:noProof/>
                <w:sz w:val="22"/>
              </w:rPr>
              <w:t>Number of other ISA² actions that use the solutions of the action</w:t>
            </w:r>
          </w:p>
        </w:tc>
      </w:tr>
      <w:tr>
        <w:trPr>
          <w:cnfStyle w:val="000000100000" w:firstRow="0" w:lastRow="0" w:firstColumn="0" w:lastColumn="0" w:oddVBand="0" w:evenVBand="0" w:oddHBand="1" w:evenHBand="0" w:firstRowFirstColumn="0" w:firstRowLastColumn="0" w:lastRowFirstColumn="0" w:lastRowLastColumn="0"/>
          <w:trHeight w:val="20"/>
        </w:trPr>
        <w:tc>
          <w:tcPr>
            <w:tcW w:w="8915" w:type="dxa"/>
            <w:gridSpan w:val="3"/>
            <w:hideMark/>
          </w:tcPr>
          <w:p>
            <w:pPr>
              <w:spacing w:before="20" w:after="20"/>
              <w:jc w:val="center"/>
              <w:rPr>
                <w:b/>
                <w:bCs/>
                <w:noProof/>
                <w:sz w:val="22"/>
              </w:rPr>
            </w:pPr>
            <w:r>
              <w:rPr>
                <w:b/>
                <w:noProof/>
                <w:sz w:val="22"/>
              </w:rPr>
              <w:t>1. Key and generic interoperability enablers</w:t>
            </w:r>
          </w:p>
        </w:tc>
      </w:tr>
      <w:tr>
        <w:trPr>
          <w:trHeight w:val="20"/>
        </w:trPr>
        <w:tc>
          <w:tcPr>
            <w:tcW w:w="3775" w:type="dxa"/>
            <w:hideMark/>
          </w:tcPr>
          <w:p>
            <w:pPr>
              <w:spacing w:before="20" w:after="20"/>
              <w:rPr>
                <w:bCs/>
                <w:noProof/>
                <w:sz w:val="22"/>
              </w:rPr>
            </w:pPr>
            <w:r>
              <w:rPr>
                <w:noProof/>
                <w:sz w:val="22"/>
              </w:rPr>
              <w:t>Trusted Exchange Platform (e-TrustEx)</w:t>
            </w:r>
          </w:p>
        </w:tc>
        <w:tc>
          <w:tcPr>
            <w:tcW w:w="2520" w:type="dxa"/>
            <w:noWrap/>
            <w:hideMark/>
          </w:tcPr>
          <w:p>
            <w:pPr>
              <w:spacing w:before="20" w:after="20"/>
              <w:jc w:val="center"/>
              <w:rPr>
                <w:noProof/>
                <w:sz w:val="22"/>
              </w:rPr>
            </w:pPr>
            <w:r>
              <w:rPr>
                <w:noProof/>
                <w:sz w:val="22"/>
              </w:rPr>
              <w:t>4</w:t>
            </w:r>
          </w:p>
        </w:tc>
        <w:tc>
          <w:tcPr>
            <w:tcW w:w="2620" w:type="dxa"/>
            <w:noWrap/>
            <w:hideMark/>
          </w:tcPr>
          <w:p>
            <w:pPr>
              <w:spacing w:before="20" w:after="20"/>
              <w:jc w:val="center"/>
              <w:rPr>
                <w:noProof/>
                <w:sz w:val="22"/>
              </w:rPr>
            </w:pPr>
            <w:r>
              <w:rPr>
                <w:noProof/>
                <w:sz w:val="22"/>
              </w:rPr>
              <w:t>5</w:t>
            </w:r>
          </w:p>
        </w:tc>
      </w:tr>
      <w:tr>
        <w:trPr>
          <w:cnfStyle w:val="000000100000" w:firstRow="0" w:lastRow="0" w:firstColumn="0" w:lastColumn="0" w:oddVBand="0" w:evenVBand="0" w:oddHBand="1" w:evenHBand="0" w:firstRowFirstColumn="0" w:firstRowLastColumn="0" w:lastRowFirstColumn="0" w:lastRowLastColumn="0"/>
          <w:trHeight w:val="20"/>
        </w:trPr>
        <w:tc>
          <w:tcPr>
            <w:tcW w:w="3775" w:type="dxa"/>
            <w:hideMark/>
          </w:tcPr>
          <w:p>
            <w:pPr>
              <w:spacing w:before="20" w:after="20"/>
              <w:rPr>
                <w:bCs/>
                <w:noProof/>
                <w:sz w:val="22"/>
              </w:rPr>
            </w:pPr>
            <w:r>
              <w:rPr>
                <w:noProof/>
                <w:sz w:val="22"/>
              </w:rPr>
              <w:t>Catalogue of Services</w:t>
            </w:r>
          </w:p>
        </w:tc>
        <w:tc>
          <w:tcPr>
            <w:tcW w:w="2520" w:type="dxa"/>
            <w:noWrap/>
            <w:hideMark/>
          </w:tcPr>
          <w:p>
            <w:pPr>
              <w:spacing w:before="20" w:after="20"/>
              <w:jc w:val="center"/>
              <w:rPr>
                <w:noProof/>
                <w:sz w:val="22"/>
              </w:rPr>
            </w:pPr>
            <w:r>
              <w:rPr>
                <w:noProof/>
                <w:sz w:val="22"/>
              </w:rPr>
              <w:t>2</w:t>
            </w:r>
          </w:p>
        </w:tc>
        <w:tc>
          <w:tcPr>
            <w:tcW w:w="2620" w:type="dxa"/>
            <w:noWrap/>
            <w:hideMark/>
          </w:tcPr>
          <w:p>
            <w:pPr>
              <w:spacing w:before="20" w:after="20"/>
              <w:jc w:val="center"/>
              <w:rPr>
                <w:noProof/>
                <w:sz w:val="22"/>
              </w:rPr>
            </w:pPr>
            <w:r>
              <w:rPr>
                <w:noProof/>
                <w:sz w:val="22"/>
              </w:rPr>
              <w:t>3</w:t>
            </w:r>
          </w:p>
        </w:tc>
      </w:tr>
      <w:tr>
        <w:trPr>
          <w:trHeight w:val="20"/>
        </w:trPr>
        <w:tc>
          <w:tcPr>
            <w:tcW w:w="8915" w:type="dxa"/>
            <w:gridSpan w:val="3"/>
            <w:noWrap/>
            <w:hideMark/>
          </w:tcPr>
          <w:p>
            <w:pPr>
              <w:spacing w:before="20" w:after="20"/>
              <w:jc w:val="center"/>
              <w:rPr>
                <w:b/>
                <w:bCs/>
                <w:noProof/>
                <w:sz w:val="22"/>
              </w:rPr>
            </w:pPr>
            <w:r>
              <w:rPr>
                <w:b/>
                <w:noProof/>
                <w:sz w:val="22"/>
              </w:rPr>
              <w:t>2. Semantic Interoperability</w:t>
            </w:r>
          </w:p>
        </w:tc>
      </w:tr>
      <w:tr>
        <w:trPr>
          <w:cnfStyle w:val="000000100000" w:firstRow="0" w:lastRow="0" w:firstColumn="0" w:lastColumn="0" w:oddVBand="0" w:evenVBand="0" w:oddHBand="1" w:evenHBand="0" w:firstRowFirstColumn="0" w:firstRowLastColumn="0" w:lastRowFirstColumn="0" w:lastRowLastColumn="0"/>
          <w:trHeight w:val="20"/>
        </w:trPr>
        <w:tc>
          <w:tcPr>
            <w:tcW w:w="3775" w:type="dxa"/>
            <w:hideMark/>
          </w:tcPr>
          <w:p>
            <w:pPr>
              <w:spacing w:before="20" w:after="20"/>
              <w:rPr>
                <w:bCs/>
                <w:noProof/>
                <w:sz w:val="22"/>
              </w:rPr>
            </w:pPr>
            <w:r>
              <w:rPr>
                <w:noProof/>
                <w:sz w:val="22"/>
              </w:rPr>
              <w:t>Public Multilingual Knowledge Management Infrastructure for the Digital Single Market (PMKI)</w:t>
            </w:r>
          </w:p>
        </w:tc>
        <w:tc>
          <w:tcPr>
            <w:tcW w:w="2520" w:type="dxa"/>
            <w:noWrap/>
            <w:hideMark/>
          </w:tcPr>
          <w:p>
            <w:pPr>
              <w:spacing w:before="20" w:after="20"/>
              <w:jc w:val="center"/>
              <w:rPr>
                <w:noProof/>
                <w:sz w:val="22"/>
              </w:rPr>
            </w:pPr>
            <w:r>
              <w:rPr>
                <w:noProof/>
                <w:sz w:val="22"/>
              </w:rPr>
              <w:t>1</w:t>
            </w:r>
          </w:p>
        </w:tc>
        <w:tc>
          <w:tcPr>
            <w:tcW w:w="2620" w:type="dxa"/>
            <w:noWrap/>
            <w:hideMark/>
          </w:tcPr>
          <w:p>
            <w:pPr>
              <w:spacing w:before="20" w:after="20"/>
              <w:jc w:val="center"/>
              <w:rPr>
                <w:noProof/>
                <w:sz w:val="22"/>
              </w:rPr>
            </w:pPr>
            <w:r>
              <w:rPr>
                <w:noProof/>
                <w:sz w:val="22"/>
              </w:rPr>
              <w:t>0</w:t>
            </w:r>
          </w:p>
        </w:tc>
      </w:tr>
      <w:tr>
        <w:trPr>
          <w:trHeight w:val="20"/>
        </w:trPr>
        <w:tc>
          <w:tcPr>
            <w:tcW w:w="3775" w:type="dxa"/>
            <w:hideMark/>
          </w:tcPr>
          <w:p>
            <w:pPr>
              <w:spacing w:before="20" w:after="20"/>
              <w:rPr>
                <w:bCs/>
                <w:noProof/>
                <w:sz w:val="22"/>
              </w:rPr>
            </w:pPr>
            <w:r>
              <w:rPr>
                <w:noProof/>
                <w:sz w:val="22"/>
              </w:rPr>
              <w:t>SEMIC: Promoting Semantic Interoperability Amongst the European Union Member States</w:t>
            </w:r>
          </w:p>
        </w:tc>
        <w:tc>
          <w:tcPr>
            <w:tcW w:w="2520" w:type="dxa"/>
            <w:noWrap/>
            <w:hideMark/>
          </w:tcPr>
          <w:p>
            <w:pPr>
              <w:spacing w:before="20" w:after="20"/>
              <w:jc w:val="center"/>
              <w:rPr>
                <w:noProof/>
                <w:sz w:val="22"/>
              </w:rPr>
            </w:pPr>
            <w:r>
              <w:rPr>
                <w:noProof/>
                <w:sz w:val="22"/>
              </w:rPr>
              <w:t>5</w:t>
            </w:r>
          </w:p>
        </w:tc>
        <w:tc>
          <w:tcPr>
            <w:tcW w:w="2620" w:type="dxa"/>
            <w:noWrap/>
            <w:hideMark/>
          </w:tcPr>
          <w:p>
            <w:pPr>
              <w:spacing w:before="20" w:after="20"/>
              <w:jc w:val="center"/>
              <w:rPr>
                <w:noProof/>
                <w:sz w:val="22"/>
              </w:rPr>
            </w:pPr>
            <w:r>
              <w:rPr>
                <w:noProof/>
                <w:sz w:val="22"/>
              </w:rPr>
              <w:t>17</w:t>
            </w:r>
          </w:p>
        </w:tc>
      </w:tr>
      <w:tr>
        <w:trPr>
          <w:cnfStyle w:val="000000100000" w:firstRow="0" w:lastRow="0" w:firstColumn="0" w:lastColumn="0" w:oddVBand="0" w:evenVBand="0" w:oddHBand="1" w:evenHBand="0" w:firstRowFirstColumn="0" w:firstRowLastColumn="0" w:lastRowFirstColumn="0" w:lastRowLastColumn="0"/>
          <w:trHeight w:val="20"/>
        </w:trPr>
        <w:tc>
          <w:tcPr>
            <w:tcW w:w="8915" w:type="dxa"/>
            <w:gridSpan w:val="3"/>
            <w:noWrap/>
            <w:hideMark/>
          </w:tcPr>
          <w:p>
            <w:pPr>
              <w:spacing w:before="20" w:after="20"/>
              <w:jc w:val="center"/>
              <w:rPr>
                <w:b/>
                <w:bCs/>
                <w:noProof/>
                <w:sz w:val="22"/>
              </w:rPr>
            </w:pPr>
            <w:r>
              <w:rPr>
                <w:b/>
                <w:noProof/>
                <w:sz w:val="22"/>
              </w:rPr>
              <w:t>3. Access to data/data sharing/open data</w:t>
            </w:r>
          </w:p>
        </w:tc>
      </w:tr>
      <w:tr>
        <w:trPr>
          <w:trHeight w:val="20"/>
        </w:trPr>
        <w:tc>
          <w:tcPr>
            <w:tcW w:w="3775" w:type="dxa"/>
            <w:hideMark/>
          </w:tcPr>
          <w:p>
            <w:pPr>
              <w:spacing w:before="20" w:after="20"/>
              <w:rPr>
                <w:bCs/>
                <w:noProof/>
                <w:sz w:val="22"/>
              </w:rPr>
            </w:pPr>
            <w:r>
              <w:rPr>
                <w:noProof/>
                <w:sz w:val="22"/>
              </w:rPr>
              <w:t>Big Data for Public Administrations</w:t>
            </w:r>
          </w:p>
        </w:tc>
        <w:tc>
          <w:tcPr>
            <w:tcW w:w="2520" w:type="dxa"/>
            <w:noWrap/>
            <w:hideMark/>
          </w:tcPr>
          <w:p>
            <w:pPr>
              <w:spacing w:before="20" w:after="20"/>
              <w:jc w:val="center"/>
              <w:rPr>
                <w:noProof/>
                <w:sz w:val="22"/>
              </w:rPr>
            </w:pPr>
            <w:r>
              <w:rPr>
                <w:noProof/>
                <w:sz w:val="22"/>
              </w:rPr>
              <w:t>5</w:t>
            </w:r>
          </w:p>
        </w:tc>
        <w:tc>
          <w:tcPr>
            <w:tcW w:w="2620" w:type="dxa"/>
            <w:noWrap/>
            <w:hideMark/>
          </w:tcPr>
          <w:p>
            <w:pPr>
              <w:spacing w:before="20" w:after="20"/>
              <w:jc w:val="center"/>
              <w:rPr>
                <w:noProof/>
                <w:sz w:val="22"/>
              </w:rPr>
            </w:pPr>
            <w:r>
              <w:rPr>
                <w:noProof/>
                <w:sz w:val="22"/>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3775" w:type="dxa"/>
            <w:hideMark/>
          </w:tcPr>
          <w:p>
            <w:pPr>
              <w:spacing w:before="20" w:after="20"/>
              <w:rPr>
                <w:bCs/>
                <w:noProof/>
                <w:sz w:val="22"/>
              </w:rPr>
            </w:pPr>
            <w:r>
              <w:rPr>
                <w:noProof/>
                <w:sz w:val="22"/>
              </w:rPr>
              <w:t>Sharing Statistical Production and Dissemination Services and Solutions in the European Statistical System</w:t>
            </w:r>
          </w:p>
        </w:tc>
        <w:tc>
          <w:tcPr>
            <w:tcW w:w="2520" w:type="dxa"/>
            <w:noWrap/>
            <w:hideMark/>
          </w:tcPr>
          <w:p>
            <w:pPr>
              <w:spacing w:before="20" w:after="20"/>
              <w:jc w:val="center"/>
              <w:rPr>
                <w:noProof/>
                <w:sz w:val="22"/>
              </w:rPr>
            </w:pPr>
            <w:r>
              <w:rPr>
                <w:noProof/>
                <w:sz w:val="22"/>
              </w:rPr>
              <w:t>3</w:t>
            </w:r>
          </w:p>
        </w:tc>
        <w:tc>
          <w:tcPr>
            <w:tcW w:w="2620" w:type="dxa"/>
            <w:noWrap/>
            <w:hideMark/>
          </w:tcPr>
          <w:p>
            <w:pPr>
              <w:spacing w:before="20" w:after="20"/>
              <w:jc w:val="center"/>
              <w:rPr>
                <w:noProof/>
                <w:sz w:val="22"/>
              </w:rPr>
            </w:pPr>
            <w:r>
              <w:rPr>
                <w:noProof/>
                <w:sz w:val="22"/>
              </w:rPr>
              <w:t>0</w:t>
            </w:r>
          </w:p>
        </w:tc>
      </w:tr>
      <w:tr>
        <w:trPr>
          <w:trHeight w:val="20"/>
        </w:trPr>
        <w:tc>
          <w:tcPr>
            <w:tcW w:w="3775" w:type="dxa"/>
            <w:hideMark/>
          </w:tcPr>
          <w:p>
            <w:pPr>
              <w:spacing w:before="20" w:after="20"/>
              <w:rPr>
                <w:bCs/>
                <w:noProof/>
                <w:sz w:val="22"/>
              </w:rPr>
            </w:pPr>
            <w:r>
              <w:rPr>
                <w:noProof/>
                <w:sz w:val="22"/>
              </w:rPr>
              <w:t>Development of an Open Data Service, Support and Training Package in the Area of Linked Open Data, Data Visualisation and Persistent Identification</w:t>
            </w:r>
          </w:p>
        </w:tc>
        <w:tc>
          <w:tcPr>
            <w:tcW w:w="2520" w:type="dxa"/>
            <w:noWrap/>
            <w:hideMark/>
          </w:tcPr>
          <w:p>
            <w:pPr>
              <w:spacing w:before="20" w:after="20"/>
              <w:jc w:val="center"/>
              <w:rPr>
                <w:noProof/>
                <w:sz w:val="22"/>
              </w:rPr>
            </w:pPr>
            <w:r>
              <w:rPr>
                <w:noProof/>
                <w:sz w:val="22"/>
              </w:rPr>
              <w:t>1</w:t>
            </w:r>
          </w:p>
        </w:tc>
        <w:tc>
          <w:tcPr>
            <w:tcW w:w="2620" w:type="dxa"/>
            <w:noWrap/>
            <w:hideMark/>
          </w:tcPr>
          <w:p>
            <w:pPr>
              <w:spacing w:before="20" w:after="20"/>
              <w:jc w:val="center"/>
              <w:rPr>
                <w:noProof/>
                <w:sz w:val="22"/>
              </w:rPr>
            </w:pPr>
            <w:r>
              <w:rPr>
                <w:noProof/>
                <w:sz w:val="22"/>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8915" w:type="dxa"/>
            <w:gridSpan w:val="3"/>
            <w:noWrap/>
            <w:hideMark/>
          </w:tcPr>
          <w:p>
            <w:pPr>
              <w:spacing w:before="20" w:after="20"/>
              <w:jc w:val="center"/>
              <w:rPr>
                <w:b/>
                <w:bCs/>
                <w:noProof/>
                <w:sz w:val="22"/>
              </w:rPr>
            </w:pPr>
            <w:r>
              <w:rPr>
                <w:b/>
                <w:noProof/>
                <w:sz w:val="22"/>
              </w:rPr>
              <w:t>4. Geospatial Solutions</w:t>
            </w:r>
          </w:p>
        </w:tc>
      </w:tr>
      <w:tr>
        <w:trPr>
          <w:trHeight w:val="20"/>
        </w:trPr>
        <w:tc>
          <w:tcPr>
            <w:tcW w:w="3775" w:type="dxa"/>
            <w:hideMark/>
          </w:tcPr>
          <w:p>
            <w:pPr>
              <w:spacing w:before="20" w:after="20"/>
              <w:rPr>
                <w:bCs/>
                <w:noProof/>
                <w:sz w:val="22"/>
              </w:rPr>
            </w:pPr>
            <w:r>
              <w:rPr>
                <w:noProof/>
                <w:sz w:val="22"/>
              </w:rPr>
              <w:t>European Location Interoperability Solutions for e-Government (ELISE)</w:t>
            </w:r>
          </w:p>
        </w:tc>
        <w:tc>
          <w:tcPr>
            <w:tcW w:w="2520" w:type="dxa"/>
            <w:noWrap/>
            <w:hideMark/>
          </w:tcPr>
          <w:p>
            <w:pPr>
              <w:spacing w:before="20" w:after="20"/>
              <w:jc w:val="center"/>
              <w:rPr>
                <w:noProof/>
                <w:sz w:val="22"/>
              </w:rPr>
            </w:pPr>
            <w:r>
              <w:rPr>
                <w:noProof/>
                <w:sz w:val="22"/>
              </w:rPr>
              <w:t>6</w:t>
            </w:r>
          </w:p>
        </w:tc>
        <w:tc>
          <w:tcPr>
            <w:tcW w:w="2620" w:type="dxa"/>
            <w:noWrap/>
            <w:hideMark/>
          </w:tcPr>
          <w:p>
            <w:pPr>
              <w:spacing w:before="20" w:after="20"/>
              <w:jc w:val="center"/>
              <w:rPr>
                <w:noProof/>
                <w:sz w:val="22"/>
              </w:rPr>
            </w:pPr>
            <w:r>
              <w:rPr>
                <w:noProof/>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8915" w:type="dxa"/>
            <w:gridSpan w:val="3"/>
            <w:noWrap/>
            <w:hideMark/>
          </w:tcPr>
          <w:p>
            <w:pPr>
              <w:spacing w:before="20" w:after="20"/>
              <w:jc w:val="center"/>
              <w:rPr>
                <w:b/>
                <w:bCs/>
                <w:noProof/>
                <w:sz w:val="22"/>
              </w:rPr>
            </w:pPr>
            <w:r>
              <w:rPr>
                <w:b/>
                <w:noProof/>
                <w:sz w:val="22"/>
              </w:rPr>
              <w:t>5. eProcurement/eInvoicing-Supporting instruments</w:t>
            </w:r>
          </w:p>
        </w:tc>
      </w:tr>
      <w:tr>
        <w:trPr>
          <w:trHeight w:val="20"/>
        </w:trPr>
        <w:tc>
          <w:tcPr>
            <w:tcW w:w="3775" w:type="dxa"/>
            <w:hideMark/>
          </w:tcPr>
          <w:p>
            <w:pPr>
              <w:spacing w:before="20" w:after="20"/>
              <w:rPr>
                <w:bCs/>
                <w:noProof/>
                <w:sz w:val="22"/>
              </w:rPr>
            </w:pPr>
            <w:r>
              <w:rPr>
                <w:noProof/>
                <w:sz w:val="22"/>
              </w:rPr>
              <w:t>European Public Procurement Interoperability Initiative</w:t>
            </w:r>
          </w:p>
        </w:tc>
        <w:tc>
          <w:tcPr>
            <w:tcW w:w="2520" w:type="dxa"/>
            <w:noWrap/>
            <w:hideMark/>
          </w:tcPr>
          <w:p>
            <w:pPr>
              <w:spacing w:before="20" w:after="20"/>
              <w:jc w:val="center"/>
              <w:rPr>
                <w:noProof/>
                <w:sz w:val="22"/>
              </w:rPr>
            </w:pPr>
            <w:r>
              <w:rPr>
                <w:noProof/>
                <w:sz w:val="22"/>
              </w:rPr>
              <w:t>6**</w:t>
            </w:r>
          </w:p>
        </w:tc>
        <w:tc>
          <w:tcPr>
            <w:tcW w:w="2620" w:type="dxa"/>
            <w:noWrap/>
            <w:hideMark/>
          </w:tcPr>
          <w:p>
            <w:pPr>
              <w:spacing w:before="20" w:after="20"/>
              <w:jc w:val="center"/>
              <w:rPr>
                <w:noProof/>
                <w:sz w:val="22"/>
              </w:rPr>
            </w:pPr>
            <w:r>
              <w:rPr>
                <w:noProof/>
                <w:sz w:val="22"/>
              </w:rPr>
              <w:t>4</w:t>
            </w:r>
          </w:p>
        </w:tc>
      </w:tr>
      <w:tr>
        <w:trPr>
          <w:cnfStyle w:val="000000100000" w:firstRow="0" w:lastRow="0" w:firstColumn="0" w:lastColumn="0" w:oddVBand="0" w:evenVBand="0" w:oddHBand="1" w:evenHBand="0" w:firstRowFirstColumn="0" w:firstRowLastColumn="0" w:lastRowFirstColumn="0" w:lastRowLastColumn="0"/>
          <w:trHeight w:val="20"/>
        </w:trPr>
        <w:tc>
          <w:tcPr>
            <w:tcW w:w="8915" w:type="dxa"/>
            <w:gridSpan w:val="3"/>
            <w:noWrap/>
            <w:hideMark/>
          </w:tcPr>
          <w:p>
            <w:pPr>
              <w:spacing w:before="20" w:after="20"/>
              <w:jc w:val="center"/>
              <w:rPr>
                <w:b/>
                <w:bCs/>
                <w:noProof/>
                <w:sz w:val="22"/>
              </w:rPr>
            </w:pPr>
            <w:r>
              <w:rPr>
                <w:b/>
                <w:noProof/>
                <w:sz w:val="22"/>
              </w:rPr>
              <w:t>6. Decision making and legislation-Supporting instruments</w:t>
            </w:r>
          </w:p>
        </w:tc>
      </w:tr>
      <w:tr>
        <w:trPr>
          <w:trHeight w:val="20"/>
        </w:trPr>
        <w:tc>
          <w:tcPr>
            <w:tcW w:w="3775" w:type="dxa"/>
            <w:hideMark/>
          </w:tcPr>
          <w:p>
            <w:pPr>
              <w:spacing w:before="20" w:after="20"/>
              <w:rPr>
                <w:bCs/>
                <w:noProof/>
                <w:sz w:val="22"/>
              </w:rPr>
            </w:pPr>
            <w:r>
              <w:rPr>
                <w:noProof/>
                <w:sz w:val="22"/>
              </w:rPr>
              <w:t>ICT Implications of EU Legislation</w:t>
            </w:r>
          </w:p>
        </w:tc>
        <w:tc>
          <w:tcPr>
            <w:tcW w:w="2520" w:type="dxa"/>
            <w:noWrap/>
            <w:hideMark/>
          </w:tcPr>
          <w:p>
            <w:pPr>
              <w:spacing w:before="20" w:after="20"/>
              <w:jc w:val="center"/>
              <w:rPr>
                <w:noProof/>
                <w:sz w:val="22"/>
              </w:rPr>
            </w:pPr>
            <w:r>
              <w:rPr>
                <w:noProof/>
                <w:sz w:val="22"/>
              </w:rPr>
              <w:t>6</w:t>
            </w:r>
          </w:p>
        </w:tc>
        <w:tc>
          <w:tcPr>
            <w:tcW w:w="2620" w:type="dxa"/>
            <w:noWrap/>
            <w:hideMark/>
          </w:tcPr>
          <w:p>
            <w:pPr>
              <w:spacing w:before="20" w:after="20"/>
              <w:jc w:val="center"/>
              <w:rPr>
                <w:noProof/>
                <w:sz w:val="22"/>
              </w:rPr>
            </w:pPr>
            <w:r>
              <w:rPr>
                <w:noProof/>
                <w:sz w:val="22"/>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3775" w:type="dxa"/>
            <w:hideMark/>
          </w:tcPr>
          <w:p>
            <w:pPr>
              <w:spacing w:before="20" w:after="20"/>
              <w:rPr>
                <w:bCs/>
                <w:noProof/>
                <w:sz w:val="22"/>
              </w:rPr>
            </w:pPr>
            <w:r>
              <w:rPr>
                <w:noProof/>
                <w:sz w:val="22"/>
              </w:rPr>
              <w:t>REFIT Platform</w:t>
            </w:r>
          </w:p>
        </w:tc>
        <w:tc>
          <w:tcPr>
            <w:tcW w:w="2520" w:type="dxa"/>
            <w:noWrap/>
            <w:hideMark/>
          </w:tcPr>
          <w:p>
            <w:pPr>
              <w:spacing w:before="20" w:after="20"/>
              <w:jc w:val="center"/>
              <w:rPr>
                <w:noProof/>
                <w:sz w:val="22"/>
              </w:rPr>
            </w:pPr>
            <w:r>
              <w:rPr>
                <w:noProof/>
                <w:sz w:val="22"/>
              </w:rPr>
              <w:t>0</w:t>
            </w:r>
          </w:p>
        </w:tc>
        <w:tc>
          <w:tcPr>
            <w:tcW w:w="2620" w:type="dxa"/>
            <w:noWrap/>
            <w:hideMark/>
          </w:tcPr>
          <w:p>
            <w:pPr>
              <w:spacing w:before="20" w:after="20"/>
              <w:jc w:val="center"/>
              <w:rPr>
                <w:noProof/>
                <w:sz w:val="22"/>
              </w:rPr>
            </w:pPr>
            <w:r>
              <w:rPr>
                <w:noProof/>
                <w:sz w:val="22"/>
              </w:rPr>
              <w:t>2</w:t>
            </w:r>
          </w:p>
        </w:tc>
      </w:tr>
      <w:tr>
        <w:trPr>
          <w:trHeight w:val="20"/>
        </w:trPr>
        <w:tc>
          <w:tcPr>
            <w:tcW w:w="3775" w:type="dxa"/>
            <w:hideMark/>
          </w:tcPr>
          <w:p>
            <w:pPr>
              <w:spacing w:before="20" w:after="20"/>
              <w:rPr>
                <w:bCs/>
                <w:noProof/>
                <w:sz w:val="22"/>
              </w:rPr>
            </w:pPr>
            <w:r>
              <w:rPr>
                <w:noProof/>
                <w:sz w:val="22"/>
              </w:rPr>
              <w:t>Inter-Institutional Register of Delegated Acts</w:t>
            </w:r>
          </w:p>
        </w:tc>
        <w:tc>
          <w:tcPr>
            <w:tcW w:w="2520" w:type="dxa"/>
            <w:noWrap/>
            <w:hideMark/>
          </w:tcPr>
          <w:p>
            <w:pPr>
              <w:spacing w:before="20" w:after="20"/>
              <w:jc w:val="center"/>
              <w:rPr>
                <w:noProof/>
                <w:sz w:val="22"/>
              </w:rPr>
            </w:pPr>
            <w:r>
              <w:rPr>
                <w:noProof/>
                <w:sz w:val="22"/>
              </w:rPr>
              <w:t>1</w:t>
            </w:r>
          </w:p>
        </w:tc>
        <w:tc>
          <w:tcPr>
            <w:tcW w:w="2620" w:type="dxa"/>
            <w:noWrap/>
            <w:hideMark/>
          </w:tcPr>
          <w:p>
            <w:pPr>
              <w:spacing w:before="20" w:after="20"/>
              <w:jc w:val="center"/>
              <w:rPr>
                <w:noProof/>
                <w:sz w:val="22"/>
              </w:rPr>
            </w:pPr>
            <w:r>
              <w:rPr>
                <w:noProof/>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8915" w:type="dxa"/>
            <w:gridSpan w:val="3"/>
            <w:noWrap/>
            <w:hideMark/>
          </w:tcPr>
          <w:p>
            <w:pPr>
              <w:spacing w:before="20" w:after="20"/>
              <w:jc w:val="center"/>
              <w:rPr>
                <w:b/>
                <w:bCs/>
                <w:noProof/>
                <w:sz w:val="22"/>
              </w:rPr>
            </w:pPr>
            <w:r>
              <w:rPr>
                <w:b/>
                <w:noProof/>
                <w:sz w:val="22"/>
              </w:rPr>
              <w:t>7.  EU Policies-Supporting instruments</w:t>
            </w:r>
          </w:p>
        </w:tc>
      </w:tr>
      <w:tr>
        <w:trPr>
          <w:trHeight w:val="20"/>
        </w:trPr>
        <w:tc>
          <w:tcPr>
            <w:tcW w:w="3775" w:type="dxa"/>
            <w:hideMark/>
          </w:tcPr>
          <w:p>
            <w:pPr>
              <w:spacing w:before="20" w:after="20"/>
              <w:rPr>
                <w:bCs/>
                <w:noProof/>
                <w:sz w:val="22"/>
              </w:rPr>
            </w:pPr>
            <w:r>
              <w:rPr>
                <w:noProof/>
                <w:sz w:val="22"/>
              </w:rPr>
              <w:t>European Citizens' Initiatives and European Parliament Elections</w:t>
            </w:r>
          </w:p>
        </w:tc>
        <w:tc>
          <w:tcPr>
            <w:tcW w:w="2520" w:type="dxa"/>
            <w:noWrap/>
            <w:hideMark/>
          </w:tcPr>
          <w:p>
            <w:pPr>
              <w:spacing w:before="20" w:after="20"/>
              <w:jc w:val="center"/>
              <w:rPr>
                <w:noProof/>
                <w:sz w:val="22"/>
              </w:rPr>
            </w:pPr>
            <w:r>
              <w:rPr>
                <w:noProof/>
                <w:sz w:val="22"/>
              </w:rPr>
              <w:t>0</w:t>
            </w:r>
          </w:p>
        </w:tc>
        <w:tc>
          <w:tcPr>
            <w:tcW w:w="2620" w:type="dxa"/>
            <w:noWrap/>
            <w:hideMark/>
          </w:tcPr>
          <w:p>
            <w:pPr>
              <w:spacing w:before="20" w:after="20"/>
              <w:jc w:val="center"/>
              <w:rPr>
                <w:noProof/>
                <w:sz w:val="22"/>
              </w:rPr>
            </w:pPr>
            <w:r>
              <w:rPr>
                <w:noProof/>
                <w:sz w:val="22"/>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8915" w:type="dxa"/>
            <w:gridSpan w:val="3"/>
            <w:noWrap/>
            <w:hideMark/>
          </w:tcPr>
          <w:p>
            <w:pPr>
              <w:spacing w:before="20" w:after="20"/>
              <w:jc w:val="center"/>
              <w:rPr>
                <w:b/>
                <w:bCs/>
                <w:noProof/>
                <w:sz w:val="22"/>
              </w:rPr>
            </w:pPr>
            <w:r>
              <w:rPr>
                <w:b/>
                <w:noProof/>
                <w:sz w:val="22"/>
              </w:rPr>
              <w:t>8.  Supporting instruments for public administrations</w:t>
            </w:r>
          </w:p>
        </w:tc>
      </w:tr>
      <w:tr>
        <w:trPr>
          <w:trHeight w:val="20"/>
        </w:trPr>
        <w:tc>
          <w:tcPr>
            <w:tcW w:w="3775" w:type="dxa"/>
            <w:hideMark/>
          </w:tcPr>
          <w:p>
            <w:pPr>
              <w:spacing w:before="20" w:after="20"/>
              <w:rPr>
                <w:bCs/>
                <w:noProof/>
                <w:sz w:val="22"/>
              </w:rPr>
            </w:pPr>
            <w:r>
              <w:rPr>
                <w:noProof/>
                <w:sz w:val="22"/>
              </w:rPr>
              <w:t>Joinup - European Collaborative Platform and Catalogue</w:t>
            </w:r>
          </w:p>
        </w:tc>
        <w:tc>
          <w:tcPr>
            <w:tcW w:w="2520" w:type="dxa"/>
            <w:noWrap/>
            <w:hideMark/>
          </w:tcPr>
          <w:p>
            <w:pPr>
              <w:spacing w:before="20" w:after="20"/>
              <w:jc w:val="center"/>
              <w:rPr>
                <w:noProof/>
                <w:sz w:val="22"/>
              </w:rPr>
            </w:pPr>
            <w:r>
              <w:rPr>
                <w:noProof/>
                <w:sz w:val="22"/>
              </w:rPr>
              <w:t>4</w:t>
            </w:r>
          </w:p>
        </w:tc>
        <w:tc>
          <w:tcPr>
            <w:tcW w:w="2620" w:type="dxa"/>
            <w:noWrap/>
            <w:hideMark/>
          </w:tcPr>
          <w:p>
            <w:pPr>
              <w:spacing w:before="20" w:after="20"/>
              <w:jc w:val="center"/>
              <w:rPr>
                <w:noProof/>
                <w:sz w:val="22"/>
              </w:rPr>
            </w:pPr>
            <w:r>
              <w:rPr>
                <w:noProof/>
                <w:sz w:val="22"/>
              </w:rPr>
              <w:t>14</w:t>
            </w:r>
          </w:p>
        </w:tc>
      </w:tr>
      <w:tr>
        <w:trPr>
          <w:cnfStyle w:val="000000100000" w:firstRow="0" w:lastRow="0" w:firstColumn="0" w:lastColumn="0" w:oddVBand="0" w:evenVBand="0" w:oddHBand="1" w:evenHBand="0" w:firstRowFirstColumn="0" w:firstRowLastColumn="0" w:lastRowFirstColumn="0" w:lastRowLastColumn="0"/>
          <w:trHeight w:val="20"/>
        </w:trPr>
        <w:tc>
          <w:tcPr>
            <w:tcW w:w="3775" w:type="dxa"/>
            <w:hideMark/>
          </w:tcPr>
          <w:p>
            <w:pPr>
              <w:spacing w:before="20" w:after="20"/>
              <w:rPr>
                <w:bCs/>
                <w:noProof/>
                <w:sz w:val="22"/>
              </w:rPr>
            </w:pPr>
            <w:r>
              <w:rPr>
                <w:noProof/>
                <w:sz w:val="22"/>
              </w:rPr>
              <w:t>National Interoperability Framework Observatory</w:t>
            </w:r>
          </w:p>
        </w:tc>
        <w:tc>
          <w:tcPr>
            <w:tcW w:w="2520" w:type="dxa"/>
            <w:noWrap/>
            <w:hideMark/>
          </w:tcPr>
          <w:p>
            <w:pPr>
              <w:spacing w:before="20" w:after="20"/>
              <w:jc w:val="center"/>
              <w:rPr>
                <w:noProof/>
                <w:sz w:val="22"/>
              </w:rPr>
            </w:pPr>
            <w:r>
              <w:rPr>
                <w:noProof/>
                <w:sz w:val="22"/>
              </w:rPr>
              <w:t>7</w:t>
            </w:r>
          </w:p>
        </w:tc>
        <w:tc>
          <w:tcPr>
            <w:tcW w:w="2620" w:type="dxa"/>
            <w:noWrap/>
            <w:hideMark/>
          </w:tcPr>
          <w:p>
            <w:pPr>
              <w:spacing w:before="20" w:after="20"/>
              <w:jc w:val="center"/>
              <w:rPr>
                <w:noProof/>
                <w:sz w:val="22"/>
              </w:rPr>
            </w:pPr>
            <w:r>
              <w:rPr>
                <w:noProof/>
                <w:sz w:val="22"/>
              </w:rPr>
              <w:t>0</w:t>
            </w:r>
          </w:p>
        </w:tc>
      </w:tr>
      <w:tr>
        <w:trPr>
          <w:trHeight w:val="20"/>
        </w:trPr>
        <w:tc>
          <w:tcPr>
            <w:tcW w:w="3775" w:type="dxa"/>
            <w:hideMark/>
          </w:tcPr>
          <w:p>
            <w:pPr>
              <w:spacing w:before="20" w:after="20"/>
              <w:rPr>
                <w:bCs/>
                <w:noProof/>
                <w:sz w:val="22"/>
              </w:rPr>
            </w:pPr>
            <w:r>
              <w:rPr>
                <w:noProof/>
                <w:sz w:val="22"/>
              </w:rPr>
              <w:t>European Interoperability Architecture (EIA)</w:t>
            </w:r>
          </w:p>
        </w:tc>
        <w:tc>
          <w:tcPr>
            <w:tcW w:w="2520" w:type="dxa"/>
            <w:noWrap/>
            <w:hideMark/>
          </w:tcPr>
          <w:p>
            <w:pPr>
              <w:spacing w:before="20" w:after="20"/>
              <w:jc w:val="center"/>
              <w:rPr>
                <w:noProof/>
                <w:sz w:val="22"/>
              </w:rPr>
            </w:pPr>
            <w:r>
              <w:rPr>
                <w:noProof/>
                <w:sz w:val="22"/>
              </w:rPr>
              <w:t>7</w:t>
            </w:r>
          </w:p>
        </w:tc>
        <w:tc>
          <w:tcPr>
            <w:tcW w:w="2620" w:type="dxa"/>
            <w:noWrap/>
            <w:hideMark/>
          </w:tcPr>
          <w:p>
            <w:pPr>
              <w:spacing w:before="20" w:after="20"/>
              <w:jc w:val="center"/>
              <w:rPr>
                <w:noProof/>
                <w:sz w:val="22"/>
              </w:rPr>
            </w:pPr>
            <w:r>
              <w:rPr>
                <w:noProof/>
                <w:sz w:val="22"/>
              </w:rPr>
              <w:t>9</w:t>
            </w:r>
          </w:p>
        </w:tc>
      </w:tr>
      <w:tr>
        <w:trPr>
          <w:cnfStyle w:val="000000100000" w:firstRow="0" w:lastRow="0" w:firstColumn="0" w:lastColumn="0" w:oddVBand="0" w:evenVBand="0" w:oddHBand="1" w:evenHBand="0" w:firstRowFirstColumn="0" w:firstRowLastColumn="0" w:lastRowFirstColumn="0" w:lastRowLastColumn="0"/>
          <w:trHeight w:val="20"/>
        </w:trPr>
        <w:tc>
          <w:tcPr>
            <w:tcW w:w="3775" w:type="dxa"/>
            <w:hideMark/>
          </w:tcPr>
          <w:p>
            <w:pPr>
              <w:spacing w:before="20" w:after="20"/>
              <w:rPr>
                <w:bCs/>
                <w:noProof/>
                <w:sz w:val="22"/>
              </w:rPr>
            </w:pPr>
            <w:r>
              <w:rPr>
                <w:noProof/>
                <w:sz w:val="22"/>
              </w:rPr>
              <w:t>EUSurvey</w:t>
            </w:r>
          </w:p>
        </w:tc>
        <w:tc>
          <w:tcPr>
            <w:tcW w:w="2520" w:type="dxa"/>
            <w:noWrap/>
            <w:hideMark/>
          </w:tcPr>
          <w:p>
            <w:pPr>
              <w:spacing w:before="20" w:after="20"/>
              <w:jc w:val="center"/>
              <w:rPr>
                <w:noProof/>
                <w:sz w:val="22"/>
              </w:rPr>
            </w:pPr>
            <w:r>
              <w:rPr>
                <w:noProof/>
                <w:sz w:val="22"/>
              </w:rPr>
              <w:t>0</w:t>
            </w:r>
          </w:p>
        </w:tc>
        <w:tc>
          <w:tcPr>
            <w:tcW w:w="2620" w:type="dxa"/>
            <w:noWrap/>
            <w:hideMark/>
          </w:tcPr>
          <w:p>
            <w:pPr>
              <w:spacing w:before="20" w:after="20"/>
              <w:jc w:val="center"/>
              <w:rPr>
                <w:noProof/>
                <w:sz w:val="22"/>
              </w:rPr>
            </w:pPr>
            <w:r>
              <w:rPr>
                <w:noProof/>
                <w:sz w:val="22"/>
              </w:rPr>
              <w:t>0</w:t>
            </w:r>
          </w:p>
        </w:tc>
      </w:tr>
      <w:tr>
        <w:trPr>
          <w:trHeight w:val="20"/>
        </w:trPr>
        <w:tc>
          <w:tcPr>
            <w:tcW w:w="3775" w:type="dxa"/>
            <w:hideMark/>
          </w:tcPr>
          <w:p>
            <w:pPr>
              <w:spacing w:before="20" w:after="20"/>
              <w:rPr>
                <w:bCs/>
                <w:noProof/>
                <w:sz w:val="22"/>
              </w:rPr>
            </w:pPr>
            <w:r>
              <w:rPr>
                <w:noProof/>
                <w:sz w:val="22"/>
              </w:rPr>
              <w:t>Interoperability Maturity Model</w:t>
            </w:r>
          </w:p>
        </w:tc>
        <w:tc>
          <w:tcPr>
            <w:tcW w:w="2520" w:type="dxa"/>
            <w:noWrap/>
            <w:hideMark/>
          </w:tcPr>
          <w:p>
            <w:pPr>
              <w:spacing w:before="20" w:after="20"/>
              <w:jc w:val="center"/>
              <w:rPr>
                <w:noProof/>
                <w:sz w:val="22"/>
              </w:rPr>
            </w:pPr>
            <w:r>
              <w:rPr>
                <w:noProof/>
                <w:sz w:val="22"/>
              </w:rPr>
              <w:t>9</w:t>
            </w:r>
          </w:p>
        </w:tc>
        <w:tc>
          <w:tcPr>
            <w:tcW w:w="2620" w:type="dxa"/>
            <w:noWrap/>
            <w:hideMark/>
          </w:tcPr>
          <w:p>
            <w:pPr>
              <w:spacing w:before="20" w:after="20"/>
              <w:jc w:val="center"/>
              <w:rPr>
                <w:noProof/>
                <w:sz w:val="22"/>
              </w:rPr>
            </w:pPr>
            <w:r>
              <w:rPr>
                <w:noProof/>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3775" w:type="dxa"/>
            <w:hideMark/>
          </w:tcPr>
          <w:p>
            <w:pPr>
              <w:spacing w:before="20" w:after="20"/>
              <w:rPr>
                <w:bCs/>
                <w:noProof/>
                <w:sz w:val="22"/>
              </w:rPr>
            </w:pPr>
            <w:r>
              <w:rPr>
                <w:noProof/>
                <w:sz w:val="22"/>
              </w:rPr>
              <w:t>Standard-Based Archival Data Management, Exchange and Publication</w:t>
            </w:r>
          </w:p>
        </w:tc>
        <w:tc>
          <w:tcPr>
            <w:tcW w:w="2520" w:type="dxa"/>
            <w:noWrap/>
            <w:hideMark/>
          </w:tcPr>
          <w:p>
            <w:pPr>
              <w:spacing w:before="20" w:after="20"/>
              <w:jc w:val="center"/>
              <w:rPr>
                <w:noProof/>
                <w:sz w:val="22"/>
              </w:rPr>
            </w:pPr>
            <w:r>
              <w:rPr>
                <w:noProof/>
                <w:sz w:val="22"/>
              </w:rPr>
              <w:t>0</w:t>
            </w:r>
          </w:p>
        </w:tc>
        <w:tc>
          <w:tcPr>
            <w:tcW w:w="2620" w:type="dxa"/>
            <w:noWrap/>
            <w:hideMark/>
          </w:tcPr>
          <w:p>
            <w:pPr>
              <w:spacing w:before="20" w:after="20"/>
              <w:jc w:val="center"/>
              <w:rPr>
                <w:noProof/>
                <w:sz w:val="22"/>
              </w:rPr>
            </w:pPr>
            <w:r>
              <w:rPr>
                <w:noProof/>
                <w:sz w:val="22"/>
              </w:rPr>
              <w:t>1</w:t>
            </w:r>
          </w:p>
        </w:tc>
      </w:tr>
      <w:tr>
        <w:trPr>
          <w:trHeight w:val="20"/>
        </w:trPr>
        <w:tc>
          <w:tcPr>
            <w:tcW w:w="8915" w:type="dxa"/>
            <w:gridSpan w:val="3"/>
            <w:noWrap/>
            <w:hideMark/>
          </w:tcPr>
          <w:p>
            <w:pPr>
              <w:spacing w:before="20" w:after="20"/>
              <w:jc w:val="center"/>
              <w:rPr>
                <w:b/>
                <w:bCs/>
                <w:noProof/>
                <w:sz w:val="22"/>
              </w:rPr>
            </w:pPr>
            <w:r>
              <w:rPr>
                <w:b/>
                <w:noProof/>
                <w:sz w:val="22"/>
              </w:rPr>
              <w:t>9. Accompanying measures</w:t>
            </w:r>
          </w:p>
        </w:tc>
      </w:tr>
      <w:tr>
        <w:trPr>
          <w:cnfStyle w:val="000000100000" w:firstRow="0" w:lastRow="0" w:firstColumn="0" w:lastColumn="0" w:oddVBand="0" w:evenVBand="0" w:oddHBand="1" w:evenHBand="0" w:firstRowFirstColumn="0" w:firstRowLastColumn="0" w:lastRowFirstColumn="0" w:lastRowLastColumn="0"/>
          <w:trHeight w:val="20"/>
        </w:trPr>
        <w:tc>
          <w:tcPr>
            <w:tcW w:w="3775" w:type="dxa"/>
            <w:hideMark/>
          </w:tcPr>
          <w:p>
            <w:pPr>
              <w:spacing w:before="20" w:after="20"/>
              <w:rPr>
                <w:bCs/>
                <w:noProof/>
                <w:sz w:val="22"/>
              </w:rPr>
            </w:pPr>
            <w:r>
              <w:rPr>
                <w:noProof/>
                <w:sz w:val="22"/>
              </w:rPr>
              <w:t>Raising Interoperability Awareness - Communication Activities</w:t>
            </w:r>
          </w:p>
        </w:tc>
        <w:tc>
          <w:tcPr>
            <w:tcW w:w="2520" w:type="dxa"/>
            <w:noWrap/>
            <w:hideMark/>
          </w:tcPr>
          <w:p>
            <w:pPr>
              <w:spacing w:before="20" w:after="20"/>
              <w:jc w:val="center"/>
              <w:rPr>
                <w:noProof/>
                <w:sz w:val="22"/>
              </w:rPr>
            </w:pPr>
            <w:r>
              <w:rPr>
                <w:noProof/>
                <w:sz w:val="22"/>
              </w:rPr>
              <w:t>1</w:t>
            </w:r>
          </w:p>
        </w:tc>
        <w:tc>
          <w:tcPr>
            <w:tcW w:w="2620" w:type="dxa"/>
            <w:noWrap/>
            <w:hideMark/>
          </w:tcPr>
          <w:p>
            <w:pPr>
              <w:spacing w:before="20" w:after="20"/>
              <w:jc w:val="center"/>
              <w:rPr>
                <w:noProof/>
                <w:sz w:val="22"/>
              </w:rPr>
            </w:pPr>
            <w:r>
              <w:rPr>
                <w:noProof/>
                <w:sz w:val="22"/>
              </w:rPr>
              <w:t>0</w:t>
            </w:r>
          </w:p>
        </w:tc>
      </w:tr>
    </w:tbl>
    <w:p>
      <w:pPr>
        <w:pStyle w:val="Notes"/>
        <w:rPr>
          <w:rFonts w:cs="Times New Roman"/>
          <w:noProof/>
        </w:rPr>
      </w:pPr>
      <w:r>
        <w:rPr>
          <w:rFonts w:cs="Times New Roman"/>
          <w:noProof/>
        </w:rPr>
        <w:t>*Note: For the ‘ELISE’ action, further information was provided by the action owner regarding the number of other ISA² actions that use the solutions of ELISE.</w:t>
      </w:r>
    </w:p>
    <w:p>
      <w:pPr>
        <w:pStyle w:val="Notes"/>
        <w:rPr>
          <w:rFonts w:cs="Times New Roman"/>
          <w:noProof/>
        </w:rPr>
      </w:pPr>
      <w:r>
        <w:rPr>
          <w:rFonts w:cs="Times New Roman"/>
          <w:noProof/>
        </w:rPr>
        <w:t>**Note: For the ‘European Public Procurement Interoperability Initiative’ action, further information was provided by the action owner regarding the number of other ISA² solutions that are used by the action.</w:t>
      </w:r>
    </w:p>
    <w:p>
      <w:pPr>
        <w:rPr>
          <w:rFonts w:cs="Times New Roman"/>
          <w:i/>
          <w:noProof/>
          <w:sz w:val="20"/>
          <w:szCs w:val="20"/>
          <w:lang w:val="en-GB"/>
        </w:rPr>
      </w:pPr>
      <w:r>
        <w:rPr>
          <w:rFonts w:cs="Times New Roman"/>
          <w:i/>
          <w:noProof/>
          <w:sz w:val="20"/>
          <w:szCs w:val="20"/>
          <w:lang w:val="en-GB"/>
        </w:rPr>
        <w:t xml:space="preserve">Source: </w:t>
      </w:r>
      <w:hyperlink r:id="rId271" w:history="1">
        <w:r>
          <w:rPr>
            <w:rStyle w:val="Hyperlink"/>
            <w:rFonts w:cs="Times New Roman"/>
            <w:i/>
            <w:noProof/>
            <w:sz w:val="20"/>
            <w:lang w:val="en-GB"/>
          </w:rPr>
          <w:t>CEPS final study</w:t>
        </w:r>
      </w:hyperlink>
    </w:p>
    <w:p>
      <w:pPr>
        <w:rPr>
          <w:rFonts w:cs="Times New Roman"/>
          <w:noProof/>
          <w:lang w:val="en-GB"/>
        </w:rPr>
      </w:pPr>
    </w:p>
    <w:p>
      <w:pPr>
        <w:shd w:val="clear" w:color="auto" w:fill="C6D9F1" w:themeFill="text2" w:themeFillTint="33"/>
        <w:rPr>
          <w:rFonts w:cs="Times New Roman"/>
          <w:noProof/>
          <w:lang w:val="en-GB"/>
        </w:rPr>
      </w:pPr>
      <w:r>
        <w:rPr>
          <w:rFonts w:cs="Times New Roman"/>
          <w:noProof/>
          <w:lang w:val="en-GB"/>
        </w:rPr>
        <w:t>EQ7: To what extent is the ISA² programme coherent with other EU interventions that have similar objectives and with global initiatives in the same field? (External coherence)</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18</w:t>
      </w:r>
      <w:r>
        <w:rPr>
          <w:rFonts w:cs="Times New Roman"/>
          <w:noProof/>
        </w:rPr>
        <w:fldChar w:fldCharType="end"/>
      </w:r>
      <w:r>
        <w:rPr>
          <w:rFonts w:cs="Times New Roman"/>
          <w:noProof/>
        </w:rPr>
        <w:t>: Number of links between the sample actions and other EU programmes / policies / initiatives</w:t>
      </w:r>
    </w:p>
    <w:tbl>
      <w:tblPr>
        <w:tblStyle w:val="GridTable4-Accent11"/>
        <w:tblW w:w="9016" w:type="dxa"/>
        <w:tblLook w:val="0420" w:firstRow="1" w:lastRow="0" w:firstColumn="0" w:lastColumn="0" w:noHBand="0" w:noVBand="1"/>
      </w:tblPr>
      <w:tblGrid>
        <w:gridCol w:w="4726"/>
        <w:gridCol w:w="2145"/>
        <w:gridCol w:w="2145"/>
      </w:tblGrid>
      <w:tr>
        <w:trPr>
          <w:cnfStyle w:val="100000000000" w:firstRow="1" w:lastRow="0" w:firstColumn="0" w:lastColumn="0" w:oddVBand="0" w:evenVBand="0" w:oddHBand="0" w:evenHBand="0" w:firstRowFirstColumn="0" w:firstRowLastColumn="0" w:lastRowFirstColumn="0" w:lastRowLastColumn="0"/>
          <w:trHeight w:val="1151"/>
        </w:trPr>
        <w:tc>
          <w:tcPr>
            <w:tcW w:w="4726" w:type="dxa"/>
            <w:noWrap/>
            <w:vAlign w:val="center"/>
            <w:hideMark/>
          </w:tcPr>
          <w:p>
            <w:pPr>
              <w:spacing w:before="40" w:after="40"/>
              <w:jc w:val="center"/>
              <w:rPr>
                <w:noProof/>
                <w:sz w:val="22"/>
              </w:rPr>
            </w:pPr>
            <w:r>
              <w:rPr>
                <w:bCs w:val="0"/>
                <w:noProof/>
                <w:sz w:val="22"/>
              </w:rPr>
              <w:t>Actions</w:t>
            </w:r>
          </w:p>
        </w:tc>
        <w:tc>
          <w:tcPr>
            <w:tcW w:w="2145" w:type="dxa"/>
            <w:vAlign w:val="center"/>
            <w:hideMark/>
          </w:tcPr>
          <w:p>
            <w:pPr>
              <w:spacing w:before="40" w:after="40"/>
              <w:jc w:val="center"/>
              <w:rPr>
                <w:noProof/>
                <w:sz w:val="22"/>
              </w:rPr>
            </w:pPr>
            <w:r>
              <w:rPr>
                <w:bCs w:val="0"/>
                <w:noProof/>
                <w:sz w:val="22"/>
              </w:rPr>
              <w:t>Number of other EU programmes / policies / initiatives that the action relies on</w:t>
            </w:r>
          </w:p>
        </w:tc>
        <w:tc>
          <w:tcPr>
            <w:tcW w:w="2145" w:type="dxa"/>
            <w:vAlign w:val="center"/>
          </w:tcPr>
          <w:p>
            <w:pPr>
              <w:spacing w:before="40" w:after="40"/>
              <w:jc w:val="center"/>
              <w:rPr>
                <w:bCs w:val="0"/>
                <w:noProof/>
                <w:sz w:val="22"/>
              </w:rPr>
            </w:pPr>
            <w:r>
              <w:rPr>
                <w:bCs w:val="0"/>
                <w:noProof/>
                <w:sz w:val="22"/>
              </w:rPr>
              <w:t>Number of other EU programmes / policies / initiatives that use the solution(s) provided by the action</w:t>
            </w:r>
          </w:p>
        </w:tc>
      </w:tr>
      <w:tr>
        <w:trPr>
          <w:cnfStyle w:val="000000100000" w:firstRow="0" w:lastRow="0" w:firstColumn="0" w:lastColumn="0" w:oddVBand="0" w:evenVBand="0" w:oddHBand="1" w:evenHBand="0" w:firstRowFirstColumn="0" w:firstRowLastColumn="0" w:lastRowFirstColumn="0" w:lastRowLastColumn="0"/>
          <w:trHeight w:val="20"/>
        </w:trPr>
        <w:tc>
          <w:tcPr>
            <w:tcW w:w="9016" w:type="dxa"/>
            <w:gridSpan w:val="3"/>
            <w:hideMark/>
          </w:tcPr>
          <w:p>
            <w:pPr>
              <w:spacing w:before="40" w:after="40"/>
              <w:jc w:val="center"/>
              <w:rPr>
                <w:b/>
                <w:noProof/>
                <w:sz w:val="22"/>
              </w:rPr>
            </w:pPr>
            <w:r>
              <w:rPr>
                <w:b/>
                <w:noProof/>
                <w:sz w:val="22"/>
              </w:rPr>
              <w:t>1. Key and generic interoperability enablers</w:t>
            </w:r>
          </w:p>
        </w:tc>
      </w:tr>
      <w:tr>
        <w:trPr>
          <w:trHeight w:val="20"/>
        </w:trPr>
        <w:tc>
          <w:tcPr>
            <w:tcW w:w="4726" w:type="dxa"/>
            <w:hideMark/>
          </w:tcPr>
          <w:p>
            <w:pPr>
              <w:spacing w:before="40" w:after="40"/>
              <w:rPr>
                <w:bCs/>
                <w:noProof/>
                <w:sz w:val="22"/>
              </w:rPr>
            </w:pPr>
            <w:r>
              <w:rPr>
                <w:noProof/>
                <w:sz w:val="22"/>
              </w:rPr>
              <w:t>Trusted Exchange Platform (e-TrustEx)</w:t>
            </w:r>
          </w:p>
        </w:tc>
        <w:tc>
          <w:tcPr>
            <w:tcW w:w="2145" w:type="dxa"/>
            <w:noWrap/>
            <w:hideMark/>
          </w:tcPr>
          <w:p>
            <w:pPr>
              <w:spacing w:before="40" w:after="40"/>
              <w:jc w:val="center"/>
              <w:rPr>
                <w:noProof/>
                <w:sz w:val="22"/>
              </w:rPr>
            </w:pPr>
            <w:r>
              <w:rPr>
                <w:noProof/>
                <w:sz w:val="22"/>
              </w:rPr>
              <w:t>5</w:t>
            </w:r>
          </w:p>
        </w:tc>
        <w:tc>
          <w:tcPr>
            <w:tcW w:w="2145" w:type="dxa"/>
            <w:noWrap/>
            <w:hideMark/>
          </w:tcPr>
          <w:p>
            <w:pPr>
              <w:spacing w:before="40" w:after="40"/>
              <w:jc w:val="center"/>
              <w:rPr>
                <w:noProof/>
                <w:sz w:val="22"/>
              </w:rPr>
            </w:pPr>
            <w:r>
              <w:rPr>
                <w:noProof/>
                <w:sz w:val="22"/>
              </w:rPr>
              <w:t>7*</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40" w:after="40"/>
              <w:jc w:val="both"/>
              <w:rPr>
                <w:bCs/>
                <w:noProof/>
                <w:sz w:val="22"/>
              </w:rPr>
            </w:pPr>
            <w:r>
              <w:rPr>
                <w:noProof/>
                <w:sz w:val="22"/>
              </w:rPr>
              <w:t>Catalogue of Services</w:t>
            </w:r>
          </w:p>
        </w:tc>
        <w:tc>
          <w:tcPr>
            <w:tcW w:w="2145" w:type="dxa"/>
            <w:noWrap/>
            <w:hideMark/>
          </w:tcPr>
          <w:p>
            <w:pPr>
              <w:spacing w:before="40" w:after="40"/>
              <w:jc w:val="center"/>
              <w:rPr>
                <w:noProof/>
                <w:sz w:val="22"/>
              </w:rPr>
            </w:pPr>
            <w:r>
              <w:rPr>
                <w:noProof/>
                <w:sz w:val="22"/>
              </w:rPr>
              <w:t>4</w:t>
            </w:r>
          </w:p>
        </w:tc>
        <w:tc>
          <w:tcPr>
            <w:tcW w:w="2145" w:type="dxa"/>
            <w:noWrap/>
            <w:hideMark/>
          </w:tcPr>
          <w:p>
            <w:pPr>
              <w:spacing w:before="40" w:after="40"/>
              <w:jc w:val="center"/>
              <w:rPr>
                <w:noProof/>
                <w:sz w:val="22"/>
              </w:rPr>
            </w:pPr>
            <w:r>
              <w:rPr>
                <w:noProof/>
                <w:sz w:val="22"/>
              </w:rPr>
              <w:t>2</w:t>
            </w:r>
          </w:p>
        </w:tc>
      </w:tr>
      <w:tr>
        <w:trPr>
          <w:trHeight w:val="20"/>
        </w:trPr>
        <w:tc>
          <w:tcPr>
            <w:tcW w:w="9016" w:type="dxa"/>
            <w:gridSpan w:val="3"/>
            <w:noWrap/>
            <w:hideMark/>
          </w:tcPr>
          <w:p>
            <w:pPr>
              <w:spacing w:before="40" w:after="40"/>
              <w:jc w:val="center"/>
              <w:rPr>
                <w:b/>
                <w:bCs/>
                <w:noProof/>
                <w:sz w:val="22"/>
              </w:rPr>
            </w:pPr>
            <w:r>
              <w:rPr>
                <w:b/>
                <w:noProof/>
                <w:sz w:val="22"/>
              </w:rPr>
              <w:t>2. Semantic Interoperability</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40" w:after="40"/>
              <w:rPr>
                <w:bCs/>
                <w:noProof/>
                <w:sz w:val="22"/>
              </w:rPr>
            </w:pPr>
            <w:r>
              <w:rPr>
                <w:noProof/>
                <w:sz w:val="22"/>
              </w:rPr>
              <w:t>Public Multilingual Knowledge Management Infrastructure for the Digital Single Market (PMKI)</w:t>
            </w:r>
          </w:p>
        </w:tc>
        <w:tc>
          <w:tcPr>
            <w:tcW w:w="2145" w:type="dxa"/>
            <w:noWrap/>
            <w:hideMark/>
          </w:tcPr>
          <w:p>
            <w:pPr>
              <w:spacing w:before="40" w:after="40"/>
              <w:jc w:val="center"/>
              <w:rPr>
                <w:noProof/>
                <w:sz w:val="22"/>
              </w:rPr>
            </w:pPr>
            <w:r>
              <w:rPr>
                <w:noProof/>
                <w:sz w:val="22"/>
              </w:rPr>
              <w:t>1</w:t>
            </w:r>
          </w:p>
        </w:tc>
        <w:tc>
          <w:tcPr>
            <w:tcW w:w="2145" w:type="dxa"/>
            <w:noWrap/>
            <w:hideMark/>
          </w:tcPr>
          <w:p>
            <w:pPr>
              <w:spacing w:before="40" w:after="40"/>
              <w:jc w:val="center"/>
              <w:rPr>
                <w:noProof/>
                <w:sz w:val="22"/>
              </w:rPr>
            </w:pPr>
            <w:r>
              <w:rPr>
                <w:noProof/>
                <w:sz w:val="22"/>
              </w:rPr>
              <w:t>1</w:t>
            </w:r>
          </w:p>
        </w:tc>
      </w:tr>
      <w:tr>
        <w:trPr>
          <w:trHeight w:val="20"/>
        </w:trPr>
        <w:tc>
          <w:tcPr>
            <w:tcW w:w="4726" w:type="dxa"/>
            <w:hideMark/>
          </w:tcPr>
          <w:p>
            <w:pPr>
              <w:spacing w:before="40" w:after="40"/>
              <w:rPr>
                <w:bCs/>
                <w:noProof/>
                <w:sz w:val="22"/>
              </w:rPr>
            </w:pPr>
            <w:r>
              <w:rPr>
                <w:noProof/>
                <w:sz w:val="22"/>
              </w:rPr>
              <w:t>SEMIC: Promoting Semantic Interoperability Amongst the European Union Member States</w:t>
            </w:r>
          </w:p>
        </w:tc>
        <w:tc>
          <w:tcPr>
            <w:tcW w:w="2145" w:type="dxa"/>
            <w:noWrap/>
            <w:hideMark/>
          </w:tcPr>
          <w:p>
            <w:pPr>
              <w:spacing w:before="40" w:after="40"/>
              <w:jc w:val="center"/>
              <w:rPr>
                <w:noProof/>
                <w:sz w:val="22"/>
              </w:rPr>
            </w:pPr>
            <w:r>
              <w:rPr>
                <w:noProof/>
                <w:sz w:val="22"/>
              </w:rPr>
              <w:t>6</w:t>
            </w:r>
          </w:p>
        </w:tc>
        <w:tc>
          <w:tcPr>
            <w:tcW w:w="2145" w:type="dxa"/>
            <w:noWrap/>
            <w:hideMark/>
          </w:tcPr>
          <w:p>
            <w:pPr>
              <w:spacing w:before="40" w:after="40"/>
              <w:jc w:val="center"/>
              <w:rPr>
                <w:noProof/>
                <w:sz w:val="22"/>
              </w:rPr>
            </w:pPr>
            <w:r>
              <w:rPr>
                <w:noProof/>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9016" w:type="dxa"/>
            <w:gridSpan w:val="3"/>
            <w:noWrap/>
            <w:hideMark/>
          </w:tcPr>
          <w:p>
            <w:pPr>
              <w:spacing w:before="40" w:after="40"/>
              <w:jc w:val="center"/>
              <w:rPr>
                <w:b/>
                <w:bCs/>
                <w:noProof/>
                <w:sz w:val="22"/>
              </w:rPr>
            </w:pPr>
            <w:r>
              <w:rPr>
                <w:b/>
                <w:noProof/>
                <w:sz w:val="22"/>
              </w:rPr>
              <w:t>3. Access to data/data sharing/open data</w:t>
            </w:r>
          </w:p>
        </w:tc>
      </w:tr>
      <w:tr>
        <w:trPr>
          <w:trHeight w:val="20"/>
        </w:trPr>
        <w:tc>
          <w:tcPr>
            <w:tcW w:w="4726" w:type="dxa"/>
            <w:hideMark/>
          </w:tcPr>
          <w:p>
            <w:pPr>
              <w:spacing w:before="40" w:after="40"/>
              <w:jc w:val="both"/>
              <w:rPr>
                <w:bCs/>
                <w:noProof/>
                <w:sz w:val="22"/>
              </w:rPr>
            </w:pPr>
            <w:r>
              <w:rPr>
                <w:noProof/>
                <w:sz w:val="22"/>
              </w:rPr>
              <w:t>Big Data for Public Administrations</w:t>
            </w:r>
          </w:p>
        </w:tc>
        <w:tc>
          <w:tcPr>
            <w:tcW w:w="2145" w:type="dxa"/>
            <w:noWrap/>
            <w:hideMark/>
          </w:tcPr>
          <w:p>
            <w:pPr>
              <w:spacing w:before="40" w:after="40"/>
              <w:jc w:val="center"/>
              <w:rPr>
                <w:noProof/>
                <w:sz w:val="22"/>
              </w:rPr>
            </w:pPr>
            <w:r>
              <w:rPr>
                <w:noProof/>
                <w:sz w:val="22"/>
              </w:rPr>
              <w:t>0</w:t>
            </w:r>
          </w:p>
        </w:tc>
        <w:tc>
          <w:tcPr>
            <w:tcW w:w="2145" w:type="dxa"/>
            <w:noWrap/>
            <w:hideMark/>
          </w:tcPr>
          <w:p>
            <w:pPr>
              <w:spacing w:before="40" w:after="40"/>
              <w:jc w:val="center"/>
              <w:rPr>
                <w:noProof/>
                <w:sz w:val="22"/>
              </w:rPr>
            </w:pPr>
            <w:r>
              <w:rPr>
                <w:noProof/>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40" w:after="40"/>
              <w:rPr>
                <w:bCs/>
                <w:noProof/>
                <w:sz w:val="22"/>
              </w:rPr>
            </w:pPr>
            <w:r>
              <w:rPr>
                <w:noProof/>
                <w:sz w:val="22"/>
              </w:rPr>
              <w:t>Sharing Statistical Production and Dissemination Services and Solutions in the European Statistical System</w:t>
            </w:r>
          </w:p>
        </w:tc>
        <w:tc>
          <w:tcPr>
            <w:tcW w:w="2145" w:type="dxa"/>
            <w:noWrap/>
            <w:hideMark/>
          </w:tcPr>
          <w:p>
            <w:pPr>
              <w:spacing w:before="40" w:after="40"/>
              <w:jc w:val="center"/>
              <w:rPr>
                <w:noProof/>
                <w:sz w:val="22"/>
              </w:rPr>
            </w:pPr>
            <w:r>
              <w:rPr>
                <w:noProof/>
                <w:sz w:val="22"/>
              </w:rPr>
              <w:t>12</w:t>
            </w:r>
          </w:p>
        </w:tc>
        <w:tc>
          <w:tcPr>
            <w:tcW w:w="2145" w:type="dxa"/>
            <w:noWrap/>
            <w:hideMark/>
          </w:tcPr>
          <w:p>
            <w:pPr>
              <w:spacing w:before="40" w:after="40"/>
              <w:jc w:val="center"/>
              <w:rPr>
                <w:noProof/>
                <w:sz w:val="22"/>
              </w:rPr>
            </w:pPr>
            <w:r>
              <w:rPr>
                <w:noProof/>
                <w:sz w:val="22"/>
              </w:rPr>
              <w:t>2</w:t>
            </w:r>
          </w:p>
        </w:tc>
      </w:tr>
      <w:tr>
        <w:trPr>
          <w:trHeight w:val="20"/>
        </w:trPr>
        <w:tc>
          <w:tcPr>
            <w:tcW w:w="4726" w:type="dxa"/>
            <w:hideMark/>
          </w:tcPr>
          <w:p>
            <w:pPr>
              <w:spacing w:before="40" w:after="40"/>
              <w:rPr>
                <w:bCs/>
                <w:noProof/>
                <w:sz w:val="22"/>
              </w:rPr>
            </w:pPr>
            <w:r>
              <w:rPr>
                <w:noProof/>
                <w:sz w:val="22"/>
              </w:rPr>
              <w:t>Development of an Open Data Service, Support and Training Package in the Area of Linked Open Data, Data Visualisation and Persistent Identification</w:t>
            </w:r>
          </w:p>
        </w:tc>
        <w:tc>
          <w:tcPr>
            <w:tcW w:w="2145" w:type="dxa"/>
            <w:noWrap/>
            <w:hideMark/>
          </w:tcPr>
          <w:p>
            <w:pPr>
              <w:spacing w:before="40" w:after="40"/>
              <w:jc w:val="center"/>
              <w:rPr>
                <w:noProof/>
                <w:sz w:val="22"/>
              </w:rPr>
            </w:pPr>
            <w:r>
              <w:rPr>
                <w:noProof/>
                <w:sz w:val="22"/>
              </w:rPr>
              <w:t>3</w:t>
            </w:r>
          </w:p>
        </w:tc>
        <w:tc>
          <w:tcPr>
            <w:tcW w:w="2145" w:type="dxa"/>
            <w:noWrap/>
            <w:hideMark/>
          </w:tcPr>
          <w:p>
            <w:pPr>
              <w:spacing w:before="40" w:after="40"/>
              <w:jc w:val="center"/>
              <w:rPr>
                <w:noProof/>
                <w:sz w:val="22"/>
              </w:rPr>
            </w:pPr>
            <w:r>
              <w:rPr>
                <w:noProof/>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9016" w:type="dxa"/>
            <w:gridSpan w:val="3"/>
            <w:noWrap/>
            <w:hideMark/>
          </w:tcPr>
          <w:p>
            <w:pPr>
              <w:spacing w:before="40" w:after="40"/>
              <w:jc w:val="center"/>
              <w:rPr>
                <w:b/>
                <w:bCs/>
                <w:noProof/>
                <w:sz w:val="22"/>
              </w:rPr>
            </w:pPr>
            <w:r>
              <w:rPr>
                <w:b/>
                <w:noProof/>
                <w:sz w:val="22"/>
              </w:rPr>
              <w:t>4. Geospatial Solutions</w:t>
            </w:r>
          </w:p>
        </w:tc>
      </w:tr>
      <w:tr>
        <w:trPr>
          <w:trHeight w:val="20"/>
        </w:trPr>
        <w:tc>
          <w:tcPr>
            <w:tcW w:w="4726" w:type="dxa"/>
            <w:hideMark/>
          </w:tcPr>
          <w:p>
            <w:pPr>
              <w:spacing w:before="40" w:after="40"/>
              <w:rPr>
                <w:bCs/>
                <w:noProof/>
                <w:sz w:val="22"/>
              </w:rPr>
            </w:pPr>
            <w:r>
              <w:rPr>
                <w:noProof/>
                <w:sz w:val="22"/>
              </w:rPr>
              <w:t>European Location Interoperability Solutions for e-Government (ELISE)</w:t>
            </w:r>
          </w:p>
        </w:tc>
        <w:tc>
          <w:tcPr>
            <w:tcW w:w="2145" w:type="dxa"/>
            <w:noWrap/>
            <w:hideMark/>
          </w:tcPr>
          <w:p>
            <w:pPr>
              <w:spacing w:before="40" w:after="40"/>
              <w:jc w:val="center"/>
              <w:rPr>
                <w:noProof/>
                <w:sz w:val="22"/>
              </w:rPr>
            </w:pPr>
            <w:r>
              <w:rPr>
                <w:noProof/>
                <w:sz w:val="22"/>
              </w:rPr>
              <w:t>3</w:t>
            </w:r>
          </w:p>
        </w:tc>
        <w:tc>
          <w:tcPr>
            <w:tcW w:w="2145" w:type="dxa"/>
            <w:noWrap/>
            <w:hideMark/>
          </w:tcPr>
          <w:p>
            <w:pPr>
              <w:spacing w:before="40" w:after="40"/>
              <w:jc w:val="center"/>
              <w:rPr>
                <w:noProof/>
                <w:sz w:val="22"/>
              </w:rPr>
            </w:pPr>
            <w:r>
              <w:rPr>
                <w:noProof/>
                <w:sz w:val="22"/>
              </w:rPr>
              <w:t>3**</w:t>
            </w:r>
          </w:p>
        </w:tc>
      </w:tr>
      <w:tr>
        <w:trPr>
          <w:cnfStyle w:val="000000100000" w:firstRow="0" w:lastRow="0" w:firstColumn="0" w:lastColumn="0" w:oddVBand="0" w:evenVBand="0" w:oddHBand="1" w:evenHBand="0" w:firstRowFirstColumn="0" w:firstRowLastColumn="0" w:lastRowFirstColumn="0" w:lastRowLastColumn="0"/>
          <w:trHeight w:val="20"/>
        </w:trPr>
        <w:tc>
          <w:tcPr>
            <w:tcW w:w="9016" w:type="dxa"/>
            <w:gridSpan w:val="3"/>
            <w:noWrap/>
            <w:hideMark/>
          </w:tcPr>
          <w:p>
            <w:pPr>
              <w:spacing w:before="40" w:after="40"/>
              <w:jc w:val="center"/>
              <w:rPr>
                <w:b/>
                <w:bCs/>
                <w:noProof/>
                <w:sz w:val="22"/>
              </w:rPr>
            </w:pPr>
            <w:r>
              <w:rPr>
                <w:b/>
                <w:noProof/>
                <w:sz w:val="22"/>
              </w:rPr>
              <w:t>5. eProcurement/e-invoicing-Supporting instruments</w:t>
            </w:r>
          </w:p>
        </w:tc>
      </w:tr>
      <w:tr>
        <w:trPr>
          <w:trHeight w:val="20"/>
        </w:trPr>
        <w:tc>
          <w:tcPr>
            <w:tcW w:w="4726" w:type="dxa"/>
            <w:hideMark/>
          </w:tcPr>
          <w:p>
            <w:pPr>
              <w:spacing w:before="40" w:after="40"/>
              <w:rPr>
                <w:bCs/>
                <w:noProof/>
                <w:sz w:val="22"/>
              </w:rPr>
            </w:pPr>
            <w:r>
              <w:rPr>
                <w:noProof/>
                <w:sz w:val="22"/>
              </w:rPr>
              <w:t>European Public Procurement Interoperability Initiative</w:t>
            </w:r>
          </w:p>
        </w:tc>
        <w:tc>
          <w:tcPr>
            <w:tcW w:w="2145" w:type="dxa"/>
            <w:noWrap/>
            <w:hideMark/>
          </w:tcPr>
          <w:p>
            <w:pPr>
              <w:spacing w:before="40" w:after="40"/>
              <w:jc w:val="center"/>
              <w:rPr>
                <w:noProof/>
                <w:sz w:val="22"/>
              </w:rPr>
            </w:pPr>
            <w:r>
              <w:rPr>
                <w:noProof/>
                <w:sz w:val="22"/>
              </w:rPr>
              <w:t>7</w:t>
            </w:r>
          </w:p>
        </w:tc>
        <w:tc>
          <w:tcPr>
            <w:tcW w:w="2145" w:type="dxa"/>
            <w:noWrap/>
            <w:hideMark/>
          </w:tcPr>
          <w:p>
            <w:pPr>
              <w:spacing w:before="40" w:after="40"/>
              <w:jc w:val="center"/>
              <w:rPr>
                <w:noProof/>
                <w:sz w:val="22"/>
              </w:rPr>
            </w:pPr>
            <w:r>
              <w:rPr>
                <w:noProof/>
                <w:sz w:val="22"/>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9016" w:type="dxa"/>
            <w:gridSpan w:val="3"/>
            <w:noWrap/>
            <w:hideMark/>
          </w:tcPr>
          <w:p>
            <w:pPr>
              <w:spacing w:before="40" w:after="40"/>
              <w:jc w:val="center"/>
              <w:rPr>
                <w:b/>
                <w:bCs/>
                <w:noProof/>
                <w:sz w:val="22"/>
              </w:rPr>
            </w:pPr>
            <w:r>
              <w:rPr>
                <w:b/>
                <w:noProof/>
                <w:sz w:val="22"/>
              </w:rPr>
              <w:t>6. Decision making and legislation-Supporting instruments</w:t>
            </w:r>
          </w:p>
        </w:tc>
      </w:tr>
      <w:tr>
        <w:trPr>
          <w:trHeight w:val="20"/>
        </w:trPr>
        <w:tc>
          <w:tcPr>
            <w:tcW w:w="4726" w:type="dxa"/>
            <w:hideMark/>
          </w:tcPr>
          <w:p>
            <w:pPr>
              <w:spacing w:before="40" w:after="40"/>
              <w:jc w:val="both"/>
              <w:rPr>
                <w:bCs/>
                <w:noProof/>
                <w:sz w:val="22"/>
              </w:rPr>
            </w:pPr>
            <w:r>
              <w:rPr>
                <w:noProof/>
                <w:sz w:val="22"/>
              </w:rPr>
              <w:t>ICT Implications of EU Legislation</w:t>
            </w:r>
          </w:p>
        </w:tc>
        <w:tc>
          <w:tcPr>
            <w:tcW w:w="2145" w:type="dxa"/>
            <w:noWrap/>
            <w:hideMark/>
          </w:tcPr>
          <w:p>
            <w:pPr>
              <w:spacing w:before="40" w:after="40"/>
              <w:jc w:val="center"/>
              <w:rPr>
                <w:noProof/>
                <w:sz w:val="22"/>
              </w:rPr>
            </w:pPr>
            <w:r>
              <w:rPr>
                <w:noProof/>
                <w:sz w:val="22"/>
              </w:rPr>
              <w:t>3</w:t>
            </w:r>
          </w:p>
        </w:tc>
        <w:tc>
          <w:tcPr>
            <w:tcW w:w="2145" w:type="dxa"/>
            <w:noWrap/>
            <w:hideMark/>
          </w:tcPr>
          <w:p>
            <w:pPr>
              <w:spacing w:before="40" w:after="40"/>
              <w:jc w:val="center"/>
              <w:rPr>
                <w:noProof/>
                <w:sz w:val="22"/>
              </w:rPr>
            </w:pPr>
            <w:r>
              <w:rPr>
                <w:noProof/>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40" w:after="40"/>
              <w:jc w:val="both"/>
              <w:rPr>
                <w:bCs/>
                <w:noProof/>
                <w:sz w:val="22"/>
              </w:rPr>
            </w:pPr>
            <w:r>
              <w:rPr>
                <w:noProof/>
                <w:sz w:val="22"/>
              </w:rPr>
              <w:t>REFIT Platform</w:t>
            </w:r>
          </w:p>
        </w:tc>
        <w:tc>
          <w:tcPr>
            <w:tcW w:w="2145" w:type="dxa"/>
            <w:noWrap/>
            <w:hideMark/>
          </w:tcPr>
          <w:p>
            <w:pPr>
              <w:spacing w:before="40" w:after="40"/>
              <w:jc w:val="center"/>
              <w:rPr>
                <w:noProof/>
                <w:sz w:val="22"/>
              </w:rPr>
            </w:pPr>
            <w:r>
              <w:rPr>
                <w:noProof/>
                <w:sz w:val="22"/>
              </w:rPr>
              <w:t>0</w:t>
            </w:r>
          </w:p>
        </w:tc>
        <w:tc>
          <w:tcPr>
            <w:tcW w:w="2145" w:type="dxa"/>
            <w:noWrap/>
            <w:hideMark/>
          </w:tcPr>
          <w:p>
            <w:pPr>
              <w:spacing w:before="40" w:after="40"/>
              <w:jc w:val="center"/>
              <w:rPr>
                <w:noProof/>
                <w:sz w:val="22"/>
              </w:rPr>
            </w:pPr>
            <w:r>
              <w:rPr>
                <w:noProof/>
                <w:sz w:val="22"/>
              </w:rPr>
              <w:t>1</w:t>
            </w:r>
          </w:p>
        </w:tc>
      </w:tr>
      <w:tr>
        <w:trPr>
          <w:trHeight w:val="20"/>
        </w:trPr>
        <w:tc>
          <w:tcPr>
            <w:tcW w:w="4726" w:type="dxa"/>
            <w:hideMark/>
          </w:tcPr>
          <w:p>
            <w:pPr>
              <w:spacing w:before="40" w:after="40"/>
              <w:jc w:val="both"/>
              <w:rPr>
                <w:bCs/>
                <w:noProof/>
                <w:sz w:val="22"/>
              </w:rPr>
            </w:pPr>
            <w:r>
              <w:rPr>
                <w:noProof/>
                <w:sz w:val="22"/>
              </w:rPr>
              <w:t>Inter-Institutional Register of Delegated Acts</w:t>
            </w:r>
          </w:p>
        </w:tc>
        <w:tc>
          <w:tcPr>
            <w:tcW w:w="2145" w:type="dxa"/>
            <w:noWrap/>
            <w:hideMark/>
          </w:tcPr>
          <w:p>
            <w:pPr>
              <w:spacing w:before="40" w:after="40"/>
              <w:jc w:val="center"/>
              <w:rPr>
                <w:noProof/>
                <w:sz w:val="22"/>
              </w:rPr>
            </w:pPr>
            <w:r>
              <w:rPr>
                <w:noProof/>
                <w:sz w:val="22"/>
              </w:rPr>
              <w:t>0</w:t>
            </w:r>
          </w:p>
        </w:tc>
        <w:tc>
          <w:tcPr>
            <w:tcW w:w="2145" w:type="dxa"/>
            <w:noWrap/>
            <w:hideMark/>
          </w:tcPr>
          <w:p>
            <w:pPr>
              <w:spacing w:before="40" w:after="40"/>
              <w:jc w:val="center"/>
              <w:rPr>
                <w:noProof/>
                <w:sz w:val="22"/>
              </w:rPr>
            </w:pPr>
            <w:r>
              <w:rPr>
                <w:noProof/>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9016" w:type="dxa"/>
            <w:gridSpan w:val="3"/>
            <w:noWrap/>
            <w:hideMark/>
          </w:tcPr>
          <w:p>
            <w:pPr>
              <w:spacing w:before="40" w:after="40"/>
              <w:jc w:val="center"/>
              <w:rPr>
                <w:b/>
                <w:bCs/>
                <w:noProof/>
                <w:sz w:val="22"/>
              </w:rPr>
            </w:pPr>
            <w:r>
              <w:rPr>
                <w:b/>
                <w:noProof/>
                <w:sz w:val="22"/>
              </w:rPr>
              <w:t>7. EU Policies-Supporting instruments</w:t>
            </w:r>
          </w:p>
        </w:tc>
      </w:tr>
      <w:tr>
        <w:trPr>
          <w:trHeight w:val="20"/>
        </w:trPr>
        <w:tc>
          <w:tcPr>
            <w:tcW w:w="4726" w:type="dxa"/>
            <w:hideMark/>
          </w:tcPr>
          <w:p>
            <w:pPr>
              <w:spacing w:before="40" w:after="40"/>
              <w:jc w:val="both"/>
              <w:rPr>
                <w:bCs/>
                <w:noProof/>
                <w:sz w:val="22"/>
              </w:rPr>
            </w:pPr>
            <w:r>
              <w:rPr>
                <w:noProof/>
                <w:sz w:val="22"/>
              </w:rPr>
              <w:t>European Citizens' Initiatives and European Parliament Elections</w:t>
            </w:r>
          </w:p>
        </w:tc>
        <w:tc>
          <w:tcPr>
            <w:tcW w:w="2145" w:type="dxa"/>
            <w:noWrap/>
            <w:hideMark/>
          </w:tcPr>
          <w:p>
            <w:pPr>
              <w:spacing w:before="40" w:after="40"/>
              <w:jc w:val="center"/>
              <w:rPr>
                <w:noProof/>
                <w:sz w:val="22"/>
              </w:rPr>
            </w:pPr>
            <w:r>
              <w:rPr>
                <w:noProof/>
                <w:sz w:val="22"/>
              </w:rPr>
              <w:t>2</w:t>
            </w:r>
          </w:p>
        </w:tc>
        <w:tc>
          <w:tcPr>
            <w:tcW w:w="2145" w:type="dxa"/>
            <w:noWrap/>
            <w:hideMark/>
          </w:tcPr>
          <w:p>
            <w:pPr>
              <w:spacing w:before="40" w:after="40"/>
              <w:jc w:val="center"/>
              <w:rPr>
                <w:noProof/>
                <w:sz w:val="22"/>
              </w:rPr>
            </w:pPr>
            <w:r>
              <w:rPr>
                <w:noProof/>
                <w:sz w:val="22"/>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9016" w:type="dxa"/>
            <w:gridSpan w:val="3"/>
            <w:noWrap/>
            <w:hideMark/>
          </w:tcPr>
          <w:p>
            <w:pPr>
              <w:spacing w:before="40" w:after="40"/>
              <w:jc w:val="center"/>
              <w:rPr>
                <w:b/>
                <w:bCs/>
                <w:noProof/>
                <w:sz w:val="22"/>
              </w:rPr>
            </w:pPr>
            <w:r>
              <w:rPr>
                <w:b/>
                <w:noProof/>
                <w:sz w:val="22"/>
              </w:rPr>
              <w:t>8. Supporting instruments for public administrations</w:t>
            </w:r>
          </w:p>
        </w:tc>
      </w:tr>
      <w:tr>
        <w:trPr>
          <w:trHeight w:val="20"/>
        </w:trPr>
        <w:tc>
          <w:tcPr>
            <w:tcW w:w="4726" w:type="dxa"/>
            <w:hideMark/>
          </w:tcPr>
          <w:p>
            <w:pPr>
              <w:spacing w:before="40" w:after="40"/>
              <w:rPr>
                <w:bCs/>
                <w:noProof/>
                <w:sz w:val="22"/>
              </w:rPr>
            </w:pPr>
            <w:r>
              <w:rPr>
                <w:noProof/>
                <w:sz w:val="22"/>
              </w:rPr>
              <w:t>Joinup - European Collaborative Platform and Catalogue</w:t>
            </w:r>
          </w:p>
        </w:tc>
        <w:tc>
          <w:tcPr>
            <w:tcW w:w="2145" w:type="dxa"/>
            <w:noWrap/>
            <w:hideMark/>
          </w:tcPr>
          <w:p>
            <w:pPr>
              <w:spacing w:before="40" w:after="40"/>
              <w:jc w:val="center"/>
              <w:rPr>
                <w:noProof/>
                <w:sz w:val="22"/>
              </w:rPr>
            </w:pPr>
            <w:r>
              <w:rPr>
                <w:noProof/>
                <w:sz w:val="22"/>
              </w:rPr>
              <w:t>1</w:t>
            </w:r>
          </w:p>
        </w:tc>
        <w:tc>
          <w:tcPr>
            <w:tcW w:w="2145" w:type="dxa"/>
            <w:noWrap/>
            <w:hideMark/>
          </w:tcPr>
          <w:p>
            <w:pPr>
              <w:spacing w:before="40" w:after="40"/>
              <w:jc w:val="center"/>
              <w:rPr>
                <w:noProof/>
                <w:sz w:val="22"/>
              </w:rPr>
            </w:pPr>
            <w:r>
              <w:rPr>
                <w:noProof/>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40" w:after="40"/>
              <w:rPr>
                <w:bCs/>
                <w:noProof/>
                <w:sz w:val="22"/>
              </w:rPr>
            </w:pPr>
            <w:r>
              <w:rPr>
                <w:noProof/>
                <w:sz w:val="22"/>
              </w:rPr>
              <w:t>National Interoperability Framework Observatory</w:t>
            </w:r>
          </w:p>
        </w:tc>
        <w:tc>
          <w:tcPr>
            <w:tcW w:w="2145" w:type="dxa"/>
            <w:noWrap/>
            <w:hideMark/>
          </w:tcPr>
          <w:p>
            <w:pPr>
              <w:spacing w:before="40" w:after="40"/>
              <w:jc w:val="center"/>
              <w:rPr>
                <w:noProof/>
                <w:sz w:val="22"/>
              </w:rPr>
            </w:pPr>
            <w:r>
              <w:rPr>
                <w:noProof/>
                <w:sz w:val="22"/>
              </w:rPr>
              <w:t>0</w:t>
            </w:r>
          </w:p>
        </w:tc>
        <w:tc>
          <w:tcPr>
            <w:tcW w:w="2145" w:type="dxa"/>
            <w:noWrap/>
            <w:hideMark/>
          </w:tcPr>
          <w:p>
            <w:pPr>
              <w:spacing w:before="40" w:after="40"/>
              <w:jc w:val="center"/>
              <w:rPr>
                <w:noProof/>
                <w:sz w:val="22"/>
              </w:rPr>
            </w:pPr>
            <w:r>
              <w:rPr>
                <w:noProof/>
                <w:sz w:val="22"/>
              </w:rPr>
              <w:t>1</w:t>
            </w:r>
          </w:p>
        </w:tc>
      </w:tr>
      <w:tr>
        <w:trPr>
          <w:trHeight w:val="20"/>
        </w:trPr>
        <w:tc>
          <w:tcPr>
            <w:tcW w:w="4726" w:type="dxa"/>
            <w:hideMark/>
          </w:tcPr>
          <w:p>
            <w:pPr>
              <w:spacing w:before="40" w:after="40"/>
              <w:rPr>
                <w:bCs/>
                <w:noProof/>
                <w:sz w:val="22"/>
              </w:rPr>
            </w:pPr>
            <w:r>
              <w:rPr>
                <w:noProof/>
                <w:sz w:val="22"/>
              </w:rPr>
              <w:t>European Interoperability Architecture (EIA)</w:t>
            </w:r>
          </w:p>
        </w:tc>
        <w:tc>
          <w:tcPr>
            <w:tcW w:w="2145" w:type="dxa"/>
            <w:noWrap/>
            <w:hideMark/>
          </w:tcPr>
          <w:p>
            <w:pPr>
              <w:spacing w:before="40" w:after="40"/>
              <w:jc w:val="center"/>
              <w:rPr>
                <w:noProof/>
                <w:sz w:val="22"/>
              </w:rPr>
            </w:pPr>
            <w:r>
              <w:rPr>
                <w:noProof/>
                <w:sz w:val="22"/>
              </w:rPr>
              <w:t>3</w:t>
            </w:r>
          </w:p>
        </w:tc>
        <w:tc>
          <w:tcPr>
            <w:tcW w:w="2145" w:type="dxa"/>
            <w:noWrap/>
            <w:hideMark/>
          </w:tcPr>
          <w:p>
            <w:pPr>
              <w:spacing w:before="40" w:after="40"/>
              <w:jc w:val="center"/>
              <w:rPr>
                <w:noProof/>
                <w:sz w:val="22"/>
              </w:rPr>
            </w:pPr>
            <w:r>
              <w:rPr>
                <w:noProof/>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40" w:after="40"/>
              <w:rPr>
                <w:bCs/>
                <w:noProof/>
                <w:sz w:val="22"/>
              </w:rPr>
            </w:pPr>
            <w:r>
              <w:rPr>
                <w:noProof/>
                <w:sz w:val="22"/>
              </w:rPr>
              <w:t>EUSurvey</w:t>
            </w:r>
          </w:p>
        </w:tc>
        <w:tc>
          <w:tcPr>
            <w:tcW w:w="2145" w:type="dxa"/>
            <w:noWrap/>
            <w:hideMark/>
          </w:tcPr>
          <w:p>
            <w:pPr>
              <w:spacing w:before="40" w:after="40"/>
              <w:jc w:val="center"/>
              <w:rPr>
                <w:noProof/>
                <w:sz w:val="22"/>
              </w:rPr>
            </w:pPr>
            <w:r>
              <w:rPr>
                <w:noProof/>
                <w:sz w:val="22"/>
              </w:rPr>
              <w:t>1</w:t>
            </w:r>
          </w:p>
        </w:tc>
        <w:tc>
          <w:tcPr>
            <w:tcW w:w="2145" w:type="dxa"/>
            <w:noWrap/>
            <w:hideMark/>
          </w:tcPr>
          <w:p>
            <w:pPr>
              <w:spacing w:before="40" w:after="40"/>
              <w:jc w:val="center"/>
              <w:rPr>
                <w:noProof/>
                <w:sz w:val="22"/>
              </w:rPr>
            </w:pPr>
            <w:r>
              <w:rPr>
                <w:noProof/>
                <w:sz w:val="22"/>
              </w:rPr>
              <w:t>0</w:t>
            </w:r>
          </w:p>
        </w:tc>
      </w:tr>
      <w:tr>
        <w:trPr>
          <w:trHeight w:val="20"/>
        </w:trPr>
        <w:tc>
          <w:tcPr>
            <w:tcW w:w="4726" w:type="dxa"/>
            <w:hideMark/>
          </w:tcPr>
          <w:p>
            <w:pPr>
              <w:spacing w:before="40" w:after="40"/>
              <w:rPr>
                <w:bCs/>
                <w:noProof/>
                <w:sz w:val="22"/>
              </w:rPr>
            </w:pPr>
            <w:r>
              <w:rPr>
                <w:noProof/>
                <w:sz w:val="22"/>
              </w:rPr>
              <w:t>Interoperability Maturity Model</w:t>
            </w:r>
          </w:p>
        </w:tc>
        <w:tc>
          <w:tcPr>
            <w:tcW w:w="2145" w:type="dxa"/>
            <w:noWrap/>
            <w:hideMark/>
          </w:tcPr>
          <w:p>
            <w:pPr>
              <w:spacing w:before="40" w:after="40"/>
              <w:jc w:val="center"/>
              <w:rPr>
                <w:noProof/>
                <w:sz w:val="22"/>
              </w:rPr>
            </w:pPr>
            <w:r>
              <w:rPr>
                <w:noProof/>
                <w:sz w:val="22"/>
              </w:rPr>
              <w:t>0</w:t>
            </w:r>
          </w:p>
        </w:tc>
        <w:tc>
          <w:tcPr>
            <w:tcW w:w="2145" w:type="dxa"/>
            <w:noWrap/>
            <w:hideMark/>
          </w:tcPr>
          <w:p>
            <w:pPr>
              <w:spacing w:before="40" w:after="40"/>
              <w:jc w:val="center"/>
              <w:rPr>
                <w:noProof/>
                <w:sz w:val="22"/>
              </w:rPr>
            </w:pPr>
            <w:r>
              <w:rPr>
                <w:noProof/>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40" w:after="40"/>
              <w:rPr>
                <w:bCs/>
                <w:noProof/>
                <w:sz w:val="22"/>
              </w:rPr>
            </w:pPr>
            <w:r>
              <w:rPr>
                <w:noProof/>
                <w:sz w:val="22"/>
              </w:rPr>
              <w:t>Standard-Based Archival Data Management, Exchange and Publication</w:t>
            </w:r>
          </w:p>
        </w:tc>
        <w:tc>
          <w:tcPr>
            <w:tcW w:w="2145" w:type="dxa"/>
            <w:noWrap/>
            <w:hideMark/>
          </w:tcPr>
          <w:p>
            <w:pPr>
              <w:spacing w:before="40" w:after="40"/>
              <w:jc w:val="center"/>
              <w:rPr>
                <w:noProof/>
                <w:sz w:val="22"/>
              </w:rPr>
            </w:pPr>
            <w:r>
              <w:rPr>
                <w:noProof/>
                <w:sz w:val="22"/>
              </w:rPr>
              <w:t>0</w:t>
            </w:r>
          </w:p>
        </w:tc>
        <w:tc>
          <w:tcPr>
            <w:tcW w:w="2145" w:type="dxa"/>
            <w:noWrap/>
            <w:hideMark/>
          </w:tcPr>
          <w:p>
            <w:pPr>
              <w:spacing w:before="40" w:after="40"/>
              <w:jc w:val="center"/>
              <w:rPr>
                <w:noProof/>
                <w:sz w:val="22"/>
              </w:rPr>
            </w:pPr>
            <w:r>
              <w:rPr>
                <w:noProof/>
                <w:sz w:val="22"/>
              </w:rPr>
              <w:t>4</w:t>
            </w:r>
          </w:p>
        </w:tc>
      </w:tr>
      <w:tr>
        <w:trPr>
          <w:trHeight w:val="20"/>
        </w:trPr>
        <w:tc>
          <w:tcPr>
            <w:tcW w:w="9016" w:type="dxa"/>
            <w:gridSpan w:val="3"/>
            <w:noWrap/>
            <w:hideMark/>
          </w:tcPr>
          <w:p>
            <w:pPr>
              <w:spacing w:before="40" w:after="40"/>
              <w:jc w:val="center"/>
              <w:rPr>
                <w:b/>
                <w:bCs/>
                <w:noProof/>
                <w:sz w:val="22"/>
              </w:rPr>
            </w:pPr>
            <w:r>
              <w:rPr>
                <w:b/>
                <w:noProof/>
                <w:sz w:val="22"/>
              </w:rPr>
              <w:t>9. Accompanying measures</w:t>
            </w:r>
          </w:p>
        </w:tc>
      </w:tr>
      <w:tr>
        <w:trPr>
          <w:cnfStyle w:val="000000100000" w:firstRow="0" w:lastRow="0" w:firstColumn="0" w:lastColumn="0" w:oddVBand="0" w:evenVBand="0" w:oddHBand="1" w:evenHBand="0" w:firstRowFirstColumn="0" w:firstRowLastColumn="0" w:lastRowFirstColumn="0" w:lastRowLastColumn="0"/>
          <w:trHeight w:val="20"/>
        </w:trPr>
        <w:tc>
          <w:tcPr>
            <w:tcW w:w="4726" w:type="dxa"/>
            <w:hideMark/>
          </w:tcPr>
          <w:p>
            <w:pPr>
              <w:spacing w:before="40" w:after="40"/>
              <w:rPr>
                <w:bCs/>
                <w:noProof/>
                <w:sz w:val="22"/>
              </w:rPr>
            </w:pPr>
            <w:r>
              <w:rPr>
                <w:noProof/>
                <w:sz w:val="22"/>
              </w:rPr>
              <w:t>Raising Interoperability Awareness - Communication Activities</w:t>
            </w:r>
          </w:p>
        </w:tc>
        <w:tc>
          <w:tcPr>
            <w:tcW w:w="2145" w:type="dxa"/>
            <w:noWrap/>
            <w:hideMark/>
          </w:tcPr>
          <w:p>
            <w:pPr>
              <w:spacing w:before="40" w:after="40"/>
              <w:jc w:val="center"/>
              <w:rPr>
                <w:noProof/>
                <w:sz w:val="22"/>
              </w:rPr>
            </w:pPr>
            <w:r>
              <w:rPr>
                <w:noProof/>
                <w:sz w:val="22"/>
              </w:rPr>
              <w:t>1</w:t>
            </w:r>
          </w:p>
        </w:tc>
        <w:tc>
          <w:tcPr>
            <w:tcW w:w="2145" w:type="dxa"/>
            <w:noWrap/>
            <w:hideMark/>
          </w:tcPr>
          <w:p>
            <w:pPr>
              <w:spacing w:before="40" w:after="40"/>
              <w:jc w:val="center"/>
              <w:rPr>
                <w:noProof/>
                <w:sz w:val="22"/>
              </w:rPr>
            </w:pPr>
            <w:r>
              <w:rPr>
                <w:noProof/>
                <w:sz w:val="22"/>
              </w:rPr>
              <w:t>1</w:t>
            </w:r>
          </w:p>
        </w:tc>
      </w:tr>
    </w:tbl>
    <w:p>
      <w:pPr>
        <w:pStyle w:val="Notes"/>
        <w:rPr>
          <w:rFonts w:cs="Times New Roman"/>
          <w:noProof/>
        </w:rPr>
      </w:pPr>
      <w:r>
        <w:rPr>
          <w:rFonts w:cs="Times New Roman"/>
          <w:noProof/>
        </w:rPr>
        <w:t>*Note: Additional information was retrieved from the 2019 rolling work programme.</w:t>
      </w:r>
    </w:p>
    <w:p>
      <w:pPr>
        <w:pStyle w:val="Notes"/>
        <w:rPr>
          <w:rFonts w:cs="Times New Roman"/>
          <w:noProof/>
        </w:rPr>
      </w:pPr>
      <w:r>
        <w:rPr>
          <w:rFonts w:cs="Times New Roman"/>
          <w:noProof/>
        </w:rPr>
        <w:t>**Note: Additional information was provided by the actions owners of the ‘ELISE’ action.</w:t>
      </w:r>
    </w:p>
    <w:p>
      <w:pPr>
        <w:jc w:val="both"/>
        <w:rPr>
          <w:rFonts w:cs="Times New Roman"/>
          <w:i/>
          <w:noProof/>
          <w:sz w:val="20"/>
          <w:szCs w:val="20"/>
          <w:lang w:val="en-GB"/>
        </w:rPr>
      </w:pPr>
      <w:r>
        <w:rPr>
          <w:rFonts w:cs="Times New Roman"/>
          <w:i/>
          <w:noProof/>
          <w:sz w:val="20"/>
          <w:szCs w:val="20"/>
          <w:lang w:val="en-GB"/>
        </w:rPr>
        <w:t xml:space="preserve">Source: </w:t>
      </w:r>
      <w:hyperlink r:id="rId272" w:history="1">
        <w:r>
          <w:rPr>
            <w:rStyle w:val="Hyperlink"/>
            <w:rFonts w:cs="Times New Roman"/>
            <w:i/>
            <w:noProof/>
            <w:sz w:val="20"/>
            <w:lang w:val="en-GB"/>
          </w:rPr>
          <w:t>CEPS final study</w:t>
        </w:r>
      </w:hyperlink>
    </w:p>
    <w:p>
      <w:pPr>
        <w:jc w:val="both"/>
        <w:rPr>
          <w:rFonts w:cs="Times New Roman"/>
          <w:noProof/>
          <w:lang w:val="en-GB"/>
        </w:rPr>
      </w:pPr>
    </w:p>
    <w:p>
      <w:pPr>
        <w:pStyle w:val="Heading4"/>
        <w:rPr>
          <w:noProof/>
        </w:rPr>
      </w:pPr>
      <w:r>
        <w:rPr>
          <w:noProof/>
        </w:rPr>
        <w:t>Alignment with the DSM Strategy</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19</w:t>
      </w:r>
      <w:r>
        <w:rPr>
          <w:rFonts w:cs="Times New Roman"/>
          <w:noProof/>
        </w:rPr>
        <w:fldChar w:fldCharType="end"/>
      </w:r>
      <w:r>
        <w:rPr>
          <w:rFonts w:cs="Times New Roman"/>
          <w:noProof/>
        </w:rPr>
        <w:t>: ISA</w:t>
      </w:r>
      <w:r>
        <w:rPr>
          <w:rFonts w:cs="Times New Roman"/>
          <w:noProof/>
          <w:vertAlign w:val="superscript"/>
        </w:rPr>
        <w:t xml:space="preserve">2 </w:t>
      </w:r>
      <w:r>
        <w:rPr>
          <w:rFonts w:cs="Times New Roman"/>
          <w:noProof/>
        </w:rPr>
        <w:t>contribution to the DSM Strategy</w:t>
      </w:r>
    </w:p>
    <w:p>
      <w:pPr>
        <w:spacing w:after="120"/>
        <w:rPr>
          <w:rFonts w:cs="Times New Roman"/>
          <w:i/>
          <w:noProof/>
          <w:lang w:val="en-GB"/>
        </w:rPr>
      </w:pPr>
      <w:r>
        <w:rPr>
          <w:rFonts w:cs="Times New Roman"/>
          <w:i/>
          <w:noProof/>
          <w:lang w:val="en-GB"/>
        </w:rPr>
        <w:t>Contribution to Pillar I</w:t>
      </w:r>
      <w:r>
        <w:rPr>
          <w:rFonts w:cs="Times New Roman"/>
          <w:i/>
          <w:noProof/>
          <w:vertAlign w:val="superscript"/>
        </w:rPr>
        <w:footnoteReference w:id="143"/>
      </w:r>
      <w:r>
        <w:rPr>
          <w:rFonts w:cs="Times New Roman"/>
          <w:i/>
          <w:noProof/>
          <w:lang w:val="en-GB"/>
        </w:rPr>
        <w:t xml:space="preserve"> of the DSM Strategy</w:t>
      </w:r>
    </w:p>
    <w:tbl>
      <w:tblPr>
        <w:tblStyle w:val="GridTable5Dark-Accent11"/>
        <w:tblW w:w="9085" w:type="dxa"/>
        <w:tblLook w:val="0420" w:firstRow="1" w:lastRow="0" w:firstColumn="0" w:lastColumn="0" w:noHBand="0" w:noVBand="1"/>
      </w:tblPr>
      <w:tblGrid>
        <w:gridCol w:w="1020"/>
        <w:gridCol w:w="2803"/>
        <w:gridCol w:w="5262"/>
      </w:tblGrid>
      <w:tr>
        <w:trPr>
          <w:cnfStyle w:val="100000000000" w:firstRow="1" w:lastRow="0" w:firstColumn="0" w:lastColumn="0" w:oddVBand="0" w:evenVBand="0" w:oddHBand="0" w:evenHBand="0" w:firstRowFirstColumn="0" w:firstRowLastColumn="0" w:lastRowFirstColumn="0" w:lastRowLastColumn="0"/>
          <w:trHeight w:val="20"/>
          <w:tblHeader/>
        </w:trPr>
        <w:tc>
          <w:tcPr>
            <w:tcW w:w="1020" w:type="dxa"/>
            <w:hideMark/>
          </w:tcPr>
          <w:p>
            <w:pPr>
              <w:spacing w:before="20" w:after="20"/>
              <w:jc w:val="center"/>
              <w:rPr>
                <w:noProof/>
                <w:sz w:val="22"/>
                <w:lang w:eastAsia="en-GB"/>
              </w:rPr>
            </w:pPr>
            <w:r>
              <w:rPr>
                <w:noProof/>
                <w:sz w:val="22"/>
                <w:lang w:eastAsia="en-GB"/>
              </w:rPr>
              <w:t>Action number</w:t>
            </w:r>
          </w:p>
        </w:tc>
        <w:tc>
          <w:tcPr>
            <w:tcW w:w="2803" w:type="dxa"/>
            <w:hideMark/>
          </w:tcPr>
          <w:p>
            <w:pPr>
              <w:spacing w:before="20" w:after="20"/>
              <w:jc w:val="center"/>
              <w:rPr>
                <w:noProof/>
                <w:sz w:val="22"/>
                <w:lang w:eastAsia="en-GB"/>
              </w:rPr>
            </w:pPr>
            <w:r>
              <w:rPr>
                <w:noProof/>
                <w:sz w:val="22"/>
                <w:lang w:eastAsia="en-GB"/>
              </w:rPr>
              <w:t>Action name</w:t>
            </w:r>
          </w:p>
        </w:tc>
        <w:tc>
          <w:tcPr>
            <w:tcW w:w="5262" w:type="dxa"/>
            <w:hideMark/>
          </w:tcPr>
          <w:p>
            <w:pPr>
              <w:spacing w:before="20" w:after="20"/>
              <w:jc w:val="center"/>
              <w:rPr>
                <w:noProof/>
                <w:sz w:val="22"/>
                <w:lang w:eastAsia="en-GB"/>
              </w:rPr>
            </w:pPr>
            <w:r>
              <w:rPr>
                <w:noProof/>
                <w:sz w:val="22"/>
                <w:lang w:eastAsia="en-GB"/>
              </w:rPr>
              <w:t>Contribution to Pillar I: Better access for consumers and businesses to online goods and services across Europe</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noProof/>
                <w:color w:val="000000"/>
                <w:sz w:val="22"/>
                <w:lang w:eastAsia="en-GB"/>
              </w:rPr>
            </w:pPr>
            <w:r>
              <w:rPr>
                <w:noProof/>
                <w:color w:val="000000"/>
                <w:sz w:val="22"/>
                <w:lang w:eastAsia="en-GB"/>
              </w:rPr>
              <w:t>2016.29</w:t>
            </w:r>
          </w:p>
        </w:tc>
        <w:tc>
          <w:tcPr>
            <w:tcW w:w="2803" w:type="dxa"/>
            <w:hideMark/>
          </w:tcPr>
          <w:p>
            <w:pPr>
              <w:spacing w:before="20" w:after="20"/>
              <w:jc w:val="center"/>
              <w:rPr>
                <w:noProof/>
                <w:color w:val="000000"/>
                <w:sz w:val="22"/>
                <w:lang w:eastAsia="en-GB"/>
              </w:rPr>
            </w:pPr>
            <w:r>
              <w:rPr>
                <w:noProof/>
                <w:color w:val="000000"/>
                <w:sz w:val="22"/>
                <w:lang w:eastAsia="en-GB"/>
              </w:rPr>
              <w:t>Catalogue of Services</w:t>
            </w:r>
          </w:p>
        </w:tc>
        <w:tc>
          <w:tcPr>
            <w:tcW w:w="5262" w:type="dxa"/>
            <w:hideMark/>
          </w:tcPr>
          <w:p>
            <w:pPr>
              <w:spacing w:before="20" w:after="20"/>
              <w:jc w:val="center"/>
              <w:rPr>
                <w:noProof/>
                <w:color w:val="000000"/>
                <w:sz w:val="22"/>
                <w:lang w:eastAsia="en-GB"/>
              </w:rPr>
            </w:pPr>
            <w:r>
              <w:rPr>
                <w:noProof/>
                <w:color w:val="000000"/>
                <w:sz w:val="22"/>
                <w:lang w:eastAsia="en-GB"/>
              </w:rPr>
              <w:t>Obliges Member States to create Points of Single Contact with combined information for business setup and other citizen formalities.</w:t>
            </w:r>
          </w:p>
        </w:tc>
      </w:tr>
      <w:tr>
        <w:trPr>
          <w:trHeight w:val="20"/>
        </w:trPr>
        <w:tc>
          <w:tcPr>
            <w:tcW w:w="1020" w:type="dxa"/>
            <w:hideMark/>
          </w:tcPr>
          <w:p>
            <w:pPr>
              <w:spacing w:before="20" w:after="20"/>
              <w:jc w:val="center"/>
              <w:rPr>
                <w:noProof/>
                <w:color w:val="000000"/>
                <w:sz w:val="22"/>
                <w:lang w:eastAsia="en-GB"/>
              </w:rPr>
            </w:pPr>
            <w:r>
              <w:rPr>
                <w:noProof/>
                <w:color w:val="000000"/>
                <w:sz w:val="22"/>
                <w:lang w:eastAsia="en-GB"/>
              </w:rPr>
              <w:t>2016.07</w:t>
            </w:r>
          </w:p>
        </w:tc>
        <w:tc>
          <w:tcPr>
            <w:tcW w:w="2803" w:type="dxa"/>
            <w:hideMark/>
          </w:tcPr>
          <w:p>
            <w:pPr>
              <w:spacing w:before="20" w:after="20"/>
              <w:jc w:val="center"/>
              <w:rPr>
                <w:noProof/>
                <w:color w:val="000000"/>
                <w:sz w:val="22"/>
                <w:lang w:eastAsia="en-GB"/>
              </w:rPr>
            </w:pPr>
            <w:r>
              <w:rPr>
                <w:noProof/>
                <w:color w:val="000000"/>
                <w:sz w:val="22"/>
                <w:lang w:eastAsia="en-GB"/>
              </w:rPr>
              <w:t>SEMIC: Promoting Semantic Interoperability Amongst the European Union Member States</w:t>
            </w:r>
          </w:p>
        </w:tc>
        <w:tc>
          <w:tcPr>
            <w:tcW w:w="5262" w:type="dxa"/>
            <w:hideMark/>
          </w:tcPr>
          <w:p>
            <w:pPr>
              <w:spacing w:before="20" w:after="20"/>
              <w:jc w:val="center"/>
              <w:rPr>
                <w:noProof/>
                <w:color w:val="000000"/>
                <w:sz w:val="22"/>
                <w:lang w:eastAsia="en-GB"/>
              </w:rPr>
            </w:pPr>
            <w:r>
              <w:rPr>
                <w:noProof/>
                <w:color w:val="000000"/>
                <w:sz w:val="22"/>
                <w:lang w:eastAsia="en-GB"/>
              </w:rPr>
              <w:t>Semantic interoperability is a prerequisite for enacting most levels of systems’ interoperability, including the once-only principle and ensuring open data.</w:t>
            </w:r>
          </w:p>
        </w:tc>
      </w:tr>
    </w:tbl>
    <w:p>
      <w:pPr>
        <w:jc w:val="both"/>
        <w:rPr>
          <w:rFonts w:cs="Times New Roman"/>
          <w:noProof/>
          <w:lang w:val="en-IE"/>
        </w:rPr>
      </w:pPr>
      <w:r>
        <w:rPr>
          <w:rFonts w:cs="Times New Roman"/>
          <w:i/>
          <w:noProof/>
          <w:sz w:val="20"/>
          <w:szCs w:val="20"/>
          <w:lang w:val="en-IE"/>
        </w:rPr>
        <w:t xml:space="preserve">Source: </w:t>
      </w:r>
      <w:hyperlink r:id="rId273" w:history="1">
        <w:r>
          <w:rPr>
            <w:rStyle w:val="Hyperlink"/>
            <w:rFonts w:cs="Times New Roman"/>
            <w:i/>
            <w:noProof/>
            <w:sz w:val="20"/>
            <w:lang w:val="en-IE"/>
          </w:rPr>
          <w:t>CEPS final study</w:t>
        </w:r>
      </w:hyperlink>
    </w:p>
    <w:p>
      <w:pPr>
        <w:keepNext/>
        <w:spacing w:after="120"/>
        <w:rPr>
          <w:rFonts w:cs="Times New Roman"/>
          <w:i/>
          <w:noProof/>
          <w:lang w:val="en-GB"/>
        </w:rPr>
      </w:pPr>
      <w:r>
        <w:rPr>
          <w:rFonts w:cs="Times New Roman"/>
          <w:i/>
          <w:noProof/>
          <w:lang w:val="en-GB"/>
        </w:rPr>
        <w:t>Contribution to Pillar II</w:t>
      </w:r>
      <w:r>
        <w:rPr>
          <w:rFonts w:cs="Times New Roman"/>
          <w:i/>
          <w:noProof/>
          <w:vertAlign w:val="superscript"/>
        </w:rPr>
        <w:footnoteReference w:id="144"/>
      </w:r>
      <w:r>
        <w:rPr>
          <w:rFonts w:cs="Times New Roman"/>
          <w:i/>
          <w:noProof/>
          <w:lang w:val="en-GB"/>
        </w:rPr>
        <w:t xml:space="preserve"> of the DSM Strategy</w:t>
      </w:r>
    </w:p>
    <w:tbl>
      <w:tblPr>
        <w:tblStyle w:val="GridTable5Dark-Accent13"/>
        <w:tblW w:w="9090" w:type="dxa"/>
        <w:tblLook w:val="0420" w:firstRow="1" w:lastRow="0" w:firstColumn="0" w:lastColumn="0" w:noHBand="0" w:noVBand="1"/>
      </w:tblPr>
      <w:tblGrid>
        <w:gridCol w:w="1020"/>
        <w:gridCol w:w="2803"/>
        <w:gridCol w:w="5267"/>
      </w:tblGrid>
      <w:tr>
        <w:trPr>
          <w:cnfStyle w:val="100000000000" w:firstRow="1" w:lastRow="0" w:firstColumn="0" w:lastColumn="0" w:oddVBand="0" w:evenVBand="0" w:oddHBand="0" w:evenHBand="0" w:firstRowFirstColumn="0" w:firstRowLastColumn="0" w:lastRowFirstColumn="0" w:lastRowLastColumn="0"/>
          <w:trHeight w:val="20"/>
          <w:tblHeader/>
        </w:trPr>
        <w:tc>
          <w:tcPr>
            <w:tcW w:w="1020" w:type="dxa"/>
            <w:hideMark/>
          </w:tcPr>
          <w:p>
            <w:pPr>
              <w:spacing w:before="20" w:after="20"/>
              <w:jc w:val="center"/>
              <w:rPr>
                <w:rFonts w:cs="Times New Roman"/>
                <w:noProof/>
                <w:sz w:val="22"/>
              </w:rPr>
            </w:pPr>
            <w:r>
              <w:rPr>
                <w:rFonts w:cs="Times New Roman"/>
                <w:noProof/>
                <w:sz w:val="22"/>
              </w:rPr>
              <w:t>Action number</w:t>
            </w:r>
          </w:p>
        </w:tc>
        <w:tc>
          <w:tcPr>
            <w:tcW w:w="2803" w:type="dxa"/>
            <w:hideMark/>
          </w:tcPr>
          <w:p>
            <w:pPr>
              <w:spacing w:before="20" w:after="20"/>
              <w:jc w:val="center"/>
              <w:rPr>
                <w:rFonts w:cs="Times New Roman"/>
                <w:noProof/>
                <w:sz w:val="22"/>
              </w:rPr>
            </w:pPr>
            <w:r>
              <w:rPr>
                <w:rFonts w:cs="Times New Roman"/>
                <w:noProof/>
                <w:sz w:val="22"/>
              </w:rPr>
              <w:t>Action name</w:t>
            </w:r>
          </w:p>
        </w:tc>
        <w:tc>
          <w:tcPr>
            <w:tcW w:w="5267" w:type="dxa"/>
            <w:hideMark/>
          </w:tcPr>
          <w:p>
            <w:pPr>
              <w:spacing w:before="20" w:after="20"/>
              <w:jc w:val="center"/>
              <w:rPr>
                <w:rFonts w:cs="Times New Roman"/>
                <w:noProof/>
                <w:sz w:val="22"/>
              </w:rPr>
            </w:pPr>
            <w:r>
              <w:rPr>
                <w:rFonts w:cs="Times New Roman"/>
                <w:noProof/>
                <w:sz w:val="22"/>
              </w:rPr>
              <w:t>Contribution to Pillar II: Creating the right conditions for digital networks and services to flourish</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rFonts w:cs="Times New Roman"/>
                <w:noProof/>
                <w:color w:val="000000"/>
                <w:sz w:val="22"/>
              </w:rPr>
            </w:pPr>
            <w:r>
              <w:rPr>
                <w:rFonts w:cs="Times New Roman"/>
                <w:noProof/>
                <w:color w:val="000000"/>
                <w:sz w:val="22"/>
              </w:rPr>
              <w:t>2016.06</w:t>
            </w:r>
          </w:p>
        </w:tc>
        <w:tc>
          <w:tcPr>
            <w:tcW w:w="2803" w:type="dxa"/>
            <w:hideMark/>
          </w:tcPr>
          <w:p>
            <w:pPr>
              <w:spacing w:before="20" w:after="20"/>
              <w:jc w:val="center"/>
              <w:rPr>
                <w:rFonts w:cs="Times New Roman"/>
                <w:noProof/>
                <w:color w:val="000000"/>
                <w:sz w:val="22"/>
              </w:rPr>
            </w:pPr>
            <w:r>
              <w:rPr>
                <w:rFonts w:cs="Times New Roman"/>
                <w:noProof/>
                <w:color w:val="000000"/>
                <w:sz w:val="22"/>
              </w:rPr>
              <w:t>Sharing Statistical Production and Dissemination Services and Solutions in the European Statistical System</w:t>
            </w:r>
          </w:p>
        </w:tc>
        <w:tc>
          <w:tcPr>
            <w:tcW w:w="5267" w:type="dxa"/>
            <w:hideMark/>
          </w:tcPr>
          <w:p>
            <w:pPr>
              <w:spacing w:before="20" w:after="20"/>
              <w:jc w:val="center"/>
              <w:rPr>
                <w:rFonts w:cs="Times New Roman"/>
                <w:noProof/>
                <w:color w:val="000000"/>
                <w:sz w:val="22"/>
              </w:rPr>
            </w:pPr>
            <w:r>
              <w:rPr>
                <w:rFonts w:cs="Times New Roman"/>
                <w:noProof/>
                <w:color w:val="000000"/>
                <w:sz w:val="22"/>
              </w:rPr>
              <w:t>A reusable solution for the dissemination of statistics for use by any administration to reduce the cost of dissemination and improve the delivery of data to public consumers</w:t>
            </w:r>
          </w:p>
        </w:tc>
      </w:tr>
      <w:tr>
        <w:trPr>
          <w:trHeight w:val="20"/>
        </w:trPr>
        <w:tc>
          <w:tcPr>
            <w:tcW w:w="1020" w:type="dxa"/>
            <w:hideMark/>
          </w:tcPr>
          <w:p>
            <w:pPr>
              <w:spacing w:before="20" w:after="20"/>
              <w:jc w:val="center"/>
              <w:rPr>
                <w:rFonts w:cs="Times New Roman"/>
                <w:noProof/>
                <w:color w:val="000000"/>
                <w:sz w:val="22"/>
              </w:rPr>
            </w:pPr>
            <w:r>
              <w:rPr>
                <w:rFonts w:cs="Times New Roman"/>
                <w:noProof/>
                <w:color w:val="000000"/>
                <w:sz w:val="22"/>
              </w:rPr>
              <w:t>2016.05</w:t>
            </w:r>
          </w:p>
        </w:tc>
        <w:tc>
          <w:tcPr>
            <w:tcW w:w="2803" w:type="dxa"/>
            <w:hideMark/>
          </w:tcPr>
          <w:p>
            <w:pPr>
              <w:spacing w:before="20" w:after="20"/>
              <w:jc w:val="center"/>
              <w:rPr>
                <w:rFonts w:cs="Times New Roman"/>
                <w:noProof/>
                <w:color w:val="000000"/>
                <w:sz w:val="22"/>
              </w:rPr>
            </w:pPr>
            <w:r>
              <w:rPr>
                <w:rFonts w:cs="Times New Roman"/>
                <w:noProof/>
                <w:color w:val="000000"/>
                <w:sz w:val="22"/>
              </w:rPr>
              <w:t>European Public Procurement Interoperability Initiative</w:t>
            </w:r>
          </w:p>
        </w:tc>
        <w:tc>
          <w:tcPr>
            <w:tcW w:w="5267" w:type="dxa"/>
            <w:hideMark/>
          </w:tcPr>
          <w:p>
            <w:pPr>
              <w:spacing w:before="20" w:after="20"/>
              <w:jc w:val="center"/>
              <w:rPr>
                <w:rFonts w:cs="Times New Roman"/>
                <w:noProof/>
                <w:color w:val="000000"/>
                <w:sz w:val="22"/>
              </w:rPr>
            </w:pPr>
            <w:r>
              <w:rPr>
                <w:rFonts w:cs="Times New Roman"/>
                <w:noProof/>
                <w:color w:val="000000"/>
                <w:sz w:val="22"/>
              </w:rPr>
              <w:t>The activities supported by this proposal will help to further create or improve standards regarding public procurement and encourage Member States to shift towards full eProcurement</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rFonts w:cs="Times New Roman"/>
                <w:noProof/>
                <w:color w:val="000000"/>
                <w:sz w:val="22"/>
              </w:rPr>
            </w:pPr>
            <w:r>
              <w:rPr>
                <w:rFonts w:cs="Times New Roman"/>
                <w:noProof/>
                <w:color w:val="000000"/>
                <w:sz w:val="22"/>
              </w:rPr>
              <w:t>2016.20</w:t>
            </w:r>
          </w:p>
        </w:tc>
        <w:tc>
          <w:tcPr>
            <w:tcW w:w="2803" w:type="dxa"/>
            <w:hideMark/>
          </w:tcPr>
          <w:p>
            <w:pPr>
              <w:spacing w:before="20" w:after="20"/>
              <w:jc w:val="center"/>
              <w:rPr>
                <w:rFonts w:cs="Times New Roman"/>
                <w:noProof/>
                <w:color w:val="000000"/>
                <w:sz w:val="22"/>
              </w:rPr>
            </w:pPr>
            <w:r>
              <w:rPr>
                <w:rFonts w:cs="Times New Roman"/>
                <w:noProof/>
                <w:color w:val="000000"/>
                <w:sz w:val="22"/>
              </w:rPr>
              <w:t>Joinup-European Collaborative Platform and Catalogue</w:t>
            </w:r>
          </w:p>
        </w:tc>
        <w:tc>
          <w:tcPr>
            <w:tcW w:w="5267" w:type="dxa"/>
            <w:hideMark/>
          </w:tcPr>
          <w:p>
            <w:pPr>
              <w:spacing w:before="20" w:after="20"/>
              <w:jc w:val="center"/>
              <w:rPr>
                <w:rFonts w:cs="Times New Roman"/>
                <w:noProof/>
                <w:color w:val="000000"/>
                <w:sz w:val="22"/>
              </w:rPr>
            </w:pPr>
            <w:r>
              <w:rPr>
                <w:rFonts w:cs="Times New Roman"/>
                <w:noProof/>
                <w:color w:val="000000"/>
                <w:sz w:val="22"/>
              </w:rPr>
              <w:t>Joinup creates a central platform for observatory functionalities, collaborative features, and interoperability solutions</w:t>
            </w:r>
          </w:p>
        </w:tc>
      </w:tr>
    </w:tbl>
    <w:p>
      <w:pPr>
        <w:jc w:val="both"/>
        <w:rPr>
          <w:rFonts w:cs="Times New Roman"/>
          <w:noProof/>
          <w:lang w:val="en-GB"/>
        </w:rPr>
      </w:pPr>
      <w:r>
        <w:rPr>
          <w:rFonts w:cs="Times New Roman"/>
          <w:i/>
          <w:noProof/>
          <w:sz w:val="20"/>
          <w:szCs w:val="20"/>
          <w:lang w:val="en-GB"/>
        </w:rPr>
        <w:t xml:space="preserve">Source: </w:t>
      </w:r>
      <w:hyperlink r:id="rId274" w:history="1">
        <w:r>
          <w:rPr>
            <w:rStyle w:val="Hyperlink"/>
            <w:rFonts w:cs="Times New Roman"/>
            <w:i/>
            <w:noProof/>
            <w:sz w:val="20"/>
            <w:lang w:val="en-GB"/>
          </w:rPr>
          <w:t>CEPS final study</w:t>
        </w:r>
      </w:hyperlink>
    </w:p>
    <w:p>
      <w:pPr>
        <w:spacing w:after="120"/>
        <w:rPr>
          <w:rFonts w:cs="Times New Roman"/>
          <w:i/>
          <w:noProof/>
          <w:lang w:val="en-GB"/>
        </w:rPr>
      </w:pPr>
      <w:r>
        <w:rPr>
          <w:rFonts w:cs="Times New Roman"/>
          <w:i/>
          <w:noProof/>
          <w:lang w:val="en-GB"/>
        </w:rPr>
        <w:t>Contribution to Pillar III</w:t>
      </w:r>
      <w:r>
        <w:rPr>
          <w:rFonts w:cs="Times New Roman"/>
          <w:i/>
          <w:noProof/>
          <w:vertAlign w:val="superscript"/>
        </w:rPr>
        <w:footnoteReference w:id="145"/>
      </w:r>
      <w:r>
        <w:rPr>
          <w:rFonts w:cs="Times New Roman"/>
          <w:i/>
          <w:noProof/>
          <w:lang w:val="en-GB"/>
        </w:rPr>
        <w:t xml:space="preserve"> of the DSM Strategy</w:t>
      </w:r>
    </w:p>
    <w:tbl>
      <w:tblPr>
        <w:tblStyle w:val="GridTable5Dark-Accent11"/>
        <w:tblW w:w="9090" w:type="dxa"/>
        <w:tblLook w:val="0420" w:firstRow="1" w:lastRow="0" w:firstColumn="0" w:lastColumn="0" w:noHBand="0" w:noVBand="1"/>
      </w:tblPr>
      <w:tblGrid>
        <w:gridCol w:w="1020"/>
        <w:gridCol w:w="2850"/>
        <w:gridCol w:w="5220"/>
      </w:tblGrid>
      <w:tr>
        <w:trPr>
          <w:cnfStyle w:val="100000000000" w:firstRow="1" w:lastRow="0" w:firstColumn="0" w:lastColumn="0" w:oddVBand="0" w:evenVBand="0" w:oddHBand="0" w:evenHBand="0" w:firstRowFirstColumn="0" w:firstRowLastColumn="0" w:lastRowFirstColumn="0" w:lastRowLastColumn="0"/>
          <w:trHeight w:val="20"/>
          <w:tblHeader/>
        </w:trPr>
        <w:tc>
          <w:tcPr>
            <w:tcW w:w="1020" w:type="dxa"/>
            <w:hideMark/>
          </w:tcPr>
          <w:p>
            <w:pPr>
              <w:spacing w:before="20" w:after="20"/>
              <w:jc w:val="center"/>
              <w:rPr>
                <w:noProof/>
                <w:sz w:val="22"/>
              </w:rPr>
            </w:pPr>
            <w:r>
              <w:rPr>
                <w:noProof/>
                <w:sz w:val="22"/>
              </w:rPr>
              <w:t>Action number</w:t>
            </w:r>
          </w:p>
        </w:tc>
        <w:tc>
          <w:tcPr>
            <w:tcW w:w="2850" w:type="dxa"/>
            <w:hideMark/>
          </w:tcPr>
          <w:p>
            <w:pPr>
              <w:spacing w:before="20" w:after="20"/>
              <w:jc w:val="center"/>
              <w:rPr>
                <w:noProof/>
                <w:sz w:val="22"/>
              </w:rPr>
            </w:pPr>
            <w:r>
              <w:rPr>
                <w:noProof/>
                <w:sz w:val="22"/>
              </w:rPr>
              <w:t>Action name</w:t>
            </w:r>
          </w:p>
        </w:tc>
        <w:tc>
          <w:tcPr>
            <w:tcW w:w="5220" w:type="dxa"/>
            <w:hideMark/>
          </w:tcPr>
          <w:p>
            <w:pPr>
              <w:spacing w:before="20" w:after="20"/>
              <w:jc w:val="center"/>
              <w:rPr>
                <w:noProof/>
                <w:sz w:val="22"/>
              </w:rPr>
            </w:pPr>
            <w:r>
              <w:rPr>
                <w:noProof/>
                <w:sz w:val="22"/>
              </w:rPr>
              <w:t>Contribution to Pillar III: Maximising the growth potential of our European Digital Economy</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noProof/>
                <w:color w:val="000000"/>
                <w:sz w:val="22"/>
              </w:rPr>
            </w:pPr>
            <w:r>
              <w:rPr>
                <w:noProof/>
                <w:color w:val="000000"/>
                <w:sz w:val="22"/>
              </w:rPr>
              <w:t>2016.19</w:t>
            </w:r>
          </w:p>
        </w:tc>
        <w:tc>
          <w:tcPr>
            <w:tcW w:w="2850" w:type="dxa"/>
            <w:hideMark/>
          </w:tcPr>
          <w:p>
            <w:pPr>
              <w:spacing w:before="20" w:after="20"/>
              <w:jc w:val="center"/>
              <w:rPr>
                <w:noProof/>
                <w:color w:val="000000"/>
                <w:sz w:val="22"/>
              </w:rPr>
            </w:pPr>
            <w:r>
              <w:rPr>
                <w:noProof/>
                <w:color w:val="000000"/>
                <w:sz w:val="22"/>
              </w:rPr>
              <w:t>e-TrustEx</w:t>
            </w:r>
          </w:p>
        </w:tc>
        <w:tc>
          <w:tcPr>
            <w:tcW w:w="5220" w:type="dxa"/>
            <w:hideMark/>
          </w:tcPr>
          <w:p>
            <w:pPr>
              <w:spacing w:before="20" w:after="20"/>
              <w:jc w:val="center"/>
              <w:rPr>
                <w:noProof/>
                <w:color w:val="000000"/>
                <w:sz w:val="22"/>
              </w:rPr>
            </w:pPr>
            <w:r>
              <w:rPr>
                <w:noProof/>
                <w:color w:val="000000"/>
                <w:sz w:val="22"/>
              </w:rPr>
              <w:t>Acts as a broker in the exchange of data and documents to foster greater interaction across heterogeneous systems</w:t>
            </w:r>
          </w:p>
        </w:tc>
      </w:tr>
      <w:tr>
        <w:trPr>
          <w:trHeight w:val="20"/>
        </w:trPr>
        <w:tc>
          <w:tcPr>
            <w:tcW w:w="1020" w:type="dxa"/>
            <w:hideMark/>
          </w:tcPr>
          <w:p>
            <w:pPr>
              <w:spacing w:before="20" w:after="20"/>
              <w:jc w:val="center"/>
              <w:rPr>
                <w:noProof/>
                <w:color w:val="000000"/>
                <w:sz w:val="22"/>
              </w:rPr>
            </w:pPr>
            <w:r>
              <w:rPr>
                <w:noProof/>
                <w:color w:val="000000"/>
                <w:sz w:val="22"/>
              </w:rPr>
              <w:t>2016.16</w:t>
            </w:r>
          </w:p>
        </w:tc>
        <w:tc>
          <w:tcPr>
            <w:tcW w:w="2850" w:type="dxa"/>
            <w:hideMark/>
          </w:tcPr>
          <w:p>
            <w:pPr>
              <w:spacing w:before="20" w:after="20"/>
              <w:jc w:val="center"/>
              <w:rPr>
                <w:noProof/>
                <w:color w:val="000000"/>
                <w:sz w:val="22"/>
              </w:rPr>
            </w:pPr>
            <w:r>
              <w:rPr>
                <w:noProof/>
                <w:color w:val="000000"/>
                <w:sz w:val="22"/>
              </w:rPr>
              <w:t>Public Multilingual Knowledge Management Infrastructure for the Digital Single Market</w:t>
            </w:r>
          </w:p>
        </w:tc>
        <w:tc>
          <w:tcPr>
            <w:tcW w:w="5220" w:type="dxa"/>
            <w:hideMark/>
          </w:tcPr>
          <w:p>
            <w:pPr>
              <w:spacing w:before="20" w:after="20"/>
              <w:jc w:val="center"/>
              <w:rPr>
                <w:noProof/>
                <w:color w:val="000000"/>
                <w:sz w:val="22"/>
              </w:rPr>
            </w:pPr>
            <w:r>
              <w:rPr>
                <w:noProof/>
                <w:color w:val="000000"/>
                <w:sz w:val="22"/>
              </w:rPr>
              <w:t>The creation of a Public Multilingual Knowledge Infrastructure will support EU public administrations in creating services that can be accessible and shareable independently from the language actually used, as well as the SMEs to sell goods and service cross-border in a digital single market.</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noProof/>
                <w:color w:val="000000"/>
                <w:sz w:val="22"/>
              </w:rPr>
            </w:pPr>
            <w:r>
              <w:rPr>
                <w:noProof/>
                <w:color w:val="000000"/>
                <w:sz w:val="22"/>
              </w:rPr>
              <w:t>2016.15</w:t>
            </w:r>
          </w:p>
        </w:tc>
        <w:tc>
          <w:tcPr>
            <w:tcW w:w="2850" w:type="dxa"/>
            <w:hideMark/>
          </w:tcPr>
          <w:p>
            <w:pPr>
              <w:spacing w:before="20" w:after="20"/>
              <w:jc w:val="center"/>
              <w:rPr>
                <w:noProof/>
                <w:color w:val="000000"/>
                <w:sz w:val="22"/>
              </w:rPr>
            </w:pPr>
            <w:r>
              <w:rPr>
                <w:noProof/>
                <w:color w:val="000000"/>
                <w:sz w:val="22"/>
              </w:rPr>
              <w:t>FISMA: Financial Data Standardization</w:t>
            </w:r>
          </w:p>
        </w:tc>
        <w:tc>
          <w:tcPr>
            <w:tcW w:w="5220" w:type="dxa"/>
            <w:hideMark/>
          </w:tcPr>
          <w:p>
            <w:pPr>
              <w:spacing w:before="20" w:after="20"/>
              <w:jc w:val="center"/>
              <w:rPr>
                <w:noProof/>
                <w:color w:val="000000"/>
                <w:sz w:val="22"/>
              </w:rPr>
            </w:pPr>
            <w:r>
              <w:rPr>
                <w:noProof/>
                <w:color w:val="000000"/>
                <w:sz w:val="22"/>
              </w:rPr>
              <w:t>Looks to work on ICT standardisation to reduce administrative costs of legacy and data systems in the financial sector.</w:t>
            </w:r>
          </w:p>
        </w:tc>
      </w:tr>
      <w:tr>
        <w:trPr>
          <w:trHeight w:val="20"/>
        </w:trPr>
        <w:tc>
          <w:tcPr>
            <w:tcW w:w="1020" w:type="dxa"/>
            <w:hideMark/>
          </w:tcPr>
          <w:p>
            <w:pPr>
              <w:spacing w:before="20" w:after="20"/>
              <w:jc w:val="center"/>
              <w:rPr>
                <w:noProof/>
                <w:color w:val="000000"/>
                <w:sz w:val="22"/>
              </w:rPr>
            </w:pPr>
            <w:r>
              <w:rPr>
                <w:noProof/>
                <w:color w:val="000000"/>
                <w:sz w:val="22"/>
              </w:rPr>
              <w:t>2016.18</w:t>
            </w:r>
          </w:p>
        </w:tc>
        <w:tc>
          <w:tcPr>
            <w:tcW w:w="2850" w:type="dxa"/>
            <w:hideMark/>
          </w:tcPr>
          <w:p>
            <w:pPr>
              <w:spacing w:before="20" w:after="20"/>
              <w:jc w:val="center"/>
              <w:rPr>
                <w:noProof/>
                <w:color w:val="000000"/>
                <w:sz w:val="22"/>
              </w:rPr>
            </w:pPr>
            <w:r>
              <w:rPr>
                <w:noProof/>
                <w:color w:val="000000"/>
                <w:sz w:val="22"/>
              </w:rPr>
              <w:t>Development of an Open Data Service, Support, and Training Package in the Area of Linked Open Data, Data Visualisation and Persistent Identification</w:t>
            </w:r>
          </w:p>
        </w:tc>
        <w:tc>
          <w:tcPr>
            <w:tcW w:w="5220" w:type="dxa"/>
            <w:hideMark/>
          </w:tcPr>
          <w:p>
            <w:pPr>
              <w:spacing w:before="20" w:after="20"/>
              <w:jc w:val="center"/>
              <w:rPr>
                <w:noProof/>
                <w:color w:val="000000"/>
                <w:sz w:val="22"/>
              </w:rPr>
            </w:pPr>
            <w:r>
              <w:rPr>
                <w:noProof/>
                <w:color w:val="000000"/>
                <w:sz w:val="22"/>
              </w:rPr>
              <w:t>Open government data is a core asset for the knowledge-based economy, since its reuse is a basis for innovative information products and services as it is a key enabler for transparency, evidence-based decision-making and a broader participation in the political discourse. This package will enable administrations to enhance their data visualisation capacity, to further open up their data as well as to increase data quality and interoperability in view of better data reusability.</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noProof/>
                <w:color w:val="000000"/>
                <w:sz w:val="22"/>
              </w:rPr>
            </w:pPr>
            <w:r>
              <w:rPr>
                <w:noProof/>
                <w:color w:val="000000"/>
                <w:sz w:val="22"/>
              </w:rPr>
              <w:t>2016.03</w:t>
            </w:r>
          </w:p>
        </w:tc>
        <w:tc>
          <w:tcPr>
            <w:tcW w:w="2850" w:type="dxa"/>
            <w:hideMark/>
          </w:tcPr>
          <w:p>
            <w:pPr>
              <w:spacing w:before="20" w:after="20"/>
              <w:jc w:val="center"/>
              <w:rPr>
                <w:noProof/>
                <w:color w:val="000000"/>
                <w:sz w:val="22"/>
              </w:rPr>
            </w:pPr>
            <w:r>
              <w:rPr>
                <w:noProof/>
                <w:color w:val="000000"/>
                <w:sz w:val="22"/>
              </w:rPr>
              <w:t>Big Data for Public Administrations</w:t>
            </w:r>
          </w:p>
        </w:tc>
        <w:tc>
          <w:tcPr>
            <w:tcW w:w="5220" w:type="dxa"/>
            <w:hideMark/>
          </w:tcPr>
          <w:p>
            <w:pPr>
              <w:spacing w:before="20" w:after="20"/>
              <w:jc w:val="center"/>
              <w:rPr>
                <w:noProof/>
                <w:color w:val="000000"/>
                <w:sz w:val="22"/>
              </w:rPr>
            </w:pPr>
            <w:r>
              <w:rPr>
                <w:noProof/>
                <w:color w:val="000000"/>
                <w:sz w:val="22"/>
              </w:rPr>
              <w:t>This action addresses the need to provide the right framework conditions for a single market for big data and cloud computing as a means for helping to accelerate the transition towards a data-driven economy.</w:t>
            </w:r>
          </w:p>
        </w:tc>
      </w:tr>
      <w:tr>
        <w:trPr>
          <w:trHeight w:val="20"/>
        </w:trPr>
        <w:tc>
          <w:tcPr>
            <w:tcW w:w="1020" w:type="dxa"/>
            <w:hideMark/>
          </w:tcPr>
          <w:p>
            <w:pPr>
              <w:spacing w:before="20" w:after="20"/>
              <w:jc w:val="center"/>
              <w:rPr>
                <w:noProof/>
                <w:color w:val="000000"/>
                <w:sz w:val="22"/>
              </w:rPr>
            </w:pPr>
            <w:r>
              <w:rPr>
                <w:noProof/>
                <w:color w:val="000000"/>
                <w:sz w:val="22"/>
              </w:rPr>
              <w:t>2016.10</w:t>
            </w:r>
          </w:p>
        </w:tc>
        <w:tc>
          <w:tcPr>
            <w:tcW w:w="2850" w:type="dxa"/>
            <w:hideMark/>
          </w:tcPr>
          <w:p>
            <w:pPr>
              <w:spacing w:before="20" w:after="20"/>
              <w:jc w:val="center"/>
              <w:rPr>
                <w:noProof/>
                <w:color w:val="000000"/>
                <w:sz w:val="22"/>
              </w:rPr>
            </w:pPr>
            <w:r>
              <w:rPr>
                <w:noProof/>
                <w:color w:val="000000"/>
                <w:sz w:val="22"/>
              </w:rPr>
              <w:t>European Location Interoperability Solutions for e-Government (ELISE)</w:t>
            </w:r>
          </w:p>
        </w:tc>
        <w:tc>
          <w:tcPr>
            <w:tcW w:w="5220" w:type="dxa"/>
            <w:hideMark/>
          </w:tcPr>
          <w:p>
            <w:pPr>
              <w:spacing w:before="20" w:after="20"/>
              <w:jc w:val="center"/>
              <w:rPr>
                <w:noProof/>
                <w:color w:val="000000"/>
                <w:sz w:val="22"/>
              </w:rPr>
            </w:pPr>
            <w:r>
              <w:rPr>
                <w:noProof/>
                <w:color w:val="000000"/>
                <w:sz w:val="22"/>
              </w:rPr>
              <w:t>This action contributes to the interoperability landscape by ensuring that the ‘location’ dimension has an impact, adds value and is appropriately addressed within solutions across borders and sectors.</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noProof/>
                <w:color w:val="000000"/>
                <w:sz w:val="22"/>
              </w:rPr>
            </w:pPr>
            <w:r>
              <w:rPr>
                <w:noProof/>
                <w:color w:val="000000"/>
                <w:sz w:val="22"/>
              </w:rPr>
              <w:t>2016.23</w:t>
            </w:r>
          </w:p>
        </w:tc>
        <w:tc>
          <w:tcPr>
            <w:tcW w:w="2850" w:type="dxa"/>
            <w:hideMark/>
          </w:tcPr>
          <w:p>
            <w:pPr>
              <w:spacing w:before="20" w:after="20"/>
              <w:jc w:val="center"/>
              <w:rPr>
                <w:noProof/>
                <w:color w:val="000000"/>
                <w:sz w:val="22"/>
              </w:rPr>
            </w:pPr>
            <w:r>
              <w:rPr>
                <w:noProof/>
                <w:color w:val="000000"/>
                <w:sz w:val="22"/>
              </w:rPr>
              <w:t>Legal Interoperability</w:t>
            </w:r>
          </w:p>
        </w:tc>
        <w:tc>
          <w:tcPr>
            <w:tcW w:w="5220" w:type="dxa"/>
            <w:hideMark/>
          </w:tcPr>
          <w:p>
            <w:pPr>
              <w:spacing w:before="20" w:after="20"/>
              <w:jc w:val="center"/>
              <w:rPr>
                <w:noProof/>
                <w:color w:val="000000"/>
                <w:sz w:val="22"/>
              </w:rPr>
            </w:pPr>
            <w:r>
              <w:rPr>
                <w:noProof/>
                <w:color w:val="000000"/>
                <w:sz w:val="22"/>
              </w:rPr>
              <w:t>The action has a horizontal value as it can be used for the law-making/evaluation of every EU policy. Special contribution is indirectly made to the DSM, as the more the action is assessing EU legislations the more digital and interoperable they become.</w:t>
            </w:r>
          </w:p>
        </w:tc>
      </w:tr>
      <w:tr>
        <w:trPr>
          <w:trHeight w:val="20"/>
        </w:trPr>
        <w:tc>
          <w:tcPr>
            <w:tcW w:w="1020" w:type="dxa"/>
            <w:hideMark/>
          </w:tcPr>
          <w:p>
            <w:pPr>
              <w:spacing w:before="20" w:after="20"/>
              <w:jc w:val="center"/>
              <w:rPr>
                <w:noProof/>
                <w:color w:val="000000"/>
                <w:sz w:val="22"/>
              </w:rPr>
            </w:pPr>
            <w:r>
              <w:rPr>
                <w:noProof/>
                <w:color w:val="000000"/>
                <w:sz w:val="22"/>
              </w:rPr>
              <w:t>2016.32</w:t>
            </w:r>
          </w:p>
        </w:tc>
        <w:tc>
          <w:tcPr>
            <w:tcW w:w="2850" w:type="dxa"/>
            <w:hideMark/>
          </w:tcPr>
          <w:p>
            <w:pPr>
              <w:spacing w:before="20" w:after="20"/>
              <w:jc w:val="center"/>
              <w:rPr>
                <w:noProof/>
                <w:color w:val="000000"/>
                <w:sz w:val="22"/>
              </w:rPr>
            </w:pPr>
            <w:r>
              <w:rPr>
                <w:noProof/>
                <w:color w:val="000000"/>
                <w:sz w:val="22"/>
              </w:rPr>
              <w:t>European Interoperability Architecture (EIA)</w:t>
            </w:r>
          </w:p>
        </w:tc>
        <w:tc>
          <w:tcPr>
            <w:tcW w:w="5220" w:type="dxa"/>
            <w:hideMark/>
          </w:tcPr>
          <w:p>
            <w:pPr>
              <w:spacing w:before="20" w:after="20"/>
              <w:jc w:val="center"/>
              <w:rPr>
                <w:noProof/>
                <w:color w:val="000000"/>
                <w:sz w:val="22"/>
              </w:rPr>
            </w:pPr>
            <w:r>
              <w:rPr>
                <w:noProof/>
                <w:color w:val="000000"/>
                <w:sz w:val="22"/>
              </w:rPr>
              <w:t>The EIA looks to maintain the EIRA, an interoperability reference that is key to the once-only principle</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noProof/>
                <w:color w:val="000000"/>
                <w:sz w:val="22"/>
              </w:rPr>
            </w:pPr>
            <w:r>
              <w:rPr>
                <w:noProof/>
                <w:color w:val="000000"/>
                <w:sz w:val="22"/>
              </w:rPr>
              <w:t>2016.21</w:t>
            </w:r>
          </w:p>
        </w:tc>
        <w:tc>
          <w:tcPr>
            <w:tcW w:w="2850" w:type="dxa"/>
            <w:hideMark/>
          </w:tcPr>
          <w:p>
            <w:pPr>
              <w:spacing w:before="20" w:after="20"/>
              <w:jc w:val="center"/>
              <w:rPr>
                <w:noProof/>
                <w:color w:val="000000"/>
                <w:sz w:val="22"/>
              </w:rPr>
            </w:pPr>
            <w:r>
              <w:rPr>
                <w:noProof/>
                <w:color w:val="000000"/>
                <w:sz w:val="22"/>
              </w:rPr>
              <w:t>National Interoperability Framework Observatory</w:t>
            </w:r>
          </w:p>
        </w:tc>
        <w:tc>
          <w:tcPr>
            <w:tcW w:w="5220" w:type="dxa"/>
            <w:hideMark/>
          </w:tcPr>
          <w:p>
            <w:pPr>
              <w:spacing w:before="20" w:after="20"/>
              <w:jc w:val="center"/>
              <w:rPr>
                <w:noProof/>
                <w:color w:val="000000"/>
                <w:sz w:val="22"/>
              </w:rPr>
            </w:pPr>
            <w:r>
              <w:rPr>
                <w:noProof/>
                <w:color w:val="000000"/>
                <w:sz w:val="22"/>
              </w:rPr>
              <w:t>The EIF and the EIF Implementation Strategy foster interoperability and contribute to the DSM. By contributing to the implementation of the EIF, this action is relevant for the DSM.</w:t>
            </w:r>
          </w:p>
        </w:tc>
      </w:tr>
      <w:tr>
        <w:trPr>
          <w:trHeight w:val="20"/>
        </w:trPr>
        <w:tc>
          <w:tcPr>
            <w:tcW w:w="1020" w:type="dxa"/>
            <w:hideMark/>
          </w:tcPr>
          <w:p>
            <w:pPr>
              <w:spacing w:before="20" w:after="20"/>
              <w:jc w:val="center"/>
              <w:rPr>
                <w:noProof/>
                <w:color w:val="000000"/>
                <w:sz w:val="22"/>
              </w:rPr>
            </w:pPr>
            <w:r>
              <w:rPr>
                <w:noProof/>
                <w:color w:val="000000"/>
                <w:sz w:val="22"/>
              </w:rPr>
              <w:t>2016.35</w:t>
            </w:r>
          </w:p>
        </w:tc>
        <w:tc>
          <w:tcPr>
            <w:tcW w:w="2850" w:type="dxa"/>
            <w:hideMark/>
          </w:tcPr>
          <w:p>
            <w:pPr>
              <w:spacing w:before="20" w:after="20"/>
              <w:jc w:val="center"/>
              <w:rPr>
                <w:noProof/>
                <w:color w:val="000000"/>
                <w:sz w:val="22"/>
              </w:rPr>
            </w:pPr>
            <w:r>
              <w:rPr>
                <w:noProof/>
                <w:color w:val="000000"/>
                <w:sz w:val="22"/>
              </w:rPr>
              <w:t>EUSurvey</w:t>
            </w:r>
          </w:p>
        </w:tc>
        <w:tc>
          <w:tcPr>
            <w:tcW w:w="5220" w:type="dxa"/>
            <w:hideMark/>
          </w:tcPr>
          <w:p>
            <w:pPr>
              <w:spacing w:before="20" w:after="20"/>
              <w:jc w:val="center"/>
              <w:rPr>
                <w:noProof/>
                <w:color w:val="000000"/>
                <w:sz w:val="22"/>
              </w:rPr>
            </w:pPr>
            <w:r>
              <w:rPr>
                <w:noProof/>
                <w:color w:val="000000"/>
                <w:sz w:val="22"/>
              </w:rPr>
              <w:t>By offering an easy means of collecting opinions and information between heterogeneous parties, the EUSurvey considerably facilitates the organisation and consolidation of any types of 'feedback-based' decision</w:t>
            </w:r>
          </w:p>
        </w:tc>
      </w:tr>
      <w:tr>
        <w:trPr>
          <w:cnfStyle w:val="000000100000" w:firstRow="0" w:lastRow="0" w:firstColumn="0" w:lastColumn="0" w:oddVBand="0" w:evenVBand="0" w:oddHBand="1" w:evenHBand="0" w:firstRowFirstColumn="0" w:firstRowLastColumn="0" w:lastRowFirstColumn="0" w:lastRowLastColumn="0"/>
          <w:trHeight w:val="20"/>
        </w:trPr>
        <w:tc>
          <w:tcPr>
            <w:tcW w:w="1020" w:type="dxa"/>
            <w:hideMark/>
          </w:tcPr>
          <w:p>
            <w:pPr>
              <w:spacing w:before="20" w:after="20"/>
              <w:jc w:val="center"/>
              <w:rPr>
                <w:noProof/>
                <w:color w:val="000000"/>
                <w:sz w:val="22"/>
              </w:rPr>
            </w:pPr>
            <w:r>
              <w:rPr>
                <w:noProof/>
                <w:color w:val="000000"/>
                <w:sz w:val="22"/>
              </w:rPr>
              <w:t>2017.01</w:t>
            </w:r>
          </w:p>
        </w:tc>
        <w:tc>
          <w:tcPr>
            <w:tcW w:w="2850" w:type="dxa"/>
            <w:hideMark/>
          </w:tcPr>
          <w:p>
            <w:pPr>
              <w:spacing w:before="20" w:after="20"/>
              <w:jc w:val="center"/>
              <w:rPr>
                <w:noProof/>
                <w:color w:val="000000"/>
                <w:sz w:val="22"/>
              </w:rPr>
            </w:pPr>
            <w:r>
              <w:rPr>
                <w:noProof/>
                <w:color w:val="000000"/>
                <w:sz w:val="22"/>
              </w:rPr>
              <w:t>Standard-Based Archival Data Management, Exchange and Publication</w:t>
            </w:r>
          </w:p>
        </w:tc>
        <w:tc>
          <w:tcPr>
            <w:tcW w:w="5220" w:type="dxa"/>
            <w:hideMark/>
          </w:tcPr>
          <w:p>
            <w:pPr>
              <w:spacing w:before="20" w:after="20"/>
              <w:jc w:val="center"/>
              <w:rPr>
                <w:noProof/>
                <w:color w:val="000000"/>
                <w:sz w:val="22"/>
              </w:rPr>
            </w:pPr>
            <w:r>
              <w:rPr>
                <w:noProof/>
                <w:color w:val="000000"/>
                <w:sz w:val="22"/>
              </w:rPr>
              <w:t>By clarifying and supporting technical standards for archival management, it will ensure better access to digital goods and services and by providing access to Commission archives in Open Data format, it will generate value, allowing the reuse of this information producing new products and services.</w:t>
            </w:r>
          </w:p>
        </w:tc>
      </w:tr>
      <w:tr>
        <w:trPr>
          <w:trHeight w:val="20"/>
        </w:trPr>
        <w:tc>
          <w:tcPr>
            <w:tcW w:w="1020" w:type="dxa"/>
            <w:hideMark/>
          </w:tcPr>
          <w:p>
            <w:pPr>
              <w:spacing w:before="20" w:after="20"/>
              <w:jc w:val="center"/>
              <w:rPr>
                <w:noProof/>
                <w:color w:val="000000"/>
                <w:sz w:val="22"/>
              </w:rPr>
            </w:pPr>
            <w:r>
              <w:rPr>
                <w:noProof/>
                <w:color w:val="000000"/>
                <w:sz w:val="22"/>
              </w:rPr>
              <w:t>2016.30</w:t>
            </w:r>
          </w:p>
        </w:tc>
        <w:tc>
          <w:tcPr>
            <w:tcW w:w="2850" w:type="dxa"/>
            <w:hideMark/>
          </w:tcPr>
          <w:p>
            <w:pPr>
              <w:spacing w:before="20" w:after="20"/>
              <w:jc w:val="center"/>
              <w:rPr>
                <w:noProof/>
                <w:color w:val="000000"/>
                <w:sz w:val="22"/>
              </w:rPr>
            </w:pPr>
            <w:r>
              <w:rPr>
                <w:noProof/>
                <w:color w:val="000000"/>
                <w:sz w:val="22"/>
              </w:rPr>
              <w:t>Raising Interoperability Awareness-Communication Activities</w:t>
            </w:r>
          </w:p>
        </w:tc>
        <w:tc>
          <w:tcPr>
            <w:tcW w:w="5220" w:type="dxa"/>
            <w:hideMark/>
          </w:tcPr>
          <w:p>
            <w:pPr>
              <w:spacing w:before="20" w:after="20"/>
              <w:jc w:val="center"/>
              <w:rPr>
                <w:noProof/>
                <w:color w:val="000000"/>
                <w:sz w:val="22"/>
              </w:rPr>
            </w:pPr>
            <w:r>
              <w:rPr>
                <w:noProof/>
                <w:color w:val="000000"/>
                <w:sz w:val="22"/>
              </w:rPr>
              <w:t>Communicating the ISA² programme and its results reinforces the programmes contributions to the DSM, the eGovernment action plan, the EIS and the new EIF, but also the Open Data Initiative of the European Union and INSPIRE, among other.</w:t>
            </w:r>
          </w:p>
        </w:tc>
      </w:tr>
    </w:tbl>
    <w:p>
      <w:pPr>
        <w:jc w:val="both"/>
        <w:rPr>
          <w:rFonts w:cs="Times New Roman"/>
          <w:i/>
          <w:noProof/>
          <w:sz w:val="20"/>
          <w:szCs w:val="20"/>
          <w:lang w:val="en-IE"/>
        </w:rPr>
      </w:pPr>
      <w:r>
        <w:rPr>
          <w:rFonts w:cs="Times New Roman"/>
          <w:i/>
          <w:noProof/>
          <w:sz w:val="20"/>
          <w:szCs w:val="20"/>
          <w:lang w:val="en-IE"/>
        </w:rPr>
        <w:t xml:space="preserve">Source: </w:t>
      </w:r>
      <w:hyperlink r:id="rId275" w:history="1">
        <w:r>
          <w:rPr>
            <w:rStyle w:val="Hyperlink"/>
            <w:rFonts w:cs="Times New Roman"/>
            <w:i/>
            <w:noProof/>
            <w:sz w:val="20"/>
            <w:lang w:val="en-IE"/>
          </w:rPr>
          <w:t>CEPS final study</w:t>
        </w:r>
      </w:hyperlink>
    </w:p>
    <w:p>
      <w:pPr>
        <w:jc w:val="both"/>
        <w:rPr>
          <w:rFonts w:cs="Times New Roman"/>
          <w:noProof/>
          <w:lang w:val="en-IE"/>
        </w:rPr>
      </w:pPr>
    </w:p>
    <w:p>
      <w:pPr>
        <w:pStyle w:val="Heading4"/>
        <w:rPr>
          <w:noProof/>
        </w:rPr>
      </w:pPr>
      <w:r>
        <w:rPr>
          <w:noProof/>
        </w:rPr>
        <w:t>Alignment with the Tallinn Declaration on eGovernment</w:t>
      </w:r>
    </w:p>
    <w:p>
      <w:pPr>
        <w:jc w:val="both"/>
        <w:rPr>
          <w:rFonts w:cs="Times New Roman"/>
          <w:b/>
          <w:bCs/>
          <w:iCs/>
          <w:noProof/>
          <w:lang w:val="en-GB"/>
        </w:rPr>
      </w:pPr>
      <w:r>
        <w:rPr>
          <w:rFonts w:cs="Times New Roman"/>
          <w:b/>
          <w:bCs/>
          <w:iCs/>
          <w:noProof/>
          <w:lang w:val="en-GB"/>
        </w:rPr>
        <w:t xml:space="preserve">Box </w:t>
      </w:r>
      <w:r>
        <w:rPr>
          <w:rFonts w:cs="Times New Roman"/>
          <w:b/>
          <w:bCs/>
          <w:iCs/>
          <w:noProof/>
        </w:rPr>
        <w:fldChar w:fldCharType="begin"/>
      </w:r>
      <w:r>
        <w:rPr>
          <w:rFonts w:cs="Times New Roman"/>
          <w:b/>
          <w:bCs/>
          <w:iCs/>
          <w:noProof/>
          <w:lang w:val="en-GB"/>
        </w:rPr>
        <w:instrText xml:space="preserve"> SEQ Box \* ARABIC </w:instrText>
      </w:r>
      <w:r>
        <w:rPr>
          <w:rFonts w:cs="Times New Roman"/>
          <w:b/>
          <w:bCs/>
          <w:iCs/>
          <w:noProof/>
        </w:rPr>
        <w:fldChar w:fldCharType="separate"/>
      </w:r>
      <w:r>
        <w:rPr>
          <w:rFonts w:cs="Times New Roman"/>
          <w:b/>
          <w:bCs/>
          <w:iCs/>
          <w:noProof/>
          <w:lang w:val="en-GB"/>
        </w:rPr>
        <w:t>10</w:t>
      </w:r>
      <w:r>
        <w:rPr>
          <w:rFonts w:cs="Times New Roman"/>
          <w:noProof/>
        </w:rPr>
        <w:fldChar w:fldCharType="end"/>
      </w:r>
      <w:r>
        <w:rPr>
          <w:rFonts w:cs="Times New Roman"/>
          <w:noProof/>
          <w:lang w:val="en-GB"/>
        </w:rPr>
        <w:t>:</w:t>
      </w:r>
      <w:r>
        <w:rPr>
          <w:rFonts w:cs="Times New Roman"/>
          <w:b/>
          <w:bCs/>
          <w:iCs/>
          <w:noProof/>
          <w:lang w:val="en-GB"/>
        </w:rPr>
        <w:t xml:space="preserve"> Alignment between ISA</w:t>
      </w:r>
      <w:r>
        <w:rPr>
          <w:rFonts w:cs="Times New Roman"/>
          <w:b/>
          <w:bCs/>
          <w:iCs/>
          <w:noProof/>
          <w:vertAlign w:val="superscript"/>
          <w:lang w:val="en-GB"/>
        </w:rPr>
        <w:t>2</w:t>
      </w:r>
      <w:r>
        <w:rPr>
          <w:rFonts w:cs="Times New Roman"/>
          <w:b/>
          <w:bCs/>
          <w:iCs/>
          <w:noProof/>
          <w:lang w:val="en-GB"/>
        </w:rPr>
        <w:t xml:space="preserve"> and the Tallinn Declaration on eGovernment</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600" w:firstRow="0" w:lastRow="0" w:firstColumn="0" w:lastColumn="0" w:noHBand="1" w:noVBand="1"/>
      </w:tblPr>
      <w:tblGrid>
        <w:gridCol w:w="9180"/>
      </w:tblGrid>
      <w:tr>
        <w:tc>
          <w:tcPr>
            <w:tcW w:w="918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pPr>
              <w:spacing w:after="120"/>
              <w:jc w:val="both"/>
              <w:rPr>
                <w:rFonts w:cs="Times New Roman"/>
                <w:noProof/>
                <w:sz w:val="22"/>
                <w:lang w:val="en-GB"/>
              </w:rPr>
            </w:pPr>
            <w:r>
              <w:rPr>
                <w:rFonts w:cs="Times New Roman"/>
                <w:noProof/>
                <w:sz w:val="22"/>
                <w:lang w:val="en-GB"/>
              </w:rPr>
              <w:t xml:space="preserve">The Tallinn Declaration is a statement of intents in which the </w:t>
            </w:r>
            <w:r>
              <w:rPr>
                <w:rFonts w:cs="Times New Roman"/>
                <w:b/>
                <w:noProof/>
                <w:sz w:val="22"/>
                <w:lang w:val="en-GB"/>
              </w:rPr>
              <w:t>32 signatory countries</w:t>
            </w:r>
            <w:r>
              <w:rPr>
                <w:rFonts w:cs="Times New Roman"/>
                <w:noProof/>
                <w:sz w:val="22"/>
                <w:lang w:val="en-GB"/>
              </w:rPr>
              <w:t xml:space="preserve"> made a commitment to </w:t>
            </w:r>
            <w:r>
              <w:rPr>
                <w:rFonts w:cs="Times New Roman"/>
                <w:b/>
                <w:noProof/>
                <w:sz w:val="22"/>
                <w:lang w:val="en-GB"/>
              </w:rPr>
              <w:t>move towards a digital government</w:t>
            </w:r>
            <w:r>
              <w:rPr>
                <w:rFonts w:cs="Times New Roman"/>
                <w:noProof/>
                <w:sz w:val="22"/>
                <w:lang w:val="en-GB"/>
              </w:rPr>
              <w:t xml:space="preserve"> following</w:t>
            </w:r>
            <w:r>
              <w:rPr>
                <w:rFonts w:cs="Times New Roman"/>
                <w:b/>
                <w:noProof/>
                <w:sz w:val="22"/>
                <w:lang w:val="en-GB"/>
              </w:rPr>
              <w:t xml:space="preserve"> five principles</w:t>
            </w:r>
            <w:r>
              <w:rPr>
                <w:rFonts w:cs="Times New Roman"/>
                <w:noProof/>
                <w:sz w:val="22"/>
                <w:lang w:val="en-GB"/>
              </w:rPr>
              <w:t>:</w:t>
            </w:r>
          </w:p>
          <w:p>
            <w:pPr>
              <w:numPr>
                <w:ilvl w:val="0"/>
                <w:numId w:val="66"/>
              </w:numPr>
              <w:spacing w:after="60"/>
              <w:ind w:left="714" w:hanging="357"/>
              <w:jc w:val="both"/>
              <w:rPr>
                <w:rFonts w:cs="Times New Roman"/>
                <w:noProof/>
                <w:sz w:val="22"/>
                <w:lang w:val="en-GB"/>
              </w:rPr>
            </w:pPr>
            <w:r>
              <w:rPr>
                <w:rFonts w:cs="Times New Roman"/>
                <w:noProof/>
                <w:sz w:val="22"/>
                <w:lang w:val="en-GB"/>
              </w:rPr>
              <w:t>Digital-by-default, inclusiveness and accessibility</w:t>
            </w:r>
          </w:p>
          <w:p>
            <w:pPr>
              <w:numPr>
                <w:ilvl w:val="0"/>
                <w:numId w:val="66"/>
              </w:numPr>
              <w:spacing w:after="60"/>
              <w:ind w:left="714" w:hanging="357"/>
              <w:jc w:val="both"/>
              <w:rPr>
                <w:rFonts w:cs="Times New Roman"/>
                <w:noProof/>
                <w:sz w:val="22"/>
                <w:lang w:val="en-GB"/>
              </w:rPr>
            </w:pPr>
            <w:r>
              <w:rPr>
                <w:rFonts w:cs="Times New Roman"/>
                <w:noProof/>
                <w:sz w:val="22"/>
                <w:lang w:val="en-GB"/>
              </w:rPr>
              <w:t>Once-only</w:t>
            </w:r>
          </w:p>
          <w:p>
            <w:pPr>
              <w:numPr>
                <w:ilvl w:val="0"/>
                <w:numId w:val="66"/>
              </w:numPr>
              <w:spacing w:after="60"/>
              <w:ind w:left="714" w:hanging="357"/>
              <w:jc w:val="both"/>
              <w:rPr>
                <w:rFonts w:cs="Times New Roman"/>
                <w:noProof/>
                <w:sz w:val="22"/>
                <w:lang w:val="en-GB"/>
              </w:rPr>
            </w:pPr>
            <w:r>
              <w:rPr>
                <w:rFonts w:cs="Times New Roman"/>
                <w:noProof/>
                <w:sz w:val="22"/>
                <w:lang w:val="en-GB"/>
              </w:rPr>
              <w:t>Trustworthiness and security</w:t>
            </w:r>
          </w:p>
          <w:p>
            <w:pPr>
              <w:numPr>
                <w:ilvl w:val="0"/>
                <w:numId w:val="66"/>
              </w:numPr>
              <w:spacing w:after="60"/>
              <w:ind w:left="714" w:hanging="357"/>
              <w:jc w:val="both"/>
              <w:rPr>
                <w:rFonts w:cs="Times New Roman"/>
                <w:noProof/>
                <w:sz w:val="22"/>
                <w:lang w:val="en-GB"/>
              </w:rPr>
            </w:pPr>
            <w:r>
              <w:rPr>
                <w:rFonts w:cs="Times New Roman"/>
                <w:noProof/>
                <w:sz w:val="22"/>
                <w:lang w:val="en-GB"/>
              </w:rPr>
              <w:t>Openness and transparency</w:t>
            </w:r>
          </w:p>
          <w:p>
            <w:pPr>
              <w:numPr>
                <w:ilvl w:val="0"/>
                <w:numId w:val="66"/>
              </w:numPr>
              <w:spacing w:after="120"/>
              <w:jc w:val="both"/>
              <w:rPr>
                <w:rFonts w:cs="Times New Roman"/>
                <w:noProof/>
                <w:sz w:val="22"/>
                <w:lang w:val="en-GB"/>
              </w:rPr>
            </w:pPr>
            <w:r>
              <w:rPr>
                <w:rFonts w:cs="Times New Roman"/>
                <w:noProof/>
                <w:sz w:val="22"/>
                <w:lang w:val="en-GB"/>
              </w:rPr>
              <w:t>Interoperability by default</w:t>
            </w:r>
          </w:p>
          <w:p>
            <w:pPr>
              <w:spacing w:after="120"/>
              <w:jc w:val="both"/>
              <w:rPr>
                <w:rFonts w:cs="Times New Roman"/>
                <w:noProof/>
                <w:sz w:val="22"/>
                <w:lang w:val="en-GB"/>
              </w:rPr>
            </w:pPr>
            <w:r>
              <w:rPr>
                <w:rFonts w:cs="Times New Roman"/>
                <w:noProof/>
                <w:sz w:val="22"/>
                <w:lang w:val="en-GB"/>
              </w:rPr>
              <w:t>These principles inform the policy action lines, together with the additional line ‘Horizontal enabling policy steps’. Out of these five principles, principles #2, #4 and #5 are specifically reflected in the ISA</w:t>
            </w:r>
            <w:r>
              <w:rPr>
                <w:rFonts w:cs="Times New Roman"/>
                <w:noProof/>
                <w:sz w:val="22"/>
                <w:vertAlign w:val="superscript"/>
                <w:lang w:val="en-GB"/>
              </w:rPr>
              <w:t>2</w:t>
            </w:r>
            <w:r>
              <w:rPr>
                <w:rFonts w:cs="Times New Roman"/>
                <w:noProof/>
                <w:sz w:val="22"/>
                <w:lang w:val="en-GB"/>
              </w:rPr>
              <w:t xml:space="preserve"> programme. In particular: </w:t>
            </w:r>
          </w:p>
          <w:p>
            <w:pPr>
              <w:numPr>
                <w:ilvl w:val="0"/>
                <w:numId w:val="68"/>
              </w:numPr>
              <w:spacing w:after="120"/>
              <w:jc w:val="both"/>
              <w:rPr>
                <w:rFonts w:cs="Times New Roman"/>
                <w:noProof/>
                <w:sz w:val="22"/>
                <w:lang w:val="en-GB"/>
              </w:rPr>
            </w:pPr>
            <w:r>
              <w:rPr>
                <w:rFonts w:cs="Times New Roman"/>
                <w:b/>
                <w:noProof/>
                <w:sz w:val="22"/>
                <w:lang w:val="en-GB"/>
              </w:rPr>
              <w:t>Principle #2</w:t>
            </w:r>
            <w:r>
              <w:rPr>
                <w:rFonts w:cs="Times New Roman"/>
                <w:noProof/>
                <w:sz w:val="22"/>
                <w:lang w:val="en-GB"/>
              </w:rPr>
              <w:t>, ‘once-only’, is reflected in actions such as ‘SEMIC’, ‘European Interoperability Architecture’, and ‘European public procurement interoperability initiative’ that support the implementation of the principle.</w:t>
            </w:r>
          </w:p>
          <w:p>
            <w:pPr>
              <w:numPr>
                <w:ilvl w:val="0"/>
                <w:numId w:val="68"/>
              </w:numPr>
              <w:spacing w:after="120"/>
              <w:jc w:val="both"/>
              <w:rPr>
                <w:rFonts w:cs="Times New Roman"/>
                <w:noProof/>
                <w:sz w:val="22"/>
                <w:lang w:val="en-GB"/>
              </w:rPr>
            </w:pPr>
            <w:r>
              <w:rPr>
                <w:rFonts w:cs="Times New Roman"/>
                <w:b/>
                <w:noProof/>
                <w:sz w:val="22"/>
                <w:lang w:val="en-GB"/>
              </w:rPr>
              <w:t>Principle #4</w:t>
            </w:r>
            <w:r>
              <w:rPr>
                <w:rFonts w:cs="Times New Roman"/>
                <w:noProof/>
                <w:sz w:val="22"/>
                <w:lang w:val="en-GB"/>
              </w:rPr>
              <w:t>, openness and transparency, is reflected in the attention paid to Linked Open Data in actions like ‘SEMIC’, ‘PMKI’, ‘ELISE’, ‘Standard-Based Archival Data Management, Exchange and Publication’ of ISA</w:t>
            </w:r>
            <w:r>
              <w:rPr>
                <w:rFonts w:cs="Times New Roman"/>
                <w:noProof/>
                <w:sz w:val="22"/>
                <w:vertAlign w:val="superscript"/>
                <w:lang w:val="en-GB"/>
              </w:rPr>
              <w:t>2</w:t>
            </w:r>
            <w:r>
              <w:rPr>
                <w:rFonts w:cs="Times New Roman"/>
                <w:noProof/>
                <w:sz w:val="22"/>
                <w:lang w:val="en-GB"/>
              </w:rPr>
              <w:t>, even though in the Declaration the scope is wider and is specifically addressed to the openness of public institutions; and</w:t>
            </w:r>
          </w:p>
          <w:p>
            <w:pPr>
              <w:numPr>
                <w:ilvl w:val="0"/>
                <w:numId w:val="68"/>
              </w:numPr>
              <w:spacing w:after="120"/>
              <w:jc w:val="both"/>
              <w:rPr>
                <w:rFonts w:cs="Times New Roman"/>
                <w:noProof/>
                <w:sz w:val="22"/>
                <w:lang w:val="en-GB"/>
              </w:rPr>
            </w:pPr>
            <w:r>
              <w:rPr>
                <w:rFonts w:cs="Times New Roman"/>
                <w:b/>
                <w:noProof/>
                <w:sz w:val="22"/>
                <w:lang w:val="en-GB"/>
              </w:rPr>
              <w:t>Principle #5</w:t>
            </w:r>
            <w:r>
              <w:rPr>
                <w:rFonts w:cs="Times New Roman"/>
                <w:noProof/>
                <w:sz w:val="22"/>
                <w:lang w:val="en-GB"/>
              </w:rPr>
              <w:t>, interoperability by default, is directly linked to the objectives of ISA</w:t>
            </w:r>
            <w:r>
              <w:rPr>
                <w:rFonts w:cs="Times New Roman"/>
                <w:noProof/>
                <w:sz w:val="22"/>
                <w:vertAlign w:val="superscript"/>
                <w:lang w:val="en-GB"/>
              </w:rPr>
              <w:t>2</w:t>
            </w:r>
            <w:r>
              <w:rPr>
                <w:rFonts w:cs="Times New Roman"/>
                <w:noProof/>
                <w:sz w:val="22"/>
                <w:lang w:val="en-GB"/>
              </w:rPr>
              <w:t xml:space="preserve"> programme. </w:t>
            </w:r>
          </w:p>
          <w:p>
            <w:pPr>
              <w:spacing w:after="120"/>
              <w:jc w:val="both"/>
              <w:rPr>
                <w:rFonts w:cs="Times New Roman"/>
                <w:noProof/>
                <w:sz w:val="22"/>
                <w:lang w:val="en-GB"/>
              </w:rPr>
            </w:pPr>
            <w:r>
              <w:rPr>
                <w:rFonts w:cs="Times New Roman"/>
                <w:noProof/>
                <w:sz w:val="22"/>
                <w:lang w:val="en-GB"/>
              </w:rPr>
              <w:t>Furthermore, the policy action line ‘Horizontal enabling policy steps’ involves some aspects that are characteristic of the ISA</w:t>
            </w:r>
            <w:r>
              <w:rPr>
                <w:rFonts w:cs="Times New Roman"/>
                <w:noProof/>
                <w:sz w:val="22"/>
                <w:vertAlign w:val="superscript"/>
                <w:lang w:val="en-GB"/>
              </w:rPr>
              <w:t>2</w:t>
            </w:r>
            <w:r>
              <w:rPr>
                <w:rFonts w:cs="Times New Roman"/>
                <w:noProof/>
                <w:sz w:val="22"/>
                <w:lang w:val="en-GB"/>
              </w:rPr>
              <w:t xml:space="preserve"> programme, such as the digital transformation of public administrations and integration of digital considerations in policy initiatives. Among the many </w:t>
            </w:r>
            <w:r>
              <w:rPr>
                <w:rFonts w:cs="Times New Roman"/>
                <w:b/>
                <w:noProof/>
                <w:sz w:val="22"/>
                <w:lang w:val="en-GB"/>
              </w:rPr>
              <w:t>proposals of the Declaration</w:t>
            </w:r>
            <w:r>
              <w:rPr>
                <w:rFonts w:cs="Times New Roman"/>
                <w:noProof/>
                <w:sz w:val="22"/>
                <w:lang w:val="en-GB"/>
              </w:rPr>
              <w:t>, a few are directly coherent with ISA</w:t>
            </w:r>
            <w:r>
              <w:rPr>
                <w:rFonts w:cs="Times New Roman"/>
                <w:noProof/>
                <w:sz w:val="22"/>
                <w:vertAlign w:val="superscript"/>
                <w:lang w:val="en-GB"/>
              </w:rPr>
              <w:t>2</w:t>
            </w:r>
            <w:r>
              <w:rPr>
                <w:rFonts w:cs="Times New Roman"/>
                <w:noProof/>
                <w:sz w:val="22"/>
                <w:lang w:val="en-GB"/>
              </w:rPr>
              <w:t xml:space="preserve"> objectives: </w:t>
            </w:r>
          </w:p>
          <w:p>
            <w:pPr>
              <w:numPr>
                <w:ilvl w:val="0"/>
                <w:numId w:val="69"/>
              </w:numPr>
              <w:spacing w:after="120"/>
              <w:jc w:val="both"/>
              <w:rPr>
                <w:rFonts w:cs="Times New Roman"/>
                <w:noProof/>
                <w:sz w:val="22"/>
                <w:lang w:val="en-GB"/>
              </w:rPr>
            </w:pPr>
            <w:r>
              <w:rPr>
                <w:rFonts w:cs="Times New Roman"/>
                <w:noProof/>
                <w:sz w:val="22"/>
                <w:lang w:val="en-GB"/>
              </w:rPr>
              <w:t>to implement the European Interoperability Framework and the Interoperability Action Plan (policy line 5);</w:t>
            </w:r>
          </w:p>
          <w:p>
            <w:pPr>
              <w:numPr>
                <w:ilvl w:val="0"/>
                <w:numId w:val="69"/>
              </w:numPr>
              <w:spacing w:after="120"/>
              <w:jc w:val="both"/>
              <w:rPr>
                <w:rFonts w:cs="Times New Roman"/>
                <w:noProof/>
                <w:sz w:val="22"/>
                <w:lang w:val="en-GB"/>
              </w:rPr>
            </w:pPr>
            <w:r>
              <w:rPr>
                <w:rFonts w:cs="Times New Roman"/>
                <w:noProof/>
                <w:sz w:val="22"/>
                <w:lang w:val="en-GB"/>
              </w:rPr>
              <w:t>to consider strengthening the requirements for use of open source solutions and standards when (re)building of ICT systems and solutions takes place with EU funding (policy line 5);</w:t>
            </w:r>
          </w:p>
          <w:p>
            <w:pPr>
              <w:numPr>
                <w:ilvl w:val="0"/>
                <w:numId w:val="69"/>
              </w:numPr>
              <w:spacing w:after="120"/>
              <w:jc w:val="both"/>
              <w:rPr>
                <w:rFonts w:cs="Times New Roman"/>
                <w:noProof/>
                <w:sz w:val="22"/>
                <w:lang w:val="en-GB"/>
              </w:rPr>
            </w:pPr>
            <w:r>
              <w:rPr>
                <w:rFonts w:cs="Times New Roman"/>
                <w:noProof/>
                <w:sz w:val="22"/>
                <w:lang w:val="en-GB"/>
              </w:rPr>
              <w:t>to fully integrate digital considerations into existing and future policy and regulatory initiatives (policy line 6);</w:t>
            </w:r>
          </w:p>
          <w:p>
            <w:pPr>
              <w:numPr>
                <w:ilvl w:val="0"/>
                <w:numId w:val="69"/>
              </w:numPr>
              <w:spacing w:after="120"/>
              <w:jc w:val="both"/>
              <w:rPr>
                <w:rFonts w:cs="Times New Roman"/>
                <w:noProof/>
                <w:sz w:val="22"/>
                <w:lang w:val="en-GB"/>
              </w:rPr>
            </w:pPr>
            <w:r>
              <w:rPr>
                <w:rFonts w:cs="Times New Roman"/>
                <w:noProof/>
                <w:sz w:val="22"/>
                <w:lang w:val="en-GB"/>
              </w:rPr>
              <w:t>to prepare proposals on the future (post 2020) and sustainability of existing EU-level cross-border digital service infrastructures and building blocks (policy line 6); and</w:t>
            </w:r>
          </w:p>
          <w:p>
            <w:pPr>
              <w:numPr>
                <w:ilvl w:val="0"/>
                <w:numId w:val="69"/>
              </w:numPr>
              <w:spacing w:after="120"/>
              <w:jc w:val="both"/>
              <w:rPr>
                <w:rFonts w:cs="Times New Roman"/>
                <w:noProof/>
                <w:sz w:val="22"/>
                <w:lang w:val="en-GB"/>
              </w:rPr>
            </w:pPr>
            <w:r>
              <w:rPr>
                <w:rFonts w:cs="Times New Roman"/>
                <w:noProof/>
                <w:sz w:val="22"/>
                <w:lang w:val="en-GB"/>
              </w:rPr>
              <w:t>to convene and support the work of groups of interested countries and other parties to exchange practices and develop reference guidelines and standards for taking emerging ICT into use in the public administration (policy line 6).</w:t>
            </w:r>
          </w:p>
          <w:p>
            <w:pPr>
              <w:spacing w:after="120"/>
              <w:jc w:val="both"/>
              <w:rPr>
                <w:rFonts w:cs="Times New Roman"/>
                <w:noProof/>
                <w:sz w:val="22"/>
                <w:lang w:val="en-GB"/>
              </w:rPr>
            </w:pPr>
            <w:r>
              <w:rPr>
                <w:rFonts w:cs="Times New Roman"/>
                <w:noProof/>
                <w:sz w:val="22"/>
                <w:lang w:val="en-GB"/>
              </w:rPr>
              <w:t xml:space="preserve">From this standpoint, there is </w:t>
            </w:r>
            <w:r>
              <w:rPr>
                <w:rFonts w:cs="Times New Roman"/>
                <w:b/>
                <w:noProof/>
                <w:sz w:val="22"/>
                <w:lang w:val="en-GB"/>
              </w:rPr>
              <w:t>no contradiction between the Tallinn Declaration and the ISA</w:t>
            </w:r>
            <w:r>
              <w:rPr>
                <w:rFonts w:cs="Times New Roman"/>
                <w:b/>
                <w:noProof/>
                <w:sz w:val="22"/>
                <w:vertAlign w:val="superscript"/>
                <w:lang w:val="en-GB"/>
              </w:rPr>
              <w:t>2</w:t>
            </w:r>
            <w:r>
              <w:rPr>
                <w:rFonts w:cs="Times New Roman"/>
                <w:b/>
                <w:noProof/>
                <w:sz w:val="22"/>
                <w:lang w:val="en-GB"/>
              </w:rPr>
              <w:t xml:space="preserve"> programme</w:t>
            </w:r>
            <w:r>
              <w:rPr>
                <w:rFonts w:cs="Times New Roman"/>
                <w:noProof/>
                <w:sz w:val="22"/>
                <w:lang w:val="en-GB"/>
              </w:rPr>
              <w:t>. Although their scope and aims differ</w:t>
            </w:r>
            <w:r>
              <w:rPr>
                <w:rFonts w:cs="Times New Roman"/>
                <w:b/>
                <w:noProof/>
                <w:sz w:val="22"/>
                <w:lang w:val="en-GB"/>
              </w:rPr>
              <w:t>, they proceed in the same direction and share common intents</w:t>
            </w:r>
            <w:r>
              <w:rPr>
                <w:rFonts w:cs="Times New Roman"/>
                <w:noProof/>
                <w:sz w:val="22"/>
                <w:lang w:val="en-GB"/>
              </w:rPr>
              <w:t>. There may be synergies in the above-mentioned points, but they can also turn into overlaps and duplications, or even worse, misalignments, if there is no strong coordination.</w:t>
            </w:r>
          </w:p>
          <w:p>
            <w:pPr>
              <w:spacing w:after="120"/>
              <w:jc w:val="both"/>
              <w:rPr>
                <w:rFonts w:cs="Times New Roman"/>
                <w:noProof/>
                <w:sz w:val="22"/>
                <w:lang w:val="en-GB"/>
              </w:rPr>
            </w:pPr>
            <w:r>
              <w:rPr>
                <w:rFonts w:cs="Times New Roman"/>
                <w:noProof/>
                <w:sz w:val="22"/>
                <w:lang w:val="en-GB"/>
              </w:rPr>
              <w:t>While the ISA</w:t>
            </w:r>
            <w:r>
              <w:rPr>
                <w:rFonts w:cs="Times New Roman"/>
                <w:noProof/>
                <w:sz w:val="22"/>
                <w:vertAlign w:val="superscript"/>
                <w:lang w:val="en-GB"/>
              </w:rPr>
              <w:t>2</w:t>
            </w:r>
            <w:r>
              <w:rPr>
                <w:rFonts w:cs="Times New Roman"/>
                <w:noProof/>
                <w:sz w:val="22"/>
                <w:lang w:val="en-GB"/>
              </w:rPr>
              <w:t xml:space="preserve"> programme is multi-national, the Declaration also affects each country individually. Therefore, initiatives and projects may be promoted separately by individual countries to fulfil the commitments agreed upon by the Member States. The Declaration also includes specific calls to EU institutions to enhance interoperability within the EU framework. Overall, this document</w:t>
            </w:r>
            <w:r>
              <w:rPr>
                <w:rFonts w:cs="Times New Roman"/>
                <w:noProof/>
                <w:sz w:val="22"/>
                <w:lang w:val="en-US"/>
              </w:rPr>
              <w:t xml:space="preserve"> stresses the need for more effort, both at EU institutions-level and at Member State-level, to ensure citizen-centric eGovernment and interoperability. </w:t>
            </w:r>
          </w:p>
          <w:p>
            <w:pPr>
              <w:spacing w:after="120"/>
              <w:jc w:val="both"/>
              <w:rPr>
                <w:rFonts w:cs="Times New Roman"/>
                <w:noProof/>
                <w:sz w:val="22"/>
                <w:lang w:val="en-GB"/>
              </w:rPr>
            </w:pPr>
            <w:r>
              <w:rPr>
                <w:rFonts w:cs="Times New Roman"/>
                <w:noProof/>
                <w:sz w:val="22"/>
                <w:lang w:val="en-GB"/>
              </w:rPr>
              <w:t>Finally, as the annex of the Tallinn Declaration highlights the importance of principles like the ‘Protection of personal data and privacy’ and ‘Incentives for digital service use’, better coherence would be ensured if the ISA</w:t>
            </w:r>
            <w:r>
              <w:rPr>
                <w:rFonts w:cs="Times New Roman"/>
                <w:noProof/>
                <w:sz w:val="22"/>
                <w:vertAlign w:val="superscript"/>
                <w:lang w:val="en-GB"/>
              </w:rPr>
              <w:t>2</w:t>
            </w:r>
            <w:r>
              <w:rPr>
                <w:rFonts w:cs="Times New Roman"/>
                <w:noProof/>
                <w:sz w:val="22"/>
                <w:lang w:val="en-GB"/>
              </w:rPr>
              <w:t xml:space="preserve"> programme began to include some of these principles in its actions.</w:t>
            </w:r>
          </w:p>
        </w:tc>
      </w:tr>
    </w:tbl>
    <w:p>
      <w:pPr>
        <w:jc w:val="both"/>
        <w:rPr>
          <w:rStyle w:val="Strong"/>
          <w:rFonts w:cs="Times New Roman"/>
          <w:b w:val="0"/>
          <w:bCs w:val="0"/>
          <w:noProof/>
          <w:lang w:val="en-GB"/>
        </w:rPr>
      </w:pPr>
    </w:p>
    <w:p>
      <w:pPr>
        <w:rPr>
          <w:rStyle w:val="Strong"/>
          <w:rFonts w:cs="Times New Roman"/>
          <w:b w:val="0"/>
          <w:noProof/>
          <w:lang w:val="en-GB"/>
        </w:rPr>
        <w:sectPr>
          <w:headerReference w:type="even" r:id="rId276"/>
          <w:headerReference w:type="default" r:id="rId277"/>
          <w:footerReference w:type="even" r:id="rId278"/>
          <w:footerReference w:type="default" r:id="rId279"/>
          <w:headerReference w:type="first" r:id="rId280"/>
          <w:footerReference w:type="first" r:id="rId281"/>
          <w:pgSz w:w="11906" w:h="16838"/>
          <w:pgMar w:top="1020" w:right="1701" w:bottom="1020" w:left="1587" w:header="601" w:footer="1077" w:gutter="0"/>
          <w:cols w:space="720"/>
          <w:titlePg/>
        </w:sectPr>
      </w:pPr>
    </w:p>
    <w:p>
      <w:pPr>
        <w:pStyle w:val="Heading3"/>
        <w:rPr>
          <w:noProof/>
          <w:lang w:val="en-GB"/>
        </w:rPr>
      </w:pPr>
      <w:r>
        <w:rPr>
          <w:noProof/>
          <w:lang w:val="en-GB"/>
        </w:rPr>
        <w:t>EU added value</w:t>
      </w:r>
    </w:p>
    <w:p>
      <w:pPr>
        <w:shd w:val="clear" w:color="auto" w:fill="C6D9F1" w:themeFill="text2" w:themeFillTint="33"/>
        <w:rPr>
          <w:rFonts w:cs="Times New Roman"/>
          <w:noProof/>
          <w:lang w:val="en-GB"/>
        </w:rPr>
      </w:pPr>
      <w:r>
        <w:rPr>
          <w:rFonts w:cs="Times New Roman"/>
          <w:noProof/>
          <w:lang w:val="en-GB"/>
        </w:rPr>
        <w:t>EQ8: What is the additional value resulting from the ISA² programme, compared to what could reasonably have been expected from Member States acting at national, regional and/or local levels?</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20</w:t>
      </w:r>
      <w:r>
        <w:rPr>
          <w:rFonts w:cs="Times New Roman"/>
          <w:noProof/>
        </w:rPr>
        <w:fldChar w:fldCharType="end"/>
      </w:r>
      <w:r>
        <w:rPr>
          <w:rFonts w:cs="Times New Roman"/>
          <w:noProof/>
        </w:rPr>
        <w:t>: Number of participants in the ISA</w:t>
      </w:r>
      <w:r>
        <w:rPr>
          <w:rFonts w:cs="Times New Roman"/>
          <w:noProof/>
          <w:vertAlign w:val="superscript"/>
        </w:rPr>
        <w:t>2</w:t>
      </w:r>
      <w:r>
        <w:rPr>
          <w:rFonts w:cs="Times New Roman"/>
          <w:noProof/>
        </w:rPr>
        <w:t xml:space="preserve"> Coordination Group meetings (per Member State)</w:t>
      </w:r>
    </w:p>
    <w:tbl>
      <w:tblPr>
        <w:tblStyle w:val="GridTable5Dark-Accent11"/>
        <w:tblW w:w="4073" w:type="pct"/>
        <w:tblLayout w:type="fixed"/>
        <w:tblLook w:val="0420" w:firstRow="1" w:lastRow="0" w:firstColumn="0" w:lastColumn="0" w:noHBand="0" w:noVBand="1"/>
      </w:tblPr>
      <w:tblGrid>
        <w:gridCol w:w="1572"/>
        <w:gridCol w:w="1936"/>
        <w:gridCol w:w="1844"/>
        <w:gridCol w:w="1844"/>
      </w:tblGrid>
      <w:tr>
        <w:trPr>
          <w:cnfStyle w:val="100000000000" w:firstRow="1" w:lastRow="0" w:firstColumn="0" w:lastColumn="0" w:oddVBand="0" w:evenVBand="0" w:oddHBand="0" w:evenHBand="0" w:firstRowFirstColumn="0" w:firstRowLastColumn="0" w:lastRowFirstColumn="0" w:lastRowLastColumn="0"/>
          <w:trHeight w:val="20"/>
          <w:tblHeader/>
        </w:trPr>
        <w:tc>
          <w:tcPr>
            <w:tcW w:w="1093" w:type="pct"/>
            <w:noWrap/>
          </w:tcPr>
          <w:p>
            <w:pPr>
              <w:spacing w:before="20" w:after="20"/>
              <w:jc w:val="center"/>
              <w:rPr>
                <w:bCs w:val="0"/>
                <w:noProof/>
                <w:sz w:val="22"/>
                <w:lang w:eastAsia="en-GB"/>
              </w:rPr>
            </w:pPr>
            <w:r>
              <w:rPr>
                <w:noProof/>
                <w:sz w:val="22"/>
              </w:rPr>
              <w:t>Member State</w:t>
            </w:r>
          </w:p>
        </w:tc>
        <w:tc>
          <w:tcPr>
            <w:tcW w:w="1345" w:type="pct"/>
            <w:noWrap/>
          </w:tcPr>
          <w:p>
            <w:pPr>
              <w:spacing w:before="20" w:after="20"/>
              <w:jc w:val="center"/>
              <w:rPr>
                <w:bCs w:val="0"/>
                <w:noProof/>
                <w:sz w:val="22"/>
                <w:lang w:eastAsia="en-GB"/>
              </w:rPr>
            </w:pPr>
            <w:r>
              <w:rPr>
                <w:noProof/>
                <w:sz w:val="22"/>
              </w:rPr>
              <w:t>Coordination Group Meeting 13/10/2017 Presence</w:t>
            </w:r>
          </w:p>
        </w:tc>
        <w:tc>
          <w:tcPr>
            <w:tcW w:w="1281" w:type="pct"/>
            <w:noWrap/>
          </w:tcPr>
          <w:p>
            <w:pPr>
              <w:spacing w:before="20" w:after="20"/>
              <w:jc w:val="center"/>
              <w:rPr>
                <w:bCs w:val="0"/>
                <w:noProof/>
                <w:sz w:val="22"/>
                <w:lang w:eastAsia="en-GB"/>
              </w:rPr>
            </w:pPr>
            <w:r>
              <w:rPr>
                <w:noProof/>
                <w:sz w:val="22"/>
              </w:rPr>
              <w:t>Coordination Group Meeting 19/10/2016 Presence</w:t>
            </w:r>
          </w:p>
        </w:tc>
        <w:tc>
          <w:tcPr>
            <w:tcW w:w="1281" w:type="pct"/>
          </w:tcPr>
          <w:p>
            <w:pPr>
              <w:spacing w:before="20" w:after="20"/>
              <w:jc w:val="center"/>
              <w:rPr>
                <w:bCs w:val="0"/>
                <w:noProof/>
                <w:sz w:val="22"/>
                <w:lang w:eastAsia="en-GB"/>
              </w:rPr>
            </w:pPr>
            <w:r>
              <w:rPr>
                <w:noProof/>
                <w:sz w:val="22"/>
              </w:rPr>
              <w:t>Coordination Group Meeting 24/10/2018 Presence</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Belgium</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Bulgaria</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lang w:eastAsia="en-GB"/>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Czech Republic</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Denmark</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Germany</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3</w:t>
            </w:r>
          </w:p>
        </w:tc>
      </w:tr>
      <w:tr>
        <w:trPr>
          <w:trHeight w:val="20"/>
        </w:trPr>
        <w:tc>
          <w:tcPr>
            <w:tcW w:w="1093" w:type="pct"/>
            <w:noWrap/>
          </w:tcPr>
          <w:p>
            <w:pPr>
              <w:spacing w:before="20" w:after="20"/>
              <w:rPr>
                <w:noProof/>
                <w:color w:val="000000"/>
                <w:sz w:val="22"/>
                <w:lang w:eastAsia="en-GB"/>
              </w:rPr>
            </w:pPr>
            <w:r>
              <w:rPr>
                <w:noProof/>
                <w:color w:val="000000"/>
                <w:sz w:val="22"/>
              </w:rPr>
              <w:t>Estonia</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Ireland</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Spain</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3</w:t>
            </w:r>
          </w:p>
        </w:tc>
        <w:tc>
          <w:tcPr>
            <w:tcW w:w="1281" w:type="pct"/>
            <w:noWrap/>
          </w:tcPr>
          <w:p>
            <w:pPr>
              <w:spacing w:before="20" w:after="20"/>
              <w:jc w:val="center"/>
              <w:rPr>
                <w:noProof/>
                <w:color w:val="000000"/>
                <w:sz w:val="22"/>
                <w:lang w:eastAsia="en-GB"/>
              </w:rPr>
            </w:pPr>
            <w:r>
              <w:rPr>
                <w:noProof/>
                <w:color w:val="000000"/>
                <w:sz w:val="22"/>
                <w:lang w:eastAsia="en-GB"/>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France</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lang w:eastAsia="en-GB"/>
              </w:rPr>
              <w:t>0</w:t>
            </w:r>
          </w:p>
        </w:tc>
      </w:tr>
      <w:tr>
        <w:trPr>
          <w:trHeight w:val="20"/>
        </w:trPr>
        <w:tc>
          <w:tcPr>
            <w:tcW w:w="1093" w:type="pct"/>
            <w:noWrap/>
          </w:tcPr>
          <w:p>
            <w:pPr>
              <w:spacing w:before="20" w:after="20"/>
              <w:rPr>
                <w:noProof/>
                <w:color w:val="000000"/>
                <w:sz w:val="22"/>
                <w:lang w:eastAsia="en-GB"/>
              </w:rPr>
            </w:pPr>
            <w:r>
              <w:rPr>
                <w:noProof/>
                <w:color w:val="000000"/>
                <w:sz w:val="22"/>
              </w:rPr>
              <w:t>Croatia</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Italy</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Cyprus</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Latvia</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Lithuania</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Luxembourg</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Hungary</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Malta</w:t>
            </w:r>
          </w:p>
        </w:tc>
        <w:tc>
          <w:tcPr>
            <w:tcW w:w="1345" w:type="pct"/>
            <w:noWrap/>
          </w:tcPr>
          <w:p>
            <w:pPr>
              <w:spacing w:before="20" w:after="20"/>
              <w:jc w:val="center"/>
              <w:rPr>
                <w:noProof/>
                <w:color w:val="000000"/>
                <w:sz w:val="22"/>
                <w:lang w:eastAsia="en-GB"/>
              </w:rPr>
            </w:pPr>
            <w:r>
              <w:rPr>
                <w:noProof/>
                <w:color w:val="000000"/>
                <w:sz w:val="22"/>
              </w:rPr>
              <w:t>3</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Netherlands</w:t>
            </w:r>
          </w:p>
        </w:tc>
        <w:tc>
          <w:tcPr>
            <w:tcW w:w="1345" w:type="pct"/>
            <w:noWrap/>
          </w:tcPr>
          <w:p>
            <w:pPr>
              <w:spacing w:before="20" w:after="20"/>
              <w:jc w:val="center"/>
              <w:rPr>
                <w:noProof/>
                <w:color w:val="000000"/>
                <w:sz w:val="22"/>
                <w:lang w:eastAsia="en-GB"/>
              </w:rPr>
            </w:pPr>
            <w:r>
              <w:rPr>
                <w:noProof/>
                <w:color w:val="000000"/>
                <w:sz w:val="22"/>
              </w:rPr>
              <w:t>3</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Austria</w:t>
            </w:r>
          </w:p>
        </w:tc>
        <w:tc>
          <w:tcPr>
            <w:tcW w:w="1345" w:type="pct"/>
            <w:noWrap/>
          </w:tcPr>
          <w:p>
            <w:pPr>
              <w:spacing w:before="20" w:after="20"/>
              <w:jc w:val="center"/>
              <w:rPr>
                <w:noProof/>
                <w:color w:val="000000"/>
                <w:sz w:val="22"/>
                <w:lang w:val="it-IT"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Poland</w:t>
            </w:r>
          </w:p>
        </w:tc>
        <w:tc>
          <w:tcPr>
            <w:tcW w:w="1345" w:type="pct"/>
            <w:noWrap/>
          </w:tcPr>
          <w:p>
            <w:pPr>
              <w:spacing w:before="20" w:after="20"/>
              <w:jc w:val="center"/>
              <w:rPr>
                <w:noProof/>
                <w:color w:val="000000"/>
                <w:sz w:val="22"/>
                <w:lang w:eastAsia="en-GB"/>
              </w:rPr>
            </w:pPr>
            <w:r>
              <w:rPr>
                <w:noProof/>
                <w:color w:val="000000"/>
                <w:sz w:val="22"/>
              </w:rPr>
              <w:t>3</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lang w:eastAsia="en-GB"/>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Portugal</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lang w:eastAsia="en-GB"/>
              </w:rPr>
              <w:t>0</w:t>
            </w:r>
          </w:p>
        </w:tc>
      </w:tr>
      <w:tr>
        <w:trPr>
          <w:trHeight w:val="20"/>
        </w:trPr>
        <w:tc>
          <w:tcPr>
            <w:tcW w:w="1093" w:type="pct"/>
            <w:noWrap/>
          </w:tcPr>
          <w:p>
            <w:pPr>
              <w:spacing w:before="20" w:after="20"/>
              <w:rPr>
                <w:noProof/>
                <w:color w:val="000000"/>
                <w:sz w:val="22"/>
                <w:lang w:eastAsia="en-GB"/>
              </w:rPr>
            </w:pPr>
            <w:r>
              <w:rPr>
                <w:noProof/>
                <w:color w:val="000000"/>
                <w:sz w:val="22"/>
              </w:rPr>
              <w:t>Romania</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lang w:eastAsia="en-GB"/>
              </w:rPr>
              <w:t>0</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Slovenia</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lang w:eastAsia="en-GB"/>
              </w:rPr>
              <w:t>0</w:t>
            </w:r>
          </w:p>
        </w:tc>
      </w:tr>
      <w:tr>
        <w:trPr>
          <w:trHeight w:val="20"/>
        </w:trPr>
        <w:tc>
          <w:tcPr>
            <w:tcW w:w="1093" w:type="pct"/>
            <w:noWrap/>
          </w:tcPr>
          <w:p>
            <w:pPr>
              <w:spacing w:before="20" w:after="20"/>
              <w:rPr>
                <w:noProof/>
                <w:color w:val="000000"/>
                <w:sz w:val="22"/>
                <w:lang w:eastAsia="en-GB"/>
              </w:rPr>
            </w:pPr>
            <w:r>
              <w:rPr>
                <w:noProof/>
                <w:color w:val="000000"/>
                <w:sz w:val="22"/>
              </w:rPr>
              <w:t>Slovakia</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Finland</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Sweden</w:t>
            </w:r>
          </w:p>
        </w:tc>
        <w:tc>
          <w:tcPr>
            <w:tcW w:w="1345"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United Kingdom</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2</w:t>
            </w:r>
          </w:p>
        </w:tc>
        <w:tc>
          <w:tcPr>
            <w:tcW w:w="1281" w:type="pct"/>
            <w:noWrap/>
          </w:tcPr>
          <w:p>
            <w:pPr>
              <w:spacing w:before="20" w:after="20"/>
              <w:jc w:val="center"/>
              <w:rPr>
                <w:noProof/>
                <w:color w:val="000000"/>
                <w:sz w:val="22"/>
                <w:lang w:eastAsia="en-GB"/>
              </w:rPr>
            </w:pPr>
            <w:r>
              <w:rPr>
                <w:noProof/>
                <w:color w:val="000000"/>
                <w:sz w:val="22"/>
              </w:rPr>
              <w:t>1</w:t>
            </w:r>
          </w:p>
        </w:tc>
      </w:tr>
      <w:tr>
        <w:trPr>
          <w:trHeight w:val="20"/>
        </w:trPr>
        <w:tc>
          <w:tcPr>
            <w:tcW w:w="1093" w:type="pct"/>
            <w:noWrap/>
          </w:tcPr>
          <w:p>
            <w:pPr>
              <w:spacing w:before="20" w:after="20"/>
              <w:rPr>
                <w:noProof/>
                <w:color w:val="000000"/>
                <w:sz w:val="22"/>
                <w:lang w:eastAsia="en-GB"/>
              </w:rPr>
            </w:pPr>
            <w:r>
              <w:rPr>
                <w:noProof/>
                <w:color w:val="000000"/>
                <w:sz w:val="22"/>
              </w:rPr>
              <w:t>Norway</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Iceland</w:t>
            </w:r>
          </w:p>
        </w:tc>
        <w:tc>
          <w:tcPr>
            <w:tcW w:w="1345" w:type="pct"/>
            <w:noWrap/>
          </w:tcPr>
          <w:p>
            <w:pPr>
              <w:spacing w:before="20" w:after="20"/>
              <w:jc w:val="center"/>
              <w:rPr>
                <w:noProof/>
                <w:color w:val="000000"/>
                <w:sz w:val="22"/>
                <w:lang w:eastAsia="en-GB"/>
              </w:rPr>
            </w:pPr>
            <w:r>
              <w:rPr>
                <w:noProof/>
                <w:color w:val="000000"/>
                <w:sz w:val="22"/>
              </w:rPr>
              <w:t>1</w:t>
            </w:r>
          </w:p>
        </w:tc>
        <w:tc>
          <w:tcPr>
            <w:tcW w:w="1281" w:type="pct"/>
            <w:noWrap/>
          </w:tcPr>
          <w:p>
            <w:pPr>
              <w:spacing w:before="20" w:after="20"/>
              <w:jc w:val="center"/>
              <w:rPr>
                <w:noProof/>
                <w:color w:val="000000"/>
                <w:sz w:val="22"/>
                <w:lang w:eastAsia="en-GB"/>
              </w:rPr>
            </w:pPr>
            <w:r>
              <w:rPr>
                <w:noProof/>
                <w:color w:val="000000"/>
                <w:sz w:val="22"/>
                <w:lang w:eastAsia="en-GB"/>
              </w:rPr>
              <w:t>0</w:t>
            </w:r>
          </w:p>
        </w:tc>
        <w:tc>
          <w:tcPr>
            <w:tcW w:w="1281" w:type="pct"/>
            <w:noWrap/>
          </w:tcPr>
          <w:p>
            <w:pPr>
              <w:spacing w:before="20" w:after="20"/>
              <w:jc w:val="center"/>
              <w:rPr>
                <w:noProof/>
                <w:color w:val="000000"/>
                <w:sz w:val="22"/>
                <w:lang w:eastAsia="en-GB"/>
              </w:rPr>
            </w:pPr>
            <w:r>
              <w:rPr>
                <w:noProof/>
                <w:color w:val="000000"/>
                <w:sz w:val="22"/>
                <w:lang w:eastAsia="en-GB"/>
              </w:rPr>
              <w:t>0</w:t>
            </w:r>
          </w:p>
        </w:tc>
      </w:tr>
      <w:tr>
        <w:trPr>
          <w:trHeight w:val="20"/>
        </w:trPr>
        <w:tc>
          <w:tcPr>
            <w:tcW w:w="1093" w:type="pct"/>
            <w:noWrap/>
          </w:tcPr>
          <w:p>
            <w:pPr>
              <w:spacing w:before="20" w:after="20"/>
              <w:rPr>
                <w:noProof/>
                <w:color w:val="000000"/>
                <w:sz w:val="22"/>
                <w:lang w:eastAsia="en-GB"/>
              </w:rPr>
            </w:pPr>
            <w:r>
              <w:rPr>
                <w:noProof/>
                <w:color w:val="000000"/>
                <w:sz w:val="22"/>
              </w:rPr>
              <w:t>Montenegro</w:t>
            </w:r>
          </w:p>
        </w:tc>
        <w:tc>
          <w:tcPr>
            <w:tcW w:w="1345" w:type="pct"/>
            <w:noWrap/>
          </w:tcPr>
          <w:p>
            <w:pPr>
              <w:spacing w:before="20" w:after="20"/>
              <w:jc w:val="center"/>
              <w:rPr>
                <w:noProof/>
                <w:color w:val="000000"/>
                <w:sz w:val="22"/>
                <w:lang w:eastAsia="en-GB"/>
              </w:rPr>
            </w:pPr>
            <w:r>
              <w:rPr>
                <w:noProof/>
                <w:color w:val="000000"/>
                <w:sz w:val="22"/>
                <w:lang w:eastAsia="en-GB"/>
              </w:rPr>
              <w:t>0</w:t>
            </w:r>
          </w:p>
        </w:tc>
        <w:tc>
          <w:tcPr>
            <w:tcW w:w="1281" w:type="pct"/>
            <w:noWrap/>
          </w:tcPr>
          <w:p>
            <w:pPr>
              <w:spacing w:before="20" w:after="20"/>
              <w:jc w:val="center"/>
              <w:rPr>
                <w:noProof/>
                <w:color w:val="000000"/>
                <w:sz w:val="22"/>
                <w:lang w:eastAsia="en-GB"/>
              </w:rPr>
            </w:pPr>
            <w:r>
              <w:rPr>
                <w:noProof/>
                <w:color w:val="000000"/>
                <w:sz w:val="22"/>
                <w:lang w:eastAsia="en-GB"/>
              </w:rPr>
              <w:t>0</w:t>
            </w:r>
          </w:p>
        </w:tc>
        <w:tc>
          <w:tcPr>
            <w:tcW w:w="1281" w:type="pct"/>
            <w:noWrap/>
          </w:tcPr>
          <w:p>
            <w:pPr>
              <w:spacing w:before="20" w:after="20"/>
              <w:jc w:val="center"/>
              <w:rPr>
                <w:noProof/>
                <w:color w:val="000000"/>
                <w:sz w:val="22"/>
                <w:lang w:eastAsia="en-GB"/>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1093" w:type="pct"/>
            <w:noWrap/>
          </w:tcPr>
          <w:p>
            <w:pPr>
              <w:spacing w:before="20" w:after="20"/>
              <w:rPr>
                <w:noProof/>
                <w:color w:val="000000"/>
                <w:sz w:val="22"/>
                <w:lang w:eastAsia="en-GB"/>
              </w:rPr>
            </w:pPr>
            <w:r>
              <w:rPr>
                <w:noProof/>
                <w:color w:val="000000"/>
                <w:sz w:val="22"/>
              </w:rPr>
              <w:t>Greece</w:t>
            </w:r>
          </w:p>
        </w:tc>
        <w:tc>
          <w:tcPr>
            <w:tcW w:w="1345" w:type="pct"/>
            <w:noWrap/>
          </w:tcPr>
          <w:p>
            <w:pPr>
              <w:spacing w:before="20" w:after="20"/>
              <w:jc w:val="center"/>
              <w:rPr>
                <w:noProof/>
                <w:color w:val="000000"/>
                <w:sz w:val="22"/>
                <w:lang w:eastAsia="en-GB"/>
              </w:rPr>
            </w:pPr>
            <w:r>
              <w:rPr>
                <w:noProof/>
                <w:color w:val="000000"/>
                <w:sz w:val="22"/>
                <w:lang w:eastAsia="en-GB"/>
              </w:rPr>
              <w:t>0</w:t>
            </w:r>
          </w:p>
        </w:tc>
        <w:tc>
          <w:tcPr>
            <w:tcW w:w="1281" w:type="pct"/>
            <w:noWrap/>
          </w:tcPr>
          <w:p>
            <w:pPr>
              <w:spacing w:before="20" w:after="20"/>
              <w:jc w:val="center"/>
              <w:rPr>
                <w:noProof/>
                <w:color w:val="000000"/>
                <w:sz w:val="22"/>
                <w:lang w:eastAsia="en-GB"/>
              </w:rPr>
            </w:pPr>
            <w:r>
              <w:rPr>
                <w:noProof/>
                <w:color w:val="000000"/>
                <w:sz w:val="22"/>
                <w:lang w:eastAsia="en-GB"/>
              </w:rPr>
              <w:t>0</w:t>
            </w:r>
          </w:p>
        </w:tc>
        <w:tc>
          <w:tcPr>
            <w:tcW w:w="1281" w:type="pct"/>
            <w:noWrap/>
          </w:tcPr>
          <w:p>
            <w:pPr>
              <w:spacing w:before="20" w:after="20"/>
              <w:jc w:val="center"/>
              <w:rPr>
                <w:noProof/>
                <w:color w:val="000000"/>
                <w:sz w:val="22"/>
                <w:lang w:eastAsia="en-GB"/>
              </w:rPr>
            </w:pPr>
            <w:r>
              <w:rPr>
                <w:noProof/>
                <w:color w:val="000000"/>
                <w:sz w:val="22"/>
                <w:lang w:eastAsia="en-GB"/>
              </w:rPr>
              <w:t>0</w:t>
            </w:r>
          </w:p>
        </w:tc>
      </w:tr>
    </w:tbl>
    <w:p>
      <w:pPr>
        <w:rPr>
          <w:rFonts w:cs="Times New Roman"/>
          <w:i/>
          <w:noProof/>
          <w:sz w:val="20"/>
          <w:szCs w:val="20"/>
        </w:rPr>
      </w:pPr>
      <w:r>
        <w:rPr>
          <w:rFonts w:cs="Times New Roman"/>
          <w:i/>
          <w:noProof/>
          <w:sz w:val="20"/>
          <w:szCs w:val="20"/>
        </w:rPr>
        <w:t xml:space="preserve">Source: </w:t>
      </w:r>
      <w:hyperlink r:id="rId282" w:history="1">
        <w:r>
          <w:rPr>
            <w:rStyle w:val="Hyperlink"/>
            <w:rFonts w:cs="Times New Roman"/>
            <w:i/>
            <w:noProof/>
            <w:sz w:val="20"/>
            <w:lang w:val="en-GB"/>
          </w:rPr>
          <w:t>CEPS final study</w:t>
        </w:r>
      </w:hyperlink>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21</w:t>
      </w:r>
      <w:r>
        <w:rPr>
          <w:rFonts w:cs="Times New Roman"/>
          <w:noProof/>
        </w:rPr>
        <w:fldChar w:fldCharType="end"/>
      </w:r>
      <w:r>
        <w:rPr>
          <w:rFonts w:cs="Times New Roman"/>
          <w:noProof/>
        </w:rPr>
        <w:t>: Number of participants in the ISA</w:t>
      </w:r>
      <w:r>
        <w:rPr>
          <w:rFonts w:cs="Times New Roman"/>
          <w:noProof/>
          <w:vertAlign w:val="superscript"/>
        </w:rPr>
        <w:t>2</w:t>
      </w:r>
      <w:r>
        <w:rPr>
          <w:rFonts w:cs="Times New Roman"/>
          <w:noProof/>
        </w:rPr>
        <w:t xml:space="preserve"> Committee meetings (per Member State)</w:t>
      </w:r>
    </w:p>
    <w:tbl>
      <w:tblPr>
        <w:tblStyle w:val="GridTable5Dark-Accent11"/>
        <w:tblW w:w="5000" w:type="pct"/>
        <w:tblLayout w:type="fixed"/>
        <w:tblLook w:val="0420" w:firstRow="1" w:lastRow="0" w:firstColumn="0" w:lastColumn="0" w:noHBand="0" w:noVBand="1"/>
      </w:tblPr>
      <w:tblGrid>
        <w:gridCol w:w="1473"/>
        <w:gridCol w:w="1473"/>
        <w:gridCol w:w="1472"/>
        <w:gridCol w:w="1472"/>
        <w:gridCol w:w="1472"/>
        <w:gridCol w:w="1472"/>
      </w:tblGrid>
      <w:tr>
        <w:trPr>
          <w:cnfStyle w:val="100000000000" w:firstRow="1" w:lastRow="0" w:firstColumn="0" w:lastColumn="0" w:oddVBand="0" w:evenVBand="0" w:oddHBand="0" w:evenHBand="0" w:firstRowFirstColumn="0" w:firstRowLastColumn="0" w:lastRowFirstColumn="0" w:lastRowLastColumn="0"/>
          <w:trHeight w:val="20"/>
          <w:tblHeader/>
        </w:trPr>
        <w:tc>
          <w:tcPr>
            <w:tcW w:w="834" w:type="pct"/>
            <w:noWrap/>
          </w:tcPr>
          <w:p>
            <w:pPr>
              <w:spacing w:before="20" w:after="20"/>
              <w:jc w:val="center"/>
              <w:rPr>
                <w:bCs w:val="0"/>
                <w:noProof/>
                <w:sz w:val="22"/>
                <w:lang w:eastAsia="en-GB"/>
              </w:rPr>
            </w:pPr>
            <w:r>
              <w:rPr>
                <w:noProof/>
                <w:sz w:val="22"/>
              </w:rPr>
              <w:t>Member State</w:t>
            </w:r>
          </w:p>
        </w:tc>
        <w:tc>
          <w:tcPr>
            <w:tcW w:w="834" w:type="pct"/>
            <w:noWrap/>
          </w:tcPr>
          <w:p>
            <w:pPr>
              <w:spacing w:before="20" w:after="20"/>
              <w:jc w:val="center"/>
              <w:rPr>
                <w:bCs w:val="0"/>
                <w:noProof/>
                <w:sz w:val="22"/>
                <w:lang w:eastAsia="en-GB"/>
              </w:rPr>
            </w:pPr>
            <w:r>
              <w:rPr>
                <w:noProof/>
                <w:sz w:val="22"/>
              </w:rPr>
              <w:t>Committee Meeting 02/03/2016 Presence</w:t>
            </w:r>
          </w:p>
        </w:tc>
        <w:tc>
          <w:tcPr>
            <w:tcW w:w="833" w:type="pct"/>
            <w:noWrap/>
          </w:tcPr>
          <w:p>
            <w:pPr>
              <w:spacing w:before="20" w:after="20"/>
              <w:jc w:val="center"/>
              <w:rPr>
                <w:bCs w:val="0"/>
                <w:noProof/>
                <w:sz w:val="22"/>
                <w:lang w:eastAsia="en-GB"/>
              </w:rPr>
            </w:pPr>
            <w:r>
              <w:rPr>
                <w:noProof/>
                <w:sz w:val="22"/>
              </w:rPr>
              <w:t>Committee Meeting 09/06/2016 Presence</w:t>
            </w:r>
          </w:p>
        </w:tc>
        <w:tc>
          <w:tcPr>
            <w:tcW w:w="833" w:type="pct"/>
          </w:tcPr>
          <w:p>
            <w:pPr>
              <w:spacing w:before="20" w:after="20"/>
              <w:jc w:val="center"/>
              <w:rPr>
                <w:bCs w:val="0"/>
                <w:noProof/>
                <w:sz w:val="22"/>
                <w:lang w:eastAsia="en-GB"/>
              </w:rPr>
            </w:pPr>
            <w:r>
              <w:rPr>
                <w:noProof/>
                <w:sz w:val="22"/>
              </w:rPr>
              <w:t>Committee Meeting 19/01/17 Presence</w:t>
            </w:r>
          </w:p>
        </w:tc>
        <w:tc>
          <w:tcPr>
            <w:tcW w:w="833" w:type="pct"/>
          </w:tcPr>
          <w:p>
            <w:pPr>
              <w:spacing w:before="20" w:after="20"/>
              <w:jc w:val="center"/>
              <w:rPr>
                <w:noProof/>
                <w:sz w:val="22"/>
              </w:rPr>
            </w:pPr>
            <w:r>
              <w:rPr>
                <w:noProof/>
                <w:sz w:val="22"/>
              </w:rPr>
              <w:t>Committee Meeting 20/06/2018 Presence</w:t>
            </w:r>
          </w:p>
        </w:tc>
        <w:tc>
          <w:tcPr>
            <w:tcW w:w="833" w:type="pct"/>
          </w:tcPr>
          <w:p>
            <w:pPr>
              <w:spacing w:before="20" w:after="20"/>
              <w:jc w:val="center"/>
              <w:rPr>
                <w:noProof/>
                <w:sz w:val="22"/>
              </w:rPr>
            </w:pPr>
            <w:r>
              <w:rPr>
                <w:noProof/>
                <w:sz w:val="22"/>
              </w:rPr>
              <w:t>Committee Meeting 24/01/2018 Presence</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Belgium</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1</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1</w:t>
            </w:r>
          </w:p>
        </w:tc>
      </w:tr>
      <w:tr>
        <w:trPr>
          <w:trHeight w:val="20"/>
        </w:trPr>
        <w:tc>
          <w:tcPr>
            <w:tcW w:w="834" w:type="pct"/>
            <w:noWrap/>
          </w:tcPr>
          <w:p>
            <w:pPr>
              <w:spacing w:before="20" w:after="20"/>
              <w:rPr>
                <w:noProof/>
                <w:color w:val="000000"/>
                <w:sz w:val="22"/>
                <w:lang w:eastAsia="en-GB"/>
              </w:rPr>
            </w:pPr>
            <w:r>
              <w:rPr>
                <w:noProof/>
                <w:color w:val="000000"/>
                <w:sz w:val="22"/>
              </w:rPr>
              <w:t>Bulgaria</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Czech Republic</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3</w:t>
            </w:r>
          </w:p>
        </w:tc>
      </w:tr>
      <w:tr>
        <w:trPr>
          <w:trHeight w:val="20"/>
        </w:trPr>
        <w:tc>
          <w:tcPr>
            <w:tcW w:w="834" w:type="pct"/>
            <w:noWrap/>
          </w:tcPr>
          <w:p>
            <w:pPr>
              <w:spacing w:before="20" w:after="20"/>
              <w:rPr>
                <w:noProof/>
                <w:color w:val="000000"/>
                <w:sz w:val="22"/>
                <w:lang w:eastAsia="en-GB"/>
              </w:rPr>
            </w:pPr>
            <w:r>
              <w:rPr>
                <w:noProof/>
                <w:color w:val="000000"/>
                <w:sz w:val="22"/>
              </w:rPr>
              <w:t>Denmark</w:t>
            </w:r>
          </w:p>
        </w:tc>
        <w:tc>
          <w:tcPr>
            <w:tcW w:w="834" w:type="pct"/>
            <w:noWrap/>
          </w:tcPr>
          <w:p>
            <w:pPr>
              <w:spacing w:before="20" w:after="20"/>
              <w:jc w:val="center"/>
              <w:rPr>
                <w:noProof/>
                <w:color w:val="000000"/>
                <w:sz w:val="22"/>
                <w:lang w:eastAsia="en-GB"/>
              </w:rPr>
            </w:pPr>
            <w:r>
              <w:rPr>
                <w:noProof/>
                <w:color w:val="000000"/>
                <w:sz w:val="22"/>
              </w:rPr>
              <w:t>1</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3</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Germany</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4</w:t>
            </w:r>
          </w:p>
        </w:tc>
        <w:tc>
          <w:tcPr>
            <w:tcW w:w="833" w:type="pct"/>
            <w:noWrap/>
          </w:tcPr>
          <w:p>
            <w:pPr>
              <w:spacing w:before="20" w:after="20"/>
              <w:jc w:val="center"/>
              <w:rPr>
                <w:noProof/>
                <w:color w:val="000000"/>
                <w:sz w:val="22"/>
                <w:lang w:eastAsia="en-GB"/>
              </w:rPr>
            </w:pPr>
            <w:r>
              <w:rPr>
                <w:noProof/>
                <w:color w:val="000000"/>
                <w:sz w:val="22"/>
              </w:rPr>
              <w:t>3</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3</w:t>
            </w:r>
          </w:p>
        </w:tc>
      </w:tr>
      <w:tr>
        <w:trPr>
          <w:trHeight w:val="20"/>
        </w:trPr>
        <w:tc>
          <w:tcPr>
            <w:tcW w:w="834" w:type="pct"/>
            <w:noWrap/>
          </w:tcPr>
          <w:p>
            <w:pPr>
              <w:spacing w:before="20" w:after="20"/>
              <w:rPr>
                <w:noProof/>
                <w:color w:val="000000"/>
                <w:sz w:val="22"/>
                <w:lang w:eastAsia="en-GB"/>
              </w:rPr>
            </w:pPr>
            <w:r>
              <w:rPr>
                <w:noProof/>
                <w:color w:val="000000"/>
                <w:sz w:val="22"/>
              </w:rPr>
              <w:t>Estonia</w:t>
            </w:r>
          </w:p>
        </w:tc>
        <w:tc>
          <w:tcPr>
            <w:tcW w:w="834" w:type="pct"/>
            <w:noWrap/>
          </w:tcPr>
          <w:p>
            <w:pPr>
              <w:spacing w:before="20" w:after="20"/>
              <w:jc w:val="center"/>
              <w:rPr>
                <w:noProof/>
                <w:color w:val="000000"/>
                <w:sz w:val="22"/>
                <w:lang w:eastAsia="en-GB"/>
              </w:rPr>
            </w:pPr>
            <w:r>
              <w:rPr>
                <w:noProof/>
                <w:color w:val="000000"/>
                <w:sz w:val="22"/>
              </w:rPr>
              <w:t>5</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Ireland</w:t>
            </w:r>
          </w:p>
        </w:tc>
        <w:tc>
          <w:tcPr>
            <w:tcW w:w="834" w:type="pct"/>
            <w:noWrap/>
          </w:tcPr>
          <w:p>
            <w:pPr>
              <w:spacing w:before="20" w:after="20"/>
              <w:jc w:val="center"/>
              <w:rPr>
                <w:noProof/>
                <w:color w:val="000000"/>
                <w:sz w:val="22"/>
                <w:lang w:eastAsia="en-GB"/>
              </w:rPr>
            </w:pPr>
            <w:r>
              <w:rPr>
                <w:noProof/>
                <w:color w:val="000000"/>
                <w:sz w:val="22"/>
              </w:rPr>
              <w:t>1</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3</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trHeight w:val="20"/>
        </w:trPr>
        <w:tc>
          <w:tcPr>
            <w:tcW w:w="834" w:type="pct"/>
            <w:noWrap/>
          </w:tcPr>
          <w:p>
            <w:pPr>
              <w:spacing w:before="20" w:after="20"/>
              <w:rPr>
                <w:noProof/>
                <w:color w:val="000000"/>
                <w:sz w:val="22"/>
                <w:lang w:eastAsia="en-GB"/>
              </w:rPr>
            </w:pPr>
            <w:r>
              <w:rPr>
                <w:noProof/>
                <w:color w:val="000000"/>
                <w:sz w:val="22"/>
              </w:rPr>
              <w:t>Spain</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3</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3</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France</w:t>
            </w:r>
          </w:p>
        </w:tc>
        <w:tc>
          <w:tcPr>
            <w:tcW w:w="834" w:type="pct"/>
            <w:noWrap/>
          </w:tcPr>
          <w:p>
            <w:pPr>
              <w:spacing w:before="20" w:after="20"/>
              <w:jc w:val="center"/>
              <w:rPr>
                <w:noProof/>
                <w:color w:val="000000"/>
                <w:sz w:val="22"/>
                <w:lang w:eastAsia="en-GB"/>
              </w:rPr>
            </w:pPr>
            <w:r>
              <w:rPr>
                <w:noProof/>
                <w:color w:val="000000"/>
                <w:sz w:val="22"/>
              </w:rPr>
              <w:t>1</w:t>
            </w:r>
          </w:p>
        </w:tc>
        <w:tc>
          <w:tcPr>
            <w:tcW w:w="833" w:type="pct"/>
            <w:noWrap/>
          </w:tcPr>
          <w:p>
            <w:pPr>
              <w:spacing w:before="20" w:after="20"/>
              <w:jc w:val="center"/>
              <w:rPr>
                <w:noProof/>
                <w:color w:val="000000"/>
                <w:sz w:val="22"/>
                <w:lang w:eastAsia="en-GB"/>
              </w:rPr>
            </w:pPr>
            <w:r>
              <w:rPr>
                <w:noProof/>
                <w:color w:val="000000"/>
                <w:sz w:val="22"/>
              </w:rPr>
              <w:t>1</w:t>
            </w:r>
          </w:p>
        </w:tc>
        <w:tc>
          <w:tcPr>
            <w:tcW w:w="833" w:type="pct"/>
            <w:noWrap/>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1</w:t>
            </w:r>
          </w:p>
        </w:tc>
      </w:tr>
      <w:tr>
        <w:trPr>
          <w:trHeight w:val="20"/>
        </w:trPr>
        <w:tc>
          <w:tcPr>
            <w:tcW w:w="834" w:type="pct"/>
            <w:noWrap/>
          </w:tcPr>
          <w:p>
            <w:pPr>
              <w:spacing w:before="20" w:after="20"/>
              <w:rPr>
                <w:noProof/>
                <w:color w:val="000000"/>
                <w:sz w:val="22"/>
                <w:lang w:eastAsia="en-GB"/>
              </w:rPr>
            </w:pPr>
            <w:r>
              <w:rPr>
                <w:noProof/>
                <w:color w:val="000000"/>
                <w:sz w:val="22"/>
              </w:rPr>
              <w:t>Croatia</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Italy</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trHeight w:val="20"/>
        </w:trPr>
        <w:tc>
          <w:tcPr>
            <w:tcW w:w="834" w:type="pct"/>
            <w:noWrap/>
          </w:tcPr>
          <w:p>
            <w:pPr>
              <w:spacing w:before="20" w:after="20"/>
              <w:rPr>
                <w:noProof/>
                <w:color w:val="000000"/>
                <w:sz w:val="22"/>
                <w:lang w:eastAsia="en-GB"/>
              </w:rPr>
            </w:pPr>
            <w:r>
              <w:rPr>
                <w:noProof/>
                <w:color w:val="000000"/>
                <w:sz w:val="22"/>
              </w:rPr>
              <w:t>Cyprus</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Latvia</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trHeight w:val="20"/>
        </w:trPr>
        <w:tc>
          <w:tcPr>
            <w:tcW w:w="834" w:type="pct"/>
            <w:noWrap/>
          </w:tcPr>
          <w:p>
            <w:pPr>
              <w:spacing w:before="20" w:after="20"/>
              <w:rPr>
                <w:noProof/>
                <w:color w:val="000000"/>
                <w:sz w:val="22"/>
                <w:lang w:eastAsia="en-GB"/>
              </w:rPr>
            </w:pPr>
            <w:r>
              <w:rPr>
                <w:noProof/>
                <w:color w:val="000000"/>
                <w:sz w:val="22"/>
              </w:rPr>
              <w:t>Lithuania</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Luxembourg</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3</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3</w:t>
            </w:r>
          </w:p>
        </w:tc>
      </w:tr>
      <w:tr>
        <w:trPr>
          <w:trHeight w:val="20"/>
        </w:trPr>
        <w:tc>
          <w:tcPr>
            <w:tcW w:w="834" w:type="pct"/>
            <w:noWrap/>
          </w:tcPr>
          <w:p>
            <w:pPr>
              <w:spacing w:before="20" w:after="20"/>
              <w:rPr>
                <w:noProof/>
                <w:color w:val="000000"/>
                <w:sz w:val="22"/>
                <w:lang w:eastAsia="en-GB"/>
              </w:rPr>
            </w:pPr>
            <w:r>
              <w:rPr>
                <w:noProof/>
                <w:color w:val="000000"/>
                <w:sz w:val="22"/>
              </w:rPr>
              <w:t>Hungary</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Malta</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trHeight w:val="20"/>
        </w:trPr>
        <w:tc>
          <w:tcPr>
            <w:tcW w:w="834" w:type="pct"/>
            <w:noWrap/>
          </w:tcPr>
          <w:p>
            <w:pPr>
              <w:spacing w:before="20" w:after="20"/>
              <w:rPr>
                <w:noProof/>
                <w:color w:val="000000"/>
                <w:sz w:val="22"/>
                <w:lang w:eastAsia="en-GB"/>
              </w:rPr>
            </w:pPr>
            <w:r>
              <w:rPr>
                <w:noProof/>
                <w:color w:val="000000"/>
                <w:sz w:val="22"/>
              </w:rPr>
              <w:t>Netherlands</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Austria</w:t>
            </w:r>
          </w:p>
        </w:tc>
        <w:tc>
          <w:tcPr>
            <w:tcW w:w="834" w:type="pct"/>
            <w:noWrap/>
          </w:tcPr>
          <w:p>
            <w:pPr>
              <w:spacing w:before="20" w:after="20"/>
              <w:jc w:val="center"/>
              <w:rPr>
                <w:noProof/>
                <w:color w:val="000000"/>
                <w:sz w:val="22"/>
                <w:lang w:val="it-IT"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3</w:t>
            </w:r>
          </w:p>
        </w:tc>
      </w:tr>
      <w:tr>
        <w:trPr>
          <w:trHeight w:val="20"/>
        </w:trPr>
        <w:tc>
          <w:tcPr>
            <w:tcW w:w="834" w:type="pct"/>
            <w:noWrap/>
          </w:tcPr>
          <w:p>
            <w:pPr>
              <w:spacing w:before="20" w:after="20"/>
              <w:rPr>
                <w:noProof/>
                <w:color w:val="000000"/>
                <w:sz w:val="22"/>
                <w:lang w:eastAsia="en-GB"/>
              </w:rPr>
            </w:pPr>
            <w:r>
              <w:rPr>
                <w:noProof/>
                <w:color w:val="000000"/>
                <w:sz w:val="22"/>
              </w:rPr>
              <w:t>Poland</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Portugal</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1</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2</w:t>
            </w:r>
          </w:p>
        </w:tc>
      </w:tr>
      <w:tr>
        <w:trPr>
          <w:trHeight w:val="20"/>
        </w:trPr>
        <w:tc>
          <w:tcPr>
            <w:tcW w:w="834" w:type="pct"/>
            <w:noWrap/>
          </w:tcPr>
          <w:p>
            <w:pPr>
              <w:spacing w:before="20" w:after="20"/>
              <w:rPr>
                <w:noProof/>
                <w:color w:val="000000"/>
                <w:sz w:val="22"/>
                <w:lang w:eastAsia="en-GB"/>
              </w:rPr>
            </w:pPr>
            <w:r>
              <w:rPr>
                <w:noProof/>
                <w:color w:val="000000"/>
                <w:sz w:val="22"/>
              </w:rPr>
              <w:t>Romania</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2</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Slovenia</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2</w:t>
            </w:r>
          </w:p>
        </w:tc>
      </w:tr>
      <w:tr>
        <w:trPr>
          <w:trHeight w:val="20"/>
        </w:trPr>
        <w:tc>
          <w:tcPr>
            <w:tcW w:w="834" w:type="pct"/>
            <w:noWrap/>
          </w:tcPr>
          <w:p>
            <w:pPr>
              <w:spacing w:before="20" w:after="20"/>
              <w:rPr>
                <w:noProof/>
                <w:color w:val="000000"/>
                <w:sz w:val="22"/>
                <w:lang w:eastAsia="en-GB"/>
              </w:rPr>
            </w:pPr>
            <w:r>
              <w:rPr>
                <w:noProof/>
                <w:color w:val="000000"/>
                <w:sz w:val="22"/>
              </w:rPr>
              <w:t>Slovakia</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4</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Finland</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3</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r>
      <w:tr>
        <w:trPr>
          <w:trHeight w:val="20"/>
        </w:trPr>
        <w:tc>
          <w:tcPr>
            <w:tcW w:w="834" w:type="pct"/>
            <w:noWrap/>
          </w:tcPr>
          <w:p>
            <w:pPr>
              <w:spacing w:before="20" w:after="20"/>
              <w:rPr>
                <w:noProof/>
                <w:color w:val="000000"/>
                <w:sz w:val="22"/>
                <w:lang w:eastAsia="en-GB"/>
              </w:rPr>
            </w:pPr>
            <w:r>
              <w:rPr>
                <w:noProof/>
                <w:color w:val="000000"/>
                <w:sz w:val="22"/>
              </w:rPr>
              <w:t>Sweden</w:t>
            </w:r>
          </w:p>
        </w:tc>
        <w:tc>
          <w:tcPr>
            <w:tcW w:w="834" w:type="pct"/>
            <w:noWrap/>
          </w:tcPr>
          <w:p>
            <w:pPr>
              <w:spacing w:before="20" w:after="20"/>
              <w:jc w:val="center"/>
              <w:rPr>
                <w:noProof/>
                <w:color w:val="000000"/>
                <w:sz w:val="22"/>
                <w:lang w:eastAsia="en-GB"/>
              </w:rPr>
            </w:pPr>
            <w:r>
              <w:rPr>
                <w:noProof/>
                <w:color w:val="000000"/>
                <w:sz w:val="22"/>
              </w:rPr>
              <w:t>1</w:t>
            </w:r>
          </w:p>
        </w:tc>
        <w:tc>
          <w:tcPr>
            <w:tcW w:w="833" w:type="pct"/>
            <w:noWrap/>
          </w:tcPr>
          <w:p>
            <w:pPr>
              <w:spacing w:before="20" w:after="20"/>
              <w:jc w:val="center"/>
              <w:rPr>
                <w:noProof/>
                <w:color w:val="000000"/>
                <w:sz w:val="22"/>
                <w:lang w:eastAsia="en-GB"/>
              </w:rPr>
            </w:pPr>
            <w:r>
              <w:rPr>
                <w:noProof/>
                <w:color w:val="000000"/>
                <w:sz w:val="22"/>
              </w:rPr>
              <w:t>1</w:t>
            </w:r>
          </w:p>
        </w:tc>
        <w:tc>
          <w:tcPr>
            <w:tcW w:w="833" w:type="pct"/>
            <w:noWrap/>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United Kingdom</w:t>
            </w:r>
          </w:p>
        </w:tc>
        <w:tc>
          <w:tcPr>
            <w:tcW w:w="834" w:type="pct"/>
            <w:noWrap/>
          </w:tcPr>
          <w:p>
            <w:pPr>
              <w:spacing w:before="20" w:after="20"/>
              <w:jc w:val="center"/>
              <w:rPr>
                <w:noProof/>
                <w:color w:val="000000"/>
                <w:sz w:val="22"/>
                <w:lang w:eastAsia="en-GB"/>
              </w:rPr>
            </w:pPr>
            <w:r>
              <w:rPr>
                <w:noProof/>
                <w:color w:val="000000"/>
                <w:sz w:val="22"/>
              </w:rPr>
              <w:t>3</w:t>
            </w:r>
          </w:p>
        </w:tc>
        <w:tc>
          <w:tcPr>
            <w:tcW w:w="833"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1</w:t>
            </w:r>
          </w:p>
        </w:tc>
      </w:tr>
      <w:tr>
        <w:trPr>
          <w:trHeight w:val="20"/>
        </w:trPr>
        <w:tc>
          <w:tcPr>
            <w:tcW w:w="834" w:type="pct"/>
            <w:noWrap/>
          </w:tcPr>
          <w:p>
            <w:pPr>
              <w:spacing w:before="20" w:after="20"/>
              <w:rPr>
                <w:noProof/>
                <w:color w:val="000000"/>
                <w:sz w:val="22"/>
                <w:lang w:eastAsia="en-GB"/>
              </w:rPr>
            </w:pPr>
            <w:r>
              <w:rPr>
                <w:noProof/>
                <w:color w:val="000000"/>
                <w:sz w:val="22"/>
              </w:rPr>
              <w:t>Norway</w:t>
            </w:r>
          </w:p>
        </w:tc>
        <w:tc>
          <w:tcPr>
            <w:tcW w:w="834" w:type="pct"/>
            <w:noWrap/>
          </w:tcPr>
          <w:p>
            <w:pPr>
              <w:spacing w:before="20" w:after="20"/>
              <w:jc w:val="center"/>
              <w:rPr>
                <w:noProof/>
                <w:color w:val="000000"/>
                <w:sz w:val="22"/>
                <w:lang w:eastAsia="en-GB"/>
              </w:rPr>
            </w:pPr>
            <w:r>
              <w:rPr>
                <w:noProof/>
                <w:color w:val="000000"/>
                <w:sz w:val="22"/>
              </w:rPr>
              <w:t>2</w:t>
            </w:r>
          </w:p>
        </w:tc>
        <w:tc>
          <w:tcPr>
            <w:tcW w:w="833" w:type="pct"/>
            <w:noWrap/>
          </w:tcPr>
          <w:p>
            <w:pPr>
              <w:spacing w:before="20" w:after="20"/>
              <w:jc w:val="center"/>
              <w:rPr>
                <w:noProof/>
                <w:color w:val="000000"/>
                <w:sz w:val="22"/>
                <w:lang w:eastAsia="en-GB"/>
              </w:rPr>
            </w:pPr>
            <w:r>
              <w:rPr>
                <w:noProof/>
                <w:color w:val="000000"/>
                <w:sz w:val="22"/>
                <w:lang w:eastAsia="en-GB"/>
              </w:rPr>
              <w:t>0</w:t>
            </w:r>
          </w:p>
        </w:tc>
        <w:tc>
          <w:tcPr>
            <w:tcW w:w="833" w:type="pct"/>
            <w:noWrap/>
          </w:tcPr>
          <w:p>
            <w:pPr>
              <w:spacing w:before="20" w:after="20"/>
              <w:jc w:val="center"/>
              <w:rPr>
                <w:noProof/>
                <w:color w:val="000000"/>
                <w:sz w:val="22"/>
                <w:lang w:eastAsia="en-GB"/>
              </w:rPr>
            </w:pPr>
            <w:r>
              <w:rPr>
                <w:noProof/>
                <w:color w:val="000000"/>
                <w:sz w:val="22"/>
              </w:rPr>
              <w:t>3</w:t>
            </w:r>
          </w:p>
        </w:tc>
        <w:tc>
          <w:tcPr>
            <w:tcW w:w="833" w:type="pct"/>
          </w:tcPr>
          <w:p>
            <w:pPr>
              <w:spacing w:before="20" w:after="20"/>
              <w:jc w:val="center"/>
              <w:rPr>
                <w:noProof/>
                <w:color w:val="000000"/>
                <w:sz w:val="22"/>
              </w:rPr>
            </w:pPr>
            <w:r>
              <w:rPr>
                <w:noProof/>
                <w:color w:val="000000"/>
                <w:sz w:val="22"/>
              </w:rPr>
              <w:t>1</w:t>
            </w:r>
          </w:p>
        </w:tc>
        <w:tc>
          <w:tcPr>
            <w:tcW w:w="833" w:type="pct"/>
          </w:tcPr>
          <w:p>
            <w:pPr>
              <w:spacing w:before="20" w:after="20"/>
              <w:jc w:val="center"/>
              <w:rPr>
                <w:noProof/>
                <w:color w:val="000000"/>
                <w:sz w:val="22"/>
              </w:rPr>
            </w:pPr>
            <w:r>
              <w:rPr>
                <w:noProof/>
                <w:color w:val="000000"/>
                <w:sz w:val="22"/>
              </w:rPr>
              <w:t>3</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Iceland</w:t>
            </w:r>
          </w:p>
        </w:tc>
        <w:tc>
          <w:tcPr>
            <w:tcW w:w="834" w:type="pct"/>
            <w:noWrap/>
          </w:tcPr>
          <w:p>
            <w:pPr>
              <w:spacing w:before="20" w:after="20"/>
              <w:jc w:val="center"/>
              <w:rPr>
                <w:noProof/>
                <w:color w:val="000000"/>
                <w:sz w:val="22"/>
                <w:lang w:eastAsia="en-GB"/>
              </w:rPr>
            </w:pPr>
            <w:r>
              <w:rPr>
                <w:noProof/>
                <w:color w:val="000000"/>
                <w:sz w:val="22"/>
                <w:lang w:eastAsia="en-GB"/>
              </w:rPr>
              <w:t>0</w:t>
            </w:r>
          </w:p>
        </w:tc>
        <w:tc>
          <w:tcPr>
            <w:tcW w:w="833" w:type="pct"/>
            <w:noWrap/>
          </w:tcPr>
          <w:p>
            <w:pPr>
              <w:spacing w:before="20" w:after="20"/>
              <w:jc w:val="center"/>
              <w:rPr>
                <w:noProof/>
                <w:color w:val="000000"/>
                <w:sz w:val="22"/>
                <w:lang w:eastAsia="en-GB"/>
              </w:rPr>
            </w:pPr>
            <w:r>
              <w:rPr>
                <w:noProof/>
                <w:color w:val="000000"/>
                <w:sz w:val="22"/>
                <w:lang w:eastAsia="en-GB"/>
              </w:rPr>
              <w:t>0</w:t>
            </w:r>
          </w:p>
        </w:tc>
        <w:tc>
          <w:tcPr>
            <w:tcW w:w="833" w:type="pct"/>
            <w:noWrap/>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1</w:t>
            </w:r>
          </w:p>
        </w:tc>
      </w:tr>
      <w:tr>
        <w:trPr>
          <w:trHeight w:val="20"/>
        </w:trPr>
        <w:tc>
          <w:tcPr>
            <w:tcW w:w="834" w:type="pct"/>
            <w:noWrap/>
          </w:tcPr>
          <w:p>
            <w:pPr>
              <w:spacing w:before="20" w:after="20"/>
              <w:rPr>
                <w:noProof/>
                <w:color w:val="000000"/>
                <w:sz w:val="22"/>
                <w:lang w:eastAsia="en-GB"/>
              </w:rPr>
            </w:pPr>
            <w:r>
              <w:rPr>
                <w:noProof/>
                <w:color w:val="000000"/>
                <w:sz w:val="22"/>
              </w:rPr>
              <w:t>Montenegro</w:t>
            </w:r>
          </w:p>
        </w:tc>
        <w:tc>
          <w:tcPr>
            <w:tcW w:w="834" w:type="pct"/>
            <w:noWrap/>
          </w:tcPr>
          <w:p>
            <w:pPr>
              <w:spacing w:before="20" w:after="20"/>
              <w:jc w:val="center"/>
              <w:rPr>
                <w:noProof/>
                <w:color w:val="000000"/>
                <w:sz w:val="22"/>
                <w:lang w:eastAsia="en-GB"/>
              </w:rPr>
            </w:pPr>
            <w:r>
              <w:rPr>
                <w:noProof/>
                <w:color w:val="000000"/>
                <w:sz w:val="22"/>
                <w:lang w:eastAsia="en-GB"/>
              </w:rPr>
              <w:t>0</w:t>
            </w:r>
          </w:p>
        </w:tc>
        <w:tc>
          <w:tcPr>
            <w:tcW w:w="833" w:type="pct"/>
            <w:noWrap/>
          </w:tcPr>
          <w:p>
            <w:pPr>
              <w:spacing w:before="20" w:after="20"/>
              <w:jc w:val="center"/>
              <w:rPr>
                <w:noProof/>
                <w:color w:val="000000"/>
                <w:sz w:val="22"/>
                <w:lang w:eastAsia="en-GB"/>
              </w:rPr>
            </w:pPr>
            <w:r>
              <w:rPr>
                <w:noProof/>
                <w:color w:val="000000"/>
                <w:sz w:val="22"/>
                <w:lang w:eastAsia="en-GB"/>
              </w:rPr>
              <w:t>0</w:t>
            </w:r>
          </w:p>
        </w:tc>
        <w:tc>
          <w:tcPr>
            <w:tcW w:w="833" w:type="pct"/>
            <w:noWrap/>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rPr>
            </w:pPr>
            <w:r>
              <w:rPr>
                <w:noProof/>
                <w:color w:val="000000"/>
                <w:sz w:val="22"/>
              </w:rPr>
              <w:t>2</w:t>
            </w:r>
          </w:p>
        </w:tc>
        <w:tc>
          <w:tcPr>
            <w:tcW w:w="833" w:type="pct"/>
          </w:tcPr>
          <w:p>
            <w:pPr>
              <w:spacing w:before="20" w:after="20"/>
              <w:jc w:val="center"/>
              <w:rPr>
                <w:noProof/>
                <w:color w:val="000000"/>
                <w:sz w:val="22"/>
              </w:rPr>
            </w:pPr>
            <w:r>
              <w:rPr>
                <w:noProof/>
                <w:color w:val="000000"/>
                <w:sz w:val="22"/>
              </w:rPr>
              <w:t>1</w:t>
            </w:r>
          </w:p>
        </w:tc>
      </w:tr>
      <w:tr>
        <w:trPr>
          <w:cnfStyle w:val="000000100000" w:firstRow="0" w:lastRow="0" w:firstColumn="0" w:lastColumn="0" w:oddVBand="0" w:evenVBand="0" w:oddHBand="1" w:evenHBand="0" w:firstRowFirstColumn="0" w:firstRowLastColumn="0" w:lastRowFirstColumn="0" w:lastRowLastColumn="0"/>
          <w:trHeight w:val="20"/>
        </w:trPr>
        <w:tc>
          <w:tcPr>
            <w:tcW w:w="834" w:type="pct"/>
            <w:noWrap/>
          </w:tcPr>
          <w:p>
            <w:pPr>
              <w:spacing w:before="20" w:after="20"/>
              <w:rPr>
                <w:noProof/>
                <w:color w:val="000000"/>
                <w:sz w:val="22"/>
                <w:lang w:eastAsia="en-GB"/>
              </w:rPr>
            </w:pPr>
            <w:r>
              <w:rPr>
                <w:noProof/>
                <w:color w:val="000000"/>
                <w:sz w:val="22"/>
              </w:rPr>
              <w:t>Greece</w:t>
            </w:r>
          </w:p>
        </w:tc>
        <w:tc>
          <w:tcPr>
            <w:tcW w:w="834" w:type="pct"/>
            <w:noWrap/>
          </w:tcPr>
          <w:p>
            <w:pPr>
              <w:spacing w:before="20" w:after="20"/>
              <w:jc w:val="center"/>
              <w:rPr>
                <w:noProof/>
                <w:color w:val="000000"/>
                <w:sz w:val="22"/>
                <w:lang w:eastAsia="en-GB"/>
              </w:rPr>
            </w:pPr>
            <w:r>
              <w:rPr>
                <w:noProof/>
                <w:color w:val="000000"/>
                <w:sz w:val="22"/>
                <w:lang w:eastAsia="en-GB"/>
              </w:rPr>
              <w:t>0</w:t>
            </w:r>
          </w:p>
        </w:tc>
        <w:tc>
          <w:tcPr>
            <w:tcW w:w="833" w:type="pct"/>
            <w:noWrap/>
          </w:tcPr>
          <w:p>
            <w:pPr>
              <w:spacing w:before="20" w:after="20"/>
              <w:jc w:val="center"/>
              <w:rPr>
                <w:noProof/>
                <w:color w:val="000000"/>
                <w:sz w:val="22"/>
                <w:lang w:eastAsia="en-GB"/>
              </w:rPr>
            </w:pPr>
            <w:r>
              <w:rPr>
                <w:noProof/>
                <w:color w:val="000000"/>
                <w:sz w:val="22"/>
                <w:lang w:eastAsia="en-GB"/>
              </w:rPr>
              <w:t>0</w:t>
            </w:r>
          </w:p>
        </w:tc>
        <w:tc>
          <w:tcPr>
            <w:tcW w:w="833" w:type="pct"/>
            <w:noWrap/>
          </w:tcPr>
          <w:p>
            <w:pPr>
              <w:spacing w:before="20" w:after="20"/>
              <w:jc w:val="center"/>
              <w:rPr>
                <w:noProof/>
                <w:color w:val="000000"/>
                <w:sz w:val="22"/>
                <w:lang w:eastAsia="en-GB"/>
              </w:rPr>
            </w:pPr>
            <w:r>
              <w:rPr>
                <w:noProof/>
                <w:color w:val="000000"/>
                <w:sz w:val="22"/>
                <w:lang w:eastAsia="en-GB"/>
              </w:rPr>
              <w:t>0</w:t>
            </w:r>
          </w:p>
        </w:tc>
        <w:tc>
          <w:tcPr>
            <w:tcW w:w="833" w:type="pct"/>
          </w:tcPr>
          <w:p>
            <w:pPr>
              <w:spacing w:before="20" w:after="20"/>
              <w:jc w:val="center"/>
              <w:rPr>
                <w:noProof/>
                <w:color w:val="000000"/>
                <w:sz w:val="22"/>
                <w:lang w:eastAsia="en-GB"/>
              </w:rPr>
            </w:pPr>
            <w:r>
              <w:rPr>
                <w:noProof/>
                <w:color w:val="000000"/>
                <w:sz w:val="22"/>
              </w:rPr>
              <w:t>1</w:t>
            </w:r>
          </w:p>
        </w:tc>
        <w:tc>
          <w:tcPr>
            <w:tcW w:w="833" w:type="pct"/>
          </w:tcPr>
          <w:p>
            <w:pPr>
              <w:spacing w:before="20" w:after="20"/>
              <w:jc w:val="center"/>
              <w:rPr>
                <w:noProof/>
                <w:color w:val="000000"/>
                <w:sz w:val="22"/>
                <w:lang w:eastAsia="en-GB"/>
              </w:rPr>
            </w:pPr>
            <w:r>
              <w:rPr>
                <w:noProof/>
                <w:color w:val="000000"/>
                <w:sz w:val="22"/>
              </w:rPr>
              <w:t>3</w:t>
            </w:r>
          </w:p>
        </w:tc>
      </w:tr>
    </w:tbl>
    <w:p>
      <w:pPr>
        <w:rPr>
          <w:rFonts w:cs="Times New Roman"/>
          <w:i/>
          <w:noProof/>
          <w:sz w:val="20"/>
          <w:szCs w:val="20"/>
        </w:rPr>
      </w:pPr>
      <w:r>
        <w:rPr>
          <w:rFonts w:cs="Times New Roman"/>
          <w:i/>
          <w:noProof/>
          <w:sz w:val="20"/>
          <w:szCs w:val="20"/>
        </w:rPr>
        <w:t xml:space="preserve">Source: </w:t>
      </w:r>
      <w:hyperlink r:id="rId283" w:history="1">
        <w:r>
          <w:rPr>
            <w:rStyle w:val="Hyperlink"/>
            <w:rFonts w:cs="Times New Roman"/>
            <w:i/>
            <w:noProof/>
            <w:sz w:val="20"/>
            <w:lang w:val="en-GB"/>
          </w:rPr>
          <w:t>CEPS final study</w:t>
        </w:r>
      </w:hyperlink>
    </w:p>
    <w:p>
      <w:pPr>
        <w:rPr>
          <w:rFonts w:cs="Times New Roman"/>
          <w:b/>
          <w:iCs/>
          <w:noProof/>
          <w:szCs w:val="18"/>
          <w:lang w:val="en-GB"/>
        </w:rPr>
      </w:pPr>
      <w:r>
        <w:rPr>
          <w:rFonts w:cs="Times New Roman"/>
          <w:noProof/>
        </w:rPr>
        <w:br w:type="page"/>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22</w:t>
      </w:r>
      <w:r>
        <w:rPr>
          <w:rFonts w:cs="Times New Roman"/>
          <w:noProof/>
        </w:rPr>
        <w:fldChar w:fldCharType="end"/>
      </w:r>
      <w:r>
        <w:rPr>
          <w:rFonts w:cs="Times New Roman"/>
          <w:noProof/>
        </w:rPr>
        <w:t>: Contribution of sampled actions to cross-border interoperability</w:t>
      </w:r>
    </w:p>
    <w:tbl>
      <w:tblPr>
        <w:tblStyle w:val="GridTable5Dark-Accent13"/>
        <w:tblW w:w="5000" w:type="pct"/>
        <w:tblLook w:val="0420" w:firstRow="1" w:lastRow="0" w:firstColumn="0" w:lastColumn="0" w:noHBand="0" w:noVBand="1"/>
      </w:tblPr>
      <w:tblGrid>
        <w:gridCol w:w="1573"/>
        <w:gridCol w:w="962"/>
        <w:gridCol w:w="1634"/>
        <w:gridCol w:w="4665"/>
      </w:tblGrid>
      <w:tr>
        <w:trPr>
          <w:cnfStyle w:val="100000000000" w:firstRow="1" w:lastRow="0" w:firstColumn="0" w:lastColumn="0" w:oddVBand="0" w:evenVBand="0" w:oddHBand="0" w:evenHBand="0" w:firstRowFirstColumn="0" w:firstRowLastColumn="0" w:lastRowFirstColumn="0" w:lastRowLastColumn="0"/>
          <w:trHeight w:val="20"/>
          <w:tblHeader/>
        </w:trPr>
        <w:tc>
          <w:tcPr>
            <w:tcW w:w="659" w:type="pct"/>
            <w:hideMark/>
          </w:tcPr>
          <w:p>
            <w:pPr>
              <w:spacing w:before="20" w:after="20"/>
              <w:jc w:val="center"/>
              <w:rPr>
                <w:rFonts w:cs="Times New Roman"/>
                <w:bCs w:val="0"/>
                <w:noProof/>
                <w:sz w:val="22"/>
                <w:lang w:eastAsia="en-GB"/>
              </w:rPr>
            </w:pPr>
            <w:r>
              <w:rPr>
                <w:rFonts w:cs="Times New Roman"/>
                <w:noProof/>
                <w:sz w:val="22"/>
                <w:lang w:eastAsia="en-GB"/>
              </w:rPr>
              <w:t>Package</w:t>
            </w:r>
          </w:p>
        </w:tc>
        <w:tc>
          <w:tcPr>
            <w:tcW w:w="416" w:type="pct"/>
            <w:hideMark/>
          </w:tcPr>
          <w:p>
            <w:pPr>
              <w:spacing w:before="20" w:after="20"/>
              <w:jc w:val="center"/>
              <w:rPr>
                <w:rFonts w:cs="Times New Roman"/>
                <w:bCs w:val="0"/>
                <w:noProof/>
                <w:sz w:val="22"/>
                <w:lang w:eastAsia="en-GB"/>
              </w:rPr>
            </w:pPr>
            <w:r>
              <w:rPr>
                <w:rFonts w:cs="Times New Roman"/>
                <w:noProof/>
                <w:sz w:val="22"/>
                <w:lang w:eastAsia="en-GB"/>
              </w:rPr>
              <w:t>Action number</w:t>
            </w:r>
          </w:p>
        </w:tc>
        <w:tc>
          <w:tcPr>
            <w:tcW w:w="944" w:type="pct"/>
            <w:hideMark/>
          </w:tcPr>
          <w:p>
            <w:pPr>
              <w:spacing w:before="20" w:after="20"/>
              <w:jc w:val="center"/>
              <w:rPr>
                <w:rFonts w:cs="Times New Roman"/>
                <w:bCs w:val="0"/>
                <w:noProof/>
                <w:sz w:val="22"/>
                <w:lang w:eastAsia="en-GB"/>
              </w:rPr>
            </w:pPr>
            <w:r>
              <w:rPr>
                <w:rFonts w:cs="Times New Roman"/>
                <w:noProof/>
                <w:sz w:val="22"/>
                <w:lang w:eastAsia="en-GB"/>
              </w:rPr>
              <w:t>Action Name</w:t>
            </w:r>
          </w:p>
        </w:tc>
        <w:tc>
          <w:tcPr>
            <w:tcW w:w="2981" w:type="pct"/>
            <w:hideMark/>
          </w:tcPr>
          <w:p>
            <w:pPr>
              <w:spacing w:before="20" w:after="20"/>
              <w:jc w:val="center"/>
              <w:rPr>
                <w:rFonts w:cs="Times New Roman"/>
                <w:bCs w:val="0"/>
                <w:noProof/>
                <w:sz w:val="22"/>
                <w:lang w:eastAsia="en-GB"/>
              </w:rPr>
            </w:pPr>
            <w:r>
              <w:rPr>
                <w:rFonts w:cs="Times New Roman"/>
                <w:noProof/>
                <w:sz w:val="22"/>
                <w:lang w:eastAsia="en-GB"/>
              </w:rPr>
              <w:t>Contribution to cross-border interoperability</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1. Key and generic interoperability enablers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2016.19</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Trusted Exchange Platform (e-TrustEx)</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The e-TrustEx platform is currently used as a key element of pan-European messaging infrastructures for projects such as: e-PRIOR (DIGIT), DECIDE (SG), EDMA (COMP), eJustice Portal (JUST), OPOCE (OP), EU-CEG (DG SANTE), ESDEN (ESTAT). Around 200 public institutions across the 28 Member States are in scope of these projects (such as national parliaments and permanent representations).</w:t>
            </w:r>
          </w:p>
        </w:tc>
      </w:tr>
      <w:tr>
        <w:trPr>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1. Key and generic interoperability enablers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2016.29</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Catalogue of Services</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The CPSV-AP is already being used by public administrations in Belgium, Italy, Finland, and Estonia to create a cross-border federated catalogue of public services.</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2. Semantic interoperability</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2016.07</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SEMIC: Promoting Semantic Interoperability Amongst the European Union Member States</w:t>
            </w:r>
          </w:p>
        </w:tc>
        <w:tc>
          <w:tcPr>
            <w:tcW w:w="2981" w:type="pct"/>
            <w:hideMark/>
          </w:tcPr>
          <w:p>
            <w:pPr>
              <w:spacing w:before="20" w:after="20"/>
              <w:rPr>
                <w:rFonts w:cs="Times New Roman"/>
                <w:noProof/>
                <w:color w:val="000000"/>
                <w:sz w:val="22"/>
                <w:lang w:val="en-GB" w:eastAsia="en-GB"/>
              </w:rPr>
            </w:pPr>
            <w:r>
              <w:rPr>
                <w:rFonts w:cs="Times New Roman"/>
                <w:noProof/>
                <w:color w:val="000000"/>
                <w:sz w:val="22"/>
                <w:lang w:val="en-GB" w:eastAsia="en-GB"/>
              </w:rPr>
              <w:t>The proposal will facilitate the cross-border interoperability thanks to its inherent support for multilingualism. Further cross-border interoperability improvements can be expected through the alignment of the generic EuroVoc thesaurus that covers the EU policy domains with specialised EU and national controlled vocabularies through VocBench. VocBench is already used by public administrations in France, Italy, the Netherlands and Scotland and interest has been expressed from public administrations in Belgium and Slovenia.</w:t>
            </w:r>
          </w:p>
        </w:tc>
      </w:tr>
      <w:tr>
        <w:trPr>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2. Semantic interoperability</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2016.16</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Public Multilingual Knowledge Management Infrastructure for the Digital Single Market</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The objective of this action is to support enterprises and particularly the language technology industry with the implementation of the necessary multilingual tools and features in order to improve cross-border accessibility of e-Commerce solutions. The outputs in the form of semantic links developed so far contribute to the cross-border service interoperability from a semantic perspective.</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3. Access to data/data sharing/open data</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2016.03</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Big Data for Public Administrations</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In 2017, a long list of requirements has been collected from different Member States to understand their needs in the area of (Big) data analytics for policymaking, especially with regard to analytics use cases and infrastructure needs. The needs have been collected through a consultation of the ISA network, through the creation of a working group. Member States on board so far are the Czech Republic, Estonia, Hungary, Malta, Norway, Slovenia, Spain, and Portugal. The working group has shown significant interest in the action and its outputs. Additionally, the action has been presented to the ESS Big Data Task Force: the representatives have highlighted their interest in the action and shown availability to (re-)use its outcomes.</w:t>
            </w:r>
          </w:p>
        </w:tc>
      </w:tr>
      <w:tr>
        <w:trPr>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3. Access to data/data sharing/open data</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2016.06</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Sharing Statistical Production and Dissemination Services and Solutions in the European Statistical System</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The development of statistical services includes a broad international community. In the ESS, 14 Member States are actively involved in a Task Force and a consortium of six Member States (FR, PT, UK, LT, DE, SI) has been set up to provide input and take part in the development of the guidelines for sharing of statistical services and to implement the reuse of developed solutions and services with the European Commission.</w:t>
            </w:r>
            <w:r>
              <w:rPr>
                <w:rFonts w:cs="Times New Roman"/>
                <w:noProof/>
                <w:color w:val="000000"/>
                <w:sz w:val="22"/>
                <w:lang w:eastAsia="en-GB"/>
              </w:rPr>
              <w:br/>
              <w:t>In the architecture domain, the ESS reference architecture in its current state has been adopted by the 28 NSIs CIOs and Heads of Methodology. Its upgrading towards greater interoperability through more standards and deeper architectural guidance is done in collaboration with an ESS EA Board involving five Member States.</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3. Access to data/data sharing/open data</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2016.18</w:t>
            </w:r>
          </w:p>
        </w:tc>
        <w:tc>
          <w:tcPr>
            <w:tcW w:w="944" w:type="pct"/>
            <w:hideMark/>
          </w:tcPr>
          <w:p>
            <w:pPr>
              <w:spacing w:before="20" w:after="20"/>
              <w:jc w:val="center"/>
              <w:rPr>
                <w:rFonts w:cs="Times New Roman"/>
                <w:noProof/>
                <w:color w:val="000000"/>
                <w:sz w:val="22"/>
                <w:lang w:val="en-GB" w:eastAsia="en-GB"/>
              </w:rPr>
            </w:pPr>
            <w:r>
              <w:rPr>
                <w:rFonts w:cs="Times New Roman"/>
                <w:noProof/>
                <w:color w:val="000000"/>
                <w:sz w:val="22"/>
                <w:lang w:val="en-GB" w:eastAsia="en-GB"/>
              </w:rPr>
              <w:t>Development of an Open Data Service, Support and Training Package in the Area of Linked Open Data, Data Visualisation and Persistent Identification</w:t>
            </w:r>
          </w:p>
        </w:tc>
        <w:tc>
          <w:tcPr>
            <w:tcW w:w="2981" w:type="pct"/>
            <w:hideMark/>
          </w:tcPr>
          <w:p>
            <w:pPr>
              <w:spacing w:before="20" w:after="20"/>
              <w:rPr>
                <w:rFonts w:cs="Times New Roman"/>
                <w:noProof/>
                <w:color w:val="000000"/>
                <w:sz w:val="22"/>
                <w:lang w:val="en-GB" w:eastAsia="en-GB"/>
              </w:rPr>
            </w:pPr>
            <w:r>
              <w:rPr>
                <w:rFonts w:cs="Times New Roman"/>
                <w:noProof/>
                <w:color w:val="000000"/>
                <w:sz w:val="22"/>
                <w:lang w:val="en-GB" w:eastAsia="en-GB"/>
              </w:rPr>
              <w:t>Member States can consult and reuse the project outputs (knowledge base, trainings, the description of the tools and projects included in the catalogue of data visualisation tools).</w:t>
            </w:r>
          </w:p>
        </w:tc>
      </w:tr>
      <w:tr>
        <w:trPr>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4. Geospatial solutions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2016.10</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European Location Interoperability Solutions for e-Government (ELISE)</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Road safety data-exchange solutions piloted and implemented in Norway and Sweden are being rolled-out to five other Member States using CEF funds, with more rollouts planned. INSPIRE Registry services have 450k accesses per quarter.*</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5. eProcurement/ eInvoicing - Supporting instruments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2016.05</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European Public Procurement Interoperability Initiative</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ePrior is used by several EU bodies and some components are used by the Belgian administration. In particular, in the EU Bodies context, economic operators using the ePrior system are from various EU countries. For eCertis: Roughly 25 services in the EU are retrieving data from eCertis, using the CEF eProc DSI. Other services will follow. For ESPD services: Private and public entities from roughly 17 Member States have participated in the CEF eProc DSI Others are using Structural Funds to implement an ESPD service. They all have implemented or are currently implementing an ESPD service (incl. NO) using the ESPD data model or the open source code developed under the ISA</w:t>
            </w:r>
            <w:r>
              <w:rPr>
                <w:rFonts w:cs="Times New Roman"/>
                <w:noProof/>
                <w:color w:val="000000"/>
                <w:sz w:val="22"/>
                <w:vertAlign w:val="superscript"/>
                <w:lang w:eastAsia="en-GB"/>
              </w:rPr>
              <w:t>2</w:t>
            </w:r>
            <w:r>
              <w:rPr>
                <w:rFonts w:cs="Times New Roman"/>
                <w:noProof/>
                <w:color w:val="000000"/>
                <w:sz w:val="22"/>
                <w:lang w:eastAsia="en-GB"/>
              </w:rPr>
              <w:t xml:space="preserve"> project. In more than 20 Member States, there is already at least one ESPD service available. </w:t>
            </w:r>
          </w:p>
        </w:tc>
      </w:tr>
      <w:tr>
        <w:trPr>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6. Decision making and legislation - Supporting instruments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2017.03</w:t>
            </w:r>
          </w:p>
        </w:tc>
        <w:tc>
          <w:tcPr>
            <w:tcW w:w="944" w:type="pct"/>
            <w:hideMark/>
          </w:tcPr>
          <w:p>
            <w:pPr>
              <w:spacing w:before="20" w:after="20"/>
              <w:jc w:val="center"/>
              <w:rPr>
                <w:rFonts w:cs="Times New Roman"/>
                <w:noProof/>
                <w:color w:val="000000"/>
                <w:sz w:val="22"/>
                <w:lang w:eastAsia="en-GB"/>
              </w:rPr>
            </w:pPr>
            <w:hyperlink r:id="rId284" w:history="1">
              <w:r>
                <w:rPr>
                  <w:rFonts w:cs="Times New Roman"/>
                  <w:noProof/>
                  <w:color w:val="000000"/>
                  <w:sz w:val="22"/>
                  <w:lang w:eastAsia="en-GB"/>
                </w:rPr>
                <w:t>REFIT Platform</w:t>
              </w:r>
            </w:hyperlink>
          </w:p>
        </w:tc>
        <w:tc>
          <w:tcPr>
            <w:tcW w:w="2981" w:type="pct"/>
            <w:hideMark/>
          </w:tcPr>
          <w:p>
            <w:pPr>
              <w:spacing w:before="20" w:after="20"/>
              <w:rPr>
                <w:rFonts w:cs="Times New Roman"/>
                <w:noProof/>
                <w:color w:val="000000"/>
                <w:sz w:val="22"/>
                <w:lang w:eastAsia="en-GB"/>
              </w:rPr>
            </w:pPr>
            <w:r>
              <w:rPr>
                <w:rFonts w:cs="Times New Roman"/>
                <w:noProof/>
                <w:color w:val="000000"/>
                <w:sz w:val="22"/>
                <w:lang w:val="en-GB" w:eastAsia="en-GB"/>
              </w:rPr>
              <w:t>The REFIT Platform consists of two Commission expert groups: a Government group in which all Member States are represented and a Stakeholder group with representatives of businesses, social partners, civil society organisations in various Member States, the Economic and Social</w:t>
            </w:r>
            <w:r>
              <w:rPr>
                <w:rFonts w:cs="Times New Roman"/>
                <w:noProof/>
                <w:color w:val="000000"/>
                <w:sz w:val="22"/>
                <w:lang w:eastAsia="en-GB"/>
              </w:rPr>
              <w:t xml:space="preserve"> Committee and the European Committee of the Regions.</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7. EU Policies - Supporting instruments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2016.14</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European Citizens’ Initiatives and European Parliament Elections</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ECI-OCS serves the citizens and public administrations in all Member States as it facilitates the verification of the statements of support for legislation. The European Parliament Crypto tool is useful to the public administrations of all the Member States</w:t>
            </w:r>
          </w:p>
        </w:tc>
      </w:tr>
      <w:tr>
        <w:trPr>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8. Supporting instruments for public administrations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2016.20</w:t>
            </w:r>
          </w:p>
        </w:tc>
        <w:tc>
          <w:tcPr>
            <w:tcW w:w="944" w:type="pct"/>
            <w:hideMark/>
          </w:tcPr>
          <w:p>
            <w:pPr>
              <w:spacing w:before="20" w:after="20"/>
              <w:jc w:val="center"/>
              <w:rPr>
                <w:rFonts w:cs="Times New Roman"/>
                <w:noProof/>
                <w:color w:val="000000"/>
                <w:sz w:val="22"/>
                <w:lang w:eastAsia="en-GB"/>
              </w:rPr>
            </w:pPr>
            <w:hyperlink r:id="rId285" w:history="1">
              <w:r>
                <w:rPr>
                  <w:rFonts w:cs="Times New Roman"/>
                  <w:noProof/>
                  <w:color w:val="000000"/>
                  <w:sz w:val="22"/>
                  <w:lang w:eastAsia="en-GB"/>
                </w:rPr>
                <w:t>Joinup – European Collaborative Platform and Catalogue</w:t>
              </w:r>
            </w:hyperlink>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The end-users of Joinup are from different EU Member States and countries outside the EU (USA, Canada, New Zealand). In addition, several national repositories (NL, ES, EL, SL, BE) are stored on Joinup, making their national solutions available for re-use.</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8. Supporting instruments for public administrations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2016.21</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National Interoperability Framework Observatory</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The outputs of NIFO have already been reused by various Member States. The eGovernment factsheets are considered as a reference. The state of play reports on interoperability in Europe and the NIFO factsheets served as a source of input in the revision of the EIF and the IAP.</w:t>
            </w:r>
          </w:p>
        </w:tc>
      </w:tr>
      <w:tr>
        <w:trPr>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8. Supporting instruments for public administrations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2016.32</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European Interoperability Architecture (EIA)</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EIRA has been deployed in EE, NL, DK, ES, CZ and PL.</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8. Supporting instruments for public administrations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2016.35</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EUSurvey</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EUSurvey is available in 23 EU languages, facilitating cross-border interoperability. In 2017, more than 7,800 surveys have been created with the tool, resulting in more than 2.7 million contributions.</w:t>
            </w:r>
          </w:p>
        </w:tc>
      </w:tr>
      <w:tr>
        <w:trPr>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8. Supporting instruments for public administrations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2017.01</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Standard-Based Archival Data Management, Exchange and Publication</w:t>
            </w:r>
          </w:p>
        </w:tc>
        <w:tc>
          <w:tcPr>
            <w:tcW w:w="2981" w:type="pct"/>
            <w:hideMark/>
          </w:tcPr>
          <w:p>
            <w:pPr>
              <w:spacing w:before="20" w:after="20"/>
              <w:rPr>
                <w:rFonts w:cs="Times New Roman"/>
                <w:noProof/>
                <w:color w:val="000000"/>
                <w:sz w:val="22"/>
                <w:lang w:eastAsia="en-GB"/>
              </w:rPr>
            </w:pPr>
            <w:r>
              <w:rPr>
                <w:rFonts w:cs="Times New Roman"/>
                <w:noProof/>
                <w:color w:val="000000"/>
                <w:sz w:val="22"/>
                <w:lang w:eastAsia="en-GB"/>
              </w:rPr>
              <w:t>The action addresses the semantic interoperability issue of how to describe electronic archives by means of the identification of existing standards for digital archives, facilitating the cross-border interoperability of electronic archives.</w:t>
            </w:r>
          </w:p>
        </w:tc>
      </w:tr>
      <w:tr>
        <w:trPr>
          <w:cnfStyle w:val="000000100000" w:firstRow="0" w:lastRow="0" w:firstColumn="0" w:lastColumn="0" w:oddVBand="0" w:evenVBand="0" w:oddHBand="1" w:evenHBand="0" w:firstRowFirstColumn="0" w:firstRowLastColumn="0" w:lastRowFirstColumn="0" w:lastRowLastColumn="0"/>
          <w:trHeight w:val="20"/>
        </w:trPr>
        <w:tc>
          <w:tcPr>
            <w:tcW w:w="659" w:type="pct"/>
            <w:hideMark/>
          </w:tcPr>
          <w:p>
            <w:pPr>
              <w:spacing w:before="20" w:after="20"/>
              <w:rPr>
                <w:rFonts w:cs="Times New Roman"/>
                <w:noProof/>
                <w:color w:val="000000"/>
                <w:sz w:val="22"/>
                <w:lang w:eastAsia="en-GB"/>
              </w:rPr>
            </w:pPr>
            <w:r>
              <w:rPr>
                <w:rFonts w:cs="Times New Roman"/>
                <w:noProof/>
                <w:color w:val="000000"/>
                <w:sz w:val="22"/>
                <w:lang w:eastAsia="en-GB"/>
              </w:rPr>
              <w:t>9. Accompanying measures</w:t>
            </w:r>
          </w:p>
        </w:tc>
        <w:tc>
          <w:tcPr>
            <w:tcW w:w="416" w:type="pct"/>
            <w:hideMark/>
          </w:tcPr>
          <w:p>
            <w:pPr>
              <w:spacing w:before="20" w:after="20"/>
              <w:jc w:val="center"/>
              <w:rPr>
                <w:rFonts w:cs="Times New Roman"/>
                <w:noProof/>
                <w:color w:val="000000"/>
                <w:sz w:val="22"/>
                <w:lang w:eastAsia="en-GB"/>
              </w:rPr>
            </w:pPr>
            <w:r>
              <w:rPr>
                <w:rFonts w:cs="Times New Roman"/>
                <w:noProof/>
                <w:color w:val="000000"/>
                <w:sz w:val="22"/>
                <w:lang w:eastAsia="en-GB"/>
              </w:rPr>
              <w:t>2016.3</w:t>
            </w:r>
          </w:p>
        </w:tc>
        <w:tc>
          <w:tcPr>
            <w:tcW w:w="944" w:type="pct"/>
            <w:hideMark/>
          </w:tcPr>
          <w:p>
            <w:pPr>
              <w:spacing w:before="20" w:after="20"/>
              <w:jc w:val="center"/>
              <w:rPr>
                <w:rFonts w:cs="Times New Roman"/>
                <w:noProof/>
                <w:color w:val="000000"/>
                <w:sz w:val="22"/>
                <w:lang w:eastAsia="en-GB"/>
              </w:rPr>
            </w:pPr>
            <w:r>
              <w:rPr>
                <w:rFonts w:cs="Times New Roman"/>
                <w:noProof/>
                <w:color w:val="000000"/>
                <w:sz w:val="22"/>
                <w:lang w:eastAsia="en-GB"/>
              </w:rPr>
              <w:t>Raising Interoperability Awareness – Communication Activities</w:t>
            </w:r>
          </w:p>
        </w:tc>
        <w:tc>
          <w:tcPr>
            <w:tcW w:w="2981" w:type="pct"/>
            <w:hideMark/>
          </w:tcPr>
          <w:p>
            <w:pPr>
              <w:spacing w:before="20" w:after="20"/>
              <w:ind w:left="72"/>
              <w:rPr>
                <w:rFonts w:cs="Times New Roman"/>
                <w:noProof/>
                <w:color w:val="000000"/>
                <w:sz w:val="22"/>
                <w:lang w:eastAsia="en-GB"/>
              </w:rPr>
            </w:pPr>
            <w:r>
              <w:rPr>
                <w:rFonts w:cs="Times New Roman"/>
                <w:noProof/>
                <w:color w:val="000000"/>
                <w:sz w:val="22"/>
                <w:lang w:eastAsia="en-GB"/>
              </w:rPr>
              <w:t>This action contributes to the promotion of interoperability across the EU.</w:t>
            </w:r>
          </w:p>
        </w:tc>
      </w:tr>
    </w:tbl>
    <w:p>
      <w:pPr>
        <w:pStyle w:val="Notes"/>
        <w:rPr>
          <w:rFonts w:cs="Times New Roman"/>
          <w:noProof/>
        </w:rPr>
      </w:pPr>
      <w:r>
        <w:rPr>
          <w:rFonts w:cs="Times New Roman"/>
          <w:noProof/>
        </w:rPr>
        <w:t>*Note: Additional information was provided by the action owners of the ‘ELISE’ action.</w:t>
      </w:r>
    </w:p>
    <w:p>
      <w:pPr>
        <w:rPr>
          <w:rFonts w:cs="Times New Roman"/>
          <w:i/>
          <w:noProof/>
          <w:sz w:val="20"/>
          <w:szCs w:val="20"/>
          <w:lang w:val="en-IE"/>
        </w:rPr>
      </w:pPr>
      <w:r>
        <w:rPr>
          <w:rFonts w:cs="Times New Roman"/>
          <w:i/>
          <w:noProof/>
          <w:sz w:val="20"/>
          <w:szCs w:val="20"/>
          <w:lang w:val="en-IE"/>
        </w:rPr>
        <w:t xml:space="preserve">Source: </w:t>
      </w:r>
      <w:hyperlink r:id="rId286" w:history="1">
        <w:r>
          <w:rPr>
            <w:rStyle w:val="Hyperlink"/>
            <w:rFonts w:cs="Times New Roman"/>
            <w:i/>
            <w:noProof/>
            <w:sz w:val="20"/>
            <w:lang w:val="en-IE"/>
          </w:rPr>
          <w:t>CEPS final study</w:t>
        </w:r>
      </w:hyperlink>
    </w:p>
    <w:p>
      <w:pPr>
        <w:rPr>
          <w:rStyle w:val="Strong"/>
          <w:rFonts w:cs="Times New Roman"/>
          <w:b w:val="0"/>
          <w:bCs w:val="0"/>
          <w:i/>
          <w:noProof/>
          <w:sz w:val="20"/>
          <w:szCs w:val="20"/>
          <w:lang w:val="en-IE"/>
        </w:rPr>
        <w:sectPr>
          <w:headerReference w:type="even" r:id="rId287"/>
          <w:headerReference w:type="default" r:id="rId288"/>
          <w:footerReference w:type="even" r:id="rId289"/>
          <w:footerReference w:type="default" r:id="rId290"/>
          <w:headerReference w:type="first" r:id="rId291"/>
          <w:footerReference w:type="first" r:id="rId292"/>
          <w:pgSz w:w="11906" w:h="16838"/>
          <w:pgMar w:top="1020" w:right="1701" w:bottom="1020" w:left="1587" w:header="601" w:footer="1077" w:gutter="0"/>
          <w:cols w:space="720"/>
          <w:titlePg/>
        </w:sectPr>
      </w:pPr>
    </w:p>
    <w:p>
      <w:pPr>
        <w:pStyle w:val="Heading4"/>
        <w:rPr>
          <w:noProof/>
        </w:rPr>
      </w:pPr>
      <w:r>
        <w:rPr>
          <w:noProof/>
        </w:rPr>
        <w:t>Alignment with the EIF</w:t>
      </w:r>
    </w:p>
    <w:p>
      <w:pPr>
        <w:pStyle w:val="caption2"/>
        <w:rPr>
          <w:rFonts w:cs="Times New Roman"/>
          <w:noProof/>
        </w:rPr>
      </w:pPr>
      <w:r>
        <w:rPr>
          <w:rFonts w:cs="Times New Roman"/>
          <w:noProof/>
        </w:rPr>
        <w:t xml:space="preserve">Table </w:t>
      </w:r>
      <w:r>
        <w:rPr>
          <w:rFonts w:cs="Times New Roman"/>
          <w:noProof/>
        </w:rPr>
        <w:fldChar w:fldCharType="begin"/>
      </w:r>
      <w:r>
        <w:rPr>
          <w:rFonts w:cs="Times New Roman"/>
          <w:noProof/>
        </w:rPr>
        <w:instrText xml:space="preserve"> SEQ Table \* ARABIC </w:instrText>
      </w:r>
      <w:r>
        <w:rPr>
          <w:rFonts w:cs="Times New Roman"/>
          <w:noProof/>
        </w:rPr>
        <w:fldChar w:fldCharType="separate"/>
      </w:r>
      <w:r>
        <w:rPr>
          <w:rFonts w:cs="Times New Roman"/>
          <w:noProof/>
        </w:rPr>
        <w:t>23</w:t>
      </w:r>
      <w:r>
        <w:rPr>
          <w:rFonts w:cs="Times New Roman"/>
          <w:noProof/>
        </w:rPr>
        <w:fldChar w:fldCharType="end"/>
      </w:r>
      <w:r>
        <w:rPr>
          <w:rFonts w:cs="Times New Roman"/>
          <w:noProof/>
        </w:rPr>
        <w:t>: ISA</w:t>
      </w:r>
      <w:r>
        <w:rPr>
          <w:rFonts w:cs="Times New Roman"/>
          <w:noProof/>
          <w:vertAlign w:val="superscript"/>
        </w:rPr>
        <w:t xml:space="preserve">2 </w:t>
      </w:r>
      <w:r>
        <w:rPr>
          <w:rFonts w:cs="Times New Roman"/>
          <w:noProof/>
        </w:rPr>
        <w:t>contribution to the EIF, based on the sample of 20 actions</w:t>
      </w:r>
    </w:p>
    <w:tbl>
      <w:tblPr>
        <w:tblStyle w:val="GridTable5Dark-Accent11"/>
        <w:tblW w:w="14992" w:type="dxa"/>
        <w:tblLook w:val="0420" w:firstRow="1" w:lastRow="0" w:firstColumn="0" w:lastColumn="0" w:noHBand="0" w:noVBand="1"/>
      </w:tblPr>
      <w:tblGrid>
        <w:gridCol w:w="1930"/>
        <w:gridCol w:w="1297"/>
        <w:gridCol w:w="2835"/>
        <w:gridCol w:w="8930"/>
      </w:tblGrid>
      <w:tr>
        <w:trPr>
          <w:cnfStyle w:val="100000000000" w:firstRow="1" w:lastRow="0" w:firstColumn="0" w:lastColumn="0" w:oddVBand="0" w:evenVBand="0" w:oddHBand="0" w:evenHBand="0" w:firstRowFirstColumn="0" w:firstRowLastColumn="0" w:lastRowFirstColumn="0" w:lastRowLastColumn="0"/>
          <w:trHeight w:val="20"/>
          <w:tblHeader/>
        </w:trPr>
        <w:tc>
          <w:tcPr>
            <w:tcW w:w="1930" w:type="dxa"/>
            <w:hideMark/>
          </w:tcPr>
          <w:p>
            <w:pPr>
              <w:spacing w:before="20" w:after="20"/>
              <w:jc w:val="center"/>
              <w:rPr>
                <w:noProof/>
                <w:sz w:val="22"/>
                <w:lang w:eastAsia="en-GB"/>
              </w:rPr>
            </w:pPr>
            <w:r>
              <w:rPr>
                <w:noProof/>
                <w:sz w:val="22"/>
                <w:lang w:eastAsia="en-GB"/>
              </w:rPr>
              <w:t>Package</w:t>
            </w:r>
          </w:p>
        </w:tc>
        <w:tc>
          <w:tcPr>
            <w:tcW w:w="1297" w:type="dxa"/>
            <w:hideMark/>
          </w:tcPr>
          <w:p>
            <w:pPr>
              <w:spacing w:before="20" w:after="20"/>
              <w:jc w:val="center"/>
              <w:rPr>
                <w:noProof/>
                <w:sz w:val="22"/>
                <w:lang w:eastAsia="en-GB"/>
              </w:rPr>
            </w:pPr>
            <w:r>
              <w:rPr>
                <w:noProof/>
                <w:sz w:val="22"/>
                <w:lang w:eastAsia="en-GB"/>
              </w:rPr>
              <w:t>Action number</w:t>
            </w:r>
          </w:p>
        </w:tc>
        <w:tc>
          <w:tcPr>
            <w:tcW w:w="2835" w:type="dxa"/>
            <w:hideMark/>
          </w:tcPr>
          <w:p>
            <w:pPr>
              <w:spacing w:before="20" w:after="20"/>
              <w:jc w:val="center"/>
              <w:rPr>
                <w:noProof/>
                <w:sz w:val="22"/>
                <w:lang w:eastAsia="en-GB"/>
              </w:rPr>
            </w:pPr>
            <w:r>
              <w:rPr>
                <w:noProof/>
                <w:sz w:val="22"/>
                <w:lang w:eastAsia="en-GB"/>
              </w:rPr>
              <w:t>Action Name</w:t>
            </w:r>
          </w:p>
        </w:tc>
        <w:tc>
          <w:tcPr>
            <w:tcW w:w="8930" w:type="dxa"/>
            <w:hideMark/>
          </w:tcPr>
          <w:p>
            <w:pPr>
              <w:spacing w:before="20" w:after="20"/>
              <w:jc w:val="center"/>
              <w:rPr>
                <w:noProof/>
                <w:sz w:val="22"/>
                <w:lang w:eastAsia="en-GB"/>
              </w:rPr>
            </w:pPr>
            <w:r>
              <w:rPr>
                <w:noProof/>
                <w:sz w:val="22"/>
                <w:lang w:eastAsia="en-GB"/>
              </w:rPr>
              <w:t>Contribution to the EIF</w:t>
            </w:r>
          </w:p>
        </w:tc>
      </w:tr>
      <w:tr>
        <w:trPr>
          <w:cnfStyle w:val="000000100000" w:firstRow="0" w:lastRow="0" w:firstColumn="0" w:lastColumn="0" w:oddVBand="0" w:evenVBand="0" w:oddHBand="1" w:evenHBand="0" w:firstRowFirstColumn="0" w:firstRowLastColumn="0" w:lastRowFirstColumn="0" w:lastRowLastColumn="0"/>
          <w:trHeight w:val="20"/>
        </w:trPr>
        <w:tc>
          <w:tcPr>
            <w:tcW w:w="1930" w:type="dxa"/>
            <w:hideMark/>
          </w:tcPr>
          <w:p>
            <w:pPr>
              <w:spacing w:before="20" w:after="20"/>
              <w:rPr>
                <w:noProof/>
                <w:color w:val="000000"/>
                <w:sz w:val="22"/>
                <w:lang w:eastAsia="en-GB"/>
              </w:rPr>
            </w:pPr>
            <w:r>
              <w:rPr>
                <w:noProof/>
                <w:color w:val="000000"/>
                <w:sz w:val="22"/>
                <w:lang w:eastAsia="en-GB"/>
              </w:rPr>
              <w:t>1. Key and generic interoperability enablers</w:t>
            </w:r>
          </w:p>
        </w:tc>
        <w:tc>
          <w:tcPr>
            <w:tcW w:w="1297" w:type="dxa"/>
            <w:hideMark/>
          </w:tcPr>
          <w:p>
            <w:pPr>
              <w:spacing w:before="20" w:after="20"/>
              <w:jc w:val="center"/>
              <w:rPr>
                <w:noProof/>
                <w:color w:val="000000"/>
                <w:sz w:val="22"/>
                <w:lang w:eastAsia="en-GB"/>
              </w:rPr>
            </w:pPr>
            <w:r>
              <w:rPr>
                <w:noProof/>
                <w:color w:val="000000"/>
                <w:sz w:val="22"/>
                <w:lang w:eastAsia="en-GB"/>
              </w:rPr>
              <w:t>2016.19</w:t>
            </w:r>
          </w:p>
        </w:tc>
        <w:tc>
          <w:tcPr>
            <w:tcW w:w="2835" w:type="dxa"/>
            <w:hideMark/>
          </w:tcPr>
          <w:p>
            <w:pPr>
              <w:spacing w:before="20" w:after="20"/>
              <w:jc w:val="center"/>
              <w:rPr>
                <w:noProof/>
                <w:color w:val="000000"/>
                <w:sz w:val="22"/>
                <w:lang w:eastAsia="en-GB"/>
              </w:rPr>
            </w:pPr>
            <w:r>
              <w:rPr>
                <w:noProof/>
                <w:color w:val="000000"/>
                <w:sz w:val="22"/>
                <w:lang w:eastAsia="en-GB"/>
              </w:rPr>
              <w:t>Trusted Exchange Platform (e-TrustEx)</w:t>
            </w:r>
          </w:p>
        </w:tc>
        <w:tc>
          <w:tcPr>
            <w:tcW w:w="8930" w:type="dxa"/>
            <w:hideMark/>
          </w:tcPr>
          <w:p>
            <w:pPr>
              <w:spacing w:before="20" w:after="20"/>
              <w:rPr>
                <w:noProof/>
                <w:color w:val="000000"/>
                <w:sz w:val="22"/>
                <w:lang w:eastAsia="en-GB"/>
              </w:rPr>
            </w:pPr>
            <w:r>
              <w:rPr>
                <w:noProof/>
                <w:color w:val="000000"/>
                <w:sz w:val="22"/>
                <w:lang w:eastAsia="en-GB"/>
              </w:rPr>
              <w:t>e-TrustEx is a platform offered to public administrations at European, national and regional levels to undertake secure exchange of natively digital documents or scanned documents from system to system via standardised interfaces. The action thus contributes particularly to Recommendation 15 of the revised EIF, through enabling the secure exchange of documents.</w:t>
            </w:r>
          </w:p>
        </w:tc>
      </w:tr>
      <w:tr>
        <w:trPr>
          <w:trHeight w:val="20"/>
        </w:trPr>
        <w:tc>
          <w:tcPr>
            <w:tcW w:w="1930" w:type="dxa"/>
            <w:hideMark/>
          </w:tcPr>
          <w:p>
            <w:pPr>
              <w:spacing w:before="20" w:after="20"/>
              <w:rPr>
                <w:noProof/>
                <w:color w:val="000000"/>
                <w:sz w:val="22"/>
                <w:lang w:eastAsia="en-GB"/>
              </w:rPr>
            </w:pPr>
            <w:r>
              <w:rPr>
                <w:noProof/>
                <w:color w:val="000000"/>
                <w:sz w:val="22"/>
                <w:lang w:eastAsia="en-GB"/>
              </w:rPr>
              <w:t>1. Key and generic interoperability enablers</w:t>
            </w:r>
          </w:p>
        </w:tc>
        <w:tc>
          <w:tcPr>
            <w:tcW w:w="1297" w:type="dxa"/>
            <w:hideMark/>
          </w:tcPr>
          <w:p>
            <w:pPr>
              <w:spacing w:before="20" w:after="20"/>
              <w:jc w:val="center"/>
              <w:rPr>
                <w:noProof/>
                <w:color w:val="000000"/>
                <w:sz w:val="22"/>
                <w:lang w:eastAsia="en-GB"/>
              </w:rPr>
            </w:pPr>
            <w:r>
              <w:rPr>
                <w:noProof/>
                <w:color w:val="000000"/>
                <w:sz w:val="22"/>
                <w:lang w:eastAsia="en-GB"/>
              </w:rPr>
              <w:t>2016.29</w:t>
            </w:r>
          </w:p>
        </w:tc>
        <w:tc>
          <w:tcPr>
            <w:tcW w:w="2835" w:type="dxa"/>
            <w:hideMark/>
          </w:tcPr>
          <w:p>
            <w:pPr>
              <w:spacing w:before="20" w:after="20"/>
              <w:jc w:val="center"/>
              <w:rPr>
                <w:noProof/>
                <w:color w:val="000000"/>
                <w:sz w:val="22"/>
                <w:lang w:eastAsia="en-GB"/>
              </w:rPr>
            </w:pPr>
            <w:r>
              <w:rPr>
                <w:noProof/>
                <w:color w:val="000000"/>
                <w:sz w:val="22"/>
                <w:lang w:eastAsia="en-GB"/>
              </w:rPr>
              <w:t>Catalogue of Services</w:t>
            </w:r>
          </w:p>
        </w:tc>
        <w:tc>
          <w:tcPr>
            <w:tcW w:w="8930" w:type="dxa"/>
            <w:hideMark/>
          </w:tcPr>
          <w:p>
            <w:pPr>
              <w:spacing w:before="20" w:after="20"/>
              <w:rPr>
                <w:noProof/>
                <w:color w:val="000000"/>
                <w:sz w:val="22"/>
                <w:lang w:eastAsia="en-GB"/>
              </w:rPr>
            </w:pPr>
            <w:r>
              <w:rPr>
                <w:noProof/>
                <w:color w:val="000000"/>
                <w:sz w:val="22"/>
                <w:lang w:eastAsia="en-GB"/>
              </w:rPr>
              <w:t>The action addresses Recommendation 44 of the revised version of the EIF on the catalogue of public services. Catalogue of Public services is one of the interoperability enablers for integrated public services according to the conceptual model defined by the revised EIF.</w:t>
            </w:r>
            <w:r>
              <w:rPr>
                <w:noProof/>
                <w:color w:val="000000"/>
                <w:sz w:val="22"/>
                <w:lang w:eastAsia="en-GB"/>
              </w:rPr>
              <w:br/>
              <w:t>To that end, the action is defining a technical specification (data model) and implementing a set of tools to facilitate the creation of catalogue of public services.</w:t>
            </w:r>
          </w:p>
        </w:tc>
      </w:tr>
      <w:tr>
        <w:trPr>
          <w:cnfStyle w:val="000000100000" w:firstRow="0" w:lastRow="0" w:firstColumn="0" w:lastColumn="0" w:oddVBand="0" w:evenVBand="0" w:oddHBand="1" w:evenHBand="0" w:firstRowFirstColumn="0" w:firstRowLastColumn="0" w:lastRowFirstColumn="0" w:lastRowLastColumn="0"/>
          <w:trHeight w:val="20"/>
        </w:trPr>
        <w:tc>
          <w:tcPr>
            <w:tcW w:w="1930" w:type="dxa"/>
            <w:hideMark/>
          </w:tcPr>
          <w:p>
            <w:pPr>
              <w:spacing w:before="20" w:after="20"/>
              <w:rPr>
                <w:noProof/>
                <w:color w:val="000000"/>
                <w:sz w:val="22"/>
                <w:lang w:eastAsia="en-GB"/>
              </w:rPr>
            </w:pPr>
            <w:r>
              <w:rPr>
                <w:noProof/>
                <w:color w:val="000000"/>
                <w:sz w:val="22"/>
                <w:lang w:eastAsia="en-GB"/>
              </w:rPr>
              <w:t>2. Semantic interoperability</w:t>
            </w:r>
          </w:p>
        </w:tc>
        <w:tc>
          <w:tcPr>
            <w:tcW w:w="1297" w:type="dxa"/>
            <w:hideMark/>
          </w:tcPr>
          <w:p>
            <w:pPr>
              <w:spacing w:before="20" w:after="20"/>
              <w:jc w:val="center"/>
              <w:rPr>
                <w:noProof/>
                <w:color w:val="000000"/>
                <w:sz w:val="22"/>
                <w:lang w:eastAsia="en-GB"/>
              </w:rPr>
            </w:pPr>
            <w:r>
              <w:rPr>
                <w:noProof/>
                <w:color w:val="000000"/>
                <w:sz w:val="22"/>
                <w:lang w:eastAsia="en-GB"/>
              </w:rPr>
              <w:t>2016.07</w:t>
            </w:r>
          </w:p>
        </w:tc>
        <w:tc>
          <w:tcPr>
            <w:tcW w:w="2835" w:type="dxa"/>
            <w:hideMark/>
          </w:tcPr>
          <w:p>
            <w:pPr>
              <w:spacing w:before="20" w:after="20"/>
              <w:jc w:val="center"/>
              <w:rPr>
                <w:noProof/>
                <w:color w:val="000000"/>
                <w:sz w:val="22"/>
                <w:lang w:eastAsia="en-GB"/>
              </w:rPr>
            </w:pPr>
            <w:r>
              <w:rPr>
                <w:noProof/>
                <w:color w:val="000000"/>
                <w:sz w:val="22"/>
                <w:lang w:eastAsia="en-GB"/>
              </w:rPr>
              <w:t>SEMIC: Promoting Semantic Interoperability Amongst the European Union Member States</w:t>
            </w:r>
          </w:p>
        </w:tc>
        <w:tc>
          <w:tcPr>
            <w:tcW w:w="8930" w:type="dxa"/>
            <w:hideMark/>
          </w:tcPr>
          <w:p>
            <w:pPr>
              <w:spacing w:before="20" w:after="20"/>
              <w:rPr>
                <w:noProof/>
                <w:color w:val="000000"/>
                <w:sz w:val="22"/>
                <w:lang w:eastAsia="en-GB"/>
              </w:rPr>
            </w:pPr>
            <w:r>
              <w:rPr>
                <w:noProof/>
                <w:color w:val="000000"/>
                <w:sz w:val="22"/>
                <w:lang w:eastAsia="en-GB"/>
              </w:rPr>
              <w:t>The Action supports the implementation of the EIF and the EIS by promoting semantic interoperability, through the definition and use of common specifications, thus contributing primarily to Recommendation 16 of the revised EIF. In addition, the action covers the following underlying principles of the EIF: Reusability, Multilingualism, Openness, Semantic interoperability, Technical interoperability and Standardisation.</w:t>
            </w:r>
          </w:p>
        </w:tc>
      </w:tr>
      <w:tr>
        <w:trPr>
          <w:trHeight w:val="20"/>
        </w:trPr>
        <w:tc>
          <w:tcPr>
            <w:tcW w:w="1930" w:type="dxa"/>
            <w:hideMark/>
          </w:tcPr>
          <w:p>
            <w:pPr>
              <w:spacing w:before="20" w:after="20"/>
              <w:rPr>
                <w:noProof/>
                <w:color w:val="000000"/>
                <w:sz w:val="22"/>
                <w:lang w:eastAsia="en-GB"/>
              </w:rPr>
            </w:pPr>
            <w:r>
              <w:rPr>
                <w:noProof/>
                <w:color w:val="000000"/>
                <w:sz w:val="22"/>
                <w:lang w:eastAsia="en-GB"/>
              </w:rPr>
              <w:t>2. Semantic interoperability</w:t>
            </w:r>
          </w:p>
        </w:tc>
        <w:tc>
          <w:tcPr>
            <w:tcW w:w="1297" w:type="dxa"/>
            <w:hideMark/>
          </w:tcPr>
          <w:p>
            <w:pPr>
              <w:spacing w:before="20" w:after="20"/>
              <w:jc w:val="center"/>
              <w:rPr>
                <w:noProof/>
                <w:color w:val="000000"/>
                <w:sz w:val="22"/>
                <w:lang w:eastAsia="en-GB"/>
              </w:rPr>
            </w:pPr>
            <w:r>
              <w:rPr>
                <w:noProof/>
                <w:color w:val="000000"/>
                <w:sz w:val="22"/>
                <w:lang w:eastAsia="en-GB"/>
              </w:rPr>
              <w:t>2016.16</w:t>
            </w:r>
          </w:p>
        </w:tc>
        <w:tc>
          <w:tcPr>
            <w:tcW w:w="2835" w:type="dxa"/>
            <w:hideMark/>
          </w:tcPr>
          <w:p>
            <w:pPr>
              <w:spacing w:before="20" w:after="20"/>
              <w:jc w:val="center"/>
              <w:rPr>
                <w:noProof/>
                <w:color w:val="000000"/>
                <w:sz w:val="22"/>
                <w:lang w:eastAsia="en-GB"/>
              </w:rPr>
            </w:pPr>
            <w:r>
              <w:rPr>
                <w:noProof/>
                <w:color w:val="000000"/>
                <w:sz w:val="22"/>
                <w:lang w:eastAsia="en-GB"/>
              </w:rPr>
              <w:t>Public Multilingual Knowledge Management Infrastructure for the Digital Single Market</w:t>
            </w:r>
          </w:p>
        </w:tc>
        <w:tc>
          <w:tcPr>
            <w:tcW w:w="8930" w:type="dxa"/>
            <w:hideMark/>
          </w:tcPr>
          <w:p>
            <w:pPr>
              <w:spacing w:before="20" w:after="20"/>
              <w:rPr>
                <w:noProof/>
                <w:color w:val="000000"/>
                <w:sz w:val="22"/>
                <w:lang w:eastAsia="en-GB"/>
              </w:rPr>
            </w:pPr>
            <w:r>
              <w:rPr>
                <w:noProof/>
                <w:color w:val="000000"/>
                <w:sz w:val="22"/>
                <w:lang w:eastAsia="en-GB"/>
              </w:rPr>
              <w:t>The action meets the recommendations and principles of the new EIF, in particular regarding multilingualism, accessibility, administrative simplification, transparency, and reusability of the solutions. The creation of a Public Multilingual Knowledge Infrastructure will support EU public administrations in creating services that can be accessible and shareable independently from the language actually used, as well as allowing SMEs to sell goods and service cross-border in a digital single market.</w:t>
            </w:r>
          </w:p>
        </w:tc>
      </w:tr>
      <w:tr>
        <w:trPr>
          <w:cnfStyle w:val="000000100000" w:firstRow="0" w:lastRow="0" w:firstColumn="0" w:lastColumn="0" w:oddVBand="0" w:evenVBand="0" w:oddHBand="1" w:evenHBand="0" w:firstRowFirstColumn="0" w:firstRowLastColumn="0" w:lastRowFirstColumn="0" w:lastRowLastColumn="0"/>
          <w:trHeight w:val="20"/>
        </w:trPr>
        <w:tc>
          <w:tcPr>
            <w:tcW w:w="1930" w:type="dxa"/>
            <w:hideMark/>
          </w:tcPr>
          <w:p>
            <w:pPr>
              <w:spacing w:before="20" w:after="20"/>
              <w:rPr>
                <w:noProof/>
                <w:color w:val="000000"/>
                <w:sz w:val="22"/>
                <w:lang w:eastAsia="en-GB"/>
              </w:rPr>
            </w:pPr>
            <w:r>
              <w:rPr>
                <w:noProof/>
                <w:color w:val="000000"/>
                <w:sz w:val="22"/>
                <w:lang w:eastAsia="en-GB"/>
              </w:rPr>
              <w:t>3. Access to data/data sharing/open data</w:t>
            </w:r>
          </w:p>
        </w:tc>
        <w:tc>
          <w:tcPr>
            <w:tcW w:w="1297" w:type="dxa"/>
            <w:hideMark/>
          </w:tcPr>
          <w:p>
            <w:pPr>
              <w:spacing w:before="20" w:after="20"/>
              <w:jc w:val="center"/>
              <w:rPr>
                <w:noProof/>
                <w:color w:val="000000"/>
                <w:sz w:val="22"/>
                <w:lang w:eastAsia="en-GB"/>
              </w:rPr>
            </w:pPr>
            <w:r>
              <w:rPr>
                <w:noProof/>
                <w:color w:val="000000"/>
                <w:sz w:val="22"/>
                <w:lang w:eastAsia="en-GB"/>
              </w:rPr>
              <w:t>2016.03</w:t>
            </w:r>
          </w:p>
        </w:tc>
        <w:tc>
          <w:tcPr>
            <w:tcW w:w="2835" w:type="dxa"/>
            <w:hideMark/>
          </w:tcPr>
          <w:p>
            <w:pPr>
              <w:spacing w:before="20" w:after="20"/>
              <w:jc w:val="center"/>
              <w:rPr>
                <w:noProof/>
                <w:color w:val="000000"/>
                <w:sz w:val="22"/>
                <w:lang w:eastAsia="en-GB"/>
              </w:rPr>
            </w:pPr>
            <w:r>
              <w:rPr>
                <w:noProof/>
                <w:color w:val="000000"/>
                <w:sz w:val="22"/>
                <w:lang w:eastAsia="en-GB"/>
              </w:rPr>
              <w:t>Big Data for Public Administrations</w:t>
            </w:r>
          </w:p>
        </w:tc>
        <w:tc>
          <w:tcPr>
            <w:tcW w:w="8930" w:type="dxa"/>
            <w:hideMark/>
          </w:tcPr>
          <w:p>
            <w:pPr>
              <w:spacing w:before="20" w:after="20"/>
              <w:rPr>
                <w:noProof/>
                <w:color w:val="000000"/>
                <w:sz w:val="22"/>
                <w:lang w:eastAsia="en-GB"/>
              </w:rPr>
            </w:pPr>
            <w:r>
              <w:rPr>
                <w:noProof/>
                <w:color w:val="000000"/>
                <w:sz w:val="22"/>
                <w:lang w:eastAsia="en-GB"/>
              </w:rPr>
              <w:t>This action will facilitate the sharing of open data between public administrations through the support to the execution of analytics projects on Big Data; increase the transparency of decision-making in public administrations by supporting knowledge sharing on evidence-based policy-making practices; support the re-use of open-source data analytics tools developed by Member States of EU Institutions; and provide public administrations with the opportunity to test (open source) technologies in this domain before making a decision on the technical way forward.</w:t>
            </w:r>
          </w:p>
        </w:tc>
      </w:tr>
      <w:tr>
        <w:trPr>
          <w:trHeight w:val="20"/>
        </w:trPr>
        <w:tc>
          <w:tcPr>
            <w:tcW w:w="1930" w:type="dxa"/>
            <w:hideMark/>
          </w:tcPr>
          <w:p>
            <w:pPr>
              <w:spacing w:before="20" w:after="20"/>
              <w:rPr>
                <w:noProof/>
                <w:color w:val="000000"/>
                <w:sz w:val="22"/>
                <w:lang w:eastAsia="en-GB"/>
              </w:rPr>
            </w:pPr>
            <w:r>
              <w:rPr>
                <w:noProof/>
                <w:color w:val="000000"/>
                <w:sz w:val="22"/>
                <w:lang w:eastAsia="en-GB"/>
              </w:rPr>
              <w:t>3. Access to data/data sharing/open data</w:t>
            </w:r>
          </w:p>
        </w:tc>
        <w:tc>
          <w:tcPr>
            <w:tcW w:w="1297" w:type="dxa"/>
            <w:hideMark/>
          </w:tcPr>
          <w:p>
            <w:pPr>
              <w:spacing w:before="20" w:after="20"/>
              <w:jc w:val="center"/>
              <w:rPr>
                <w:noProof/>
                <w:color w:val="000000"/>
                <w:sz w:val="22"/>
                <w:lang w:eastAsia="en-GB"/>
              </w:rPr>
            </w:pPr>
            <w:r>
              <w:rPr>
                <w:noProof/>
                <w:color w:val="000000"/>
                <w:sz w:val="22"/>
                <w:lang w:eastAsia="en-GB"/>
              </w:rPr>
              <w:t>2016.06</w:t>
            </w:r>
          </w:p>
        </w:tc>
        <w:tc>
          <w:tcPr>
            <w:tcW w:w="2835" w:type="dxa"/>
            <w:hideMark/>
          </w:tcPr>
          <w:p>
            <w:pPr>
              <w:spacing w:before="20" w:after="20"/>
              <w:jc w:val="center"/>
              <w:rPr>
                <w:noProof/>
                <w:color w:val="000000"/>
                <w:sz w:val="22"/>
                <w:lang w:eastAsia="en-GB"/>
              </w:rPr>
            </w:pPr>
            <w:r>
              <w:rPr>
                <w:noProof/>
                <w:color w:val="000000"/>
                <w:sz w:val="22"/>
                <w:lang w:eastAsia="en-GB"/>
              </w:rPr>
              <w:t>Sharing Statistical Production and Dissemination Services and Solutions in the European Statistical System</w:t>
            </w:r>
          </w:p>
        </w:tc>
        <w:tc>
          <w:tcPr>
            <w:tcW w:w="8930" w:type="dxa"/>
            <w:hideMark/>
          </w:tcPr>
          <w:p>
            <w:pPr>
              <w:spacing w:before="20" w:after="20"/>
              <w:rPr>
                <w:noProof/>
                <w:color w:val="000000"/>
                <w:sz w:val="22"/>
                <w:lang w:eastAsia="en-GB"/>
              </w:rPr>
            </w:pPr>
            <w:r>
              <w:rPr>
                <w:noProof/>
                <w:color w:val="000000"/>
                <w:sz w:val="22"/>
                <w:lang w:eastAsia="en-GB"/>
              </w:rPr>
              <w:t>The project contributes to the new EIF and the Interoperability Action Plan by</w:t>
            </w:r>
            <w:r>
              <w:rPr>
                <w:noProof/>
                <w:color w:val="000000"/>
                <w:sz w:val="22"/>
                <w:lang w:eastAsia="en-GB"/>
              </w:rPr>
              <w:br/>
              <w:t>1) developing, maintaining and promoting interoperable solutions for the production and dissemination of statistics by EU public administrations (including the EC) EIF (Focus Area 4); 2) developing, maintaining and promoting a) a specification of the EIRA to support better interoperability and cooperation for the production and dissemination of Official Statistics in the European Statistical System; b) a common infrastructure for the exposure and consumption of shared statistical services. (Focus Area 5)</w:t>
            </w:r>
            <w:r>
              <w:rPr>
                <w:noProof/>
                <w:color w:val="000000"/>
                <w:sz w:val="22"/>
                <w:lang w:eastAsia="en-GB"/>
              </w:rPr>
              <w:br/>
              <w:t>In addition, the proposal contributes significantly to the realisation of the ESS Vision 2020 objectives in the domain of sharing tools and improving statistical dissemination.</w:t>
            </w:r>
          </w:p>
        </w:tc>
      </w:tr>
      <w:tr>
        <w:trPr>
          <w:cnfStyle w:val="000000100000" w:firstRow="0" w:lastRow="0" w:firstColumn="0" w:lastColumn="0" w:oddVBand="0" w:evenVBand="0" w:oddHBand="1" w:evenHBand="0" w:firstRowFirstColumn="0" w:firstRowLastColumn="0" w:lastRowFirstColumn="0" w:lastRowLastColumn="0"/>
          <w:trHeight w:val="20"/>
        </w:trPr>
        <w:tc>
          <w:tcPr>
            <w:tcW w:w="1930" w:type="dxa"/>
            <w:hideMark/>
          </w:tcPr>
          <w:p>
            <w:pPr>
              <w:spacing w:before="20" w:after="20"/>
              <w:rPr>
                <w:noProof/>
                <w:color w:val="000000"/>
                <w:sz w:val="22"/>
                <w:lang w:eastAsia="en-GB"/>
              </w:rPr>
            </w:pPr>
            <w:r>
              <w:rPr>
                <w:noProof/>
                <w:color w:val="000000"/>
                <w:sz w:val="22"/>
                <w:lang w:eastAsia="en-GB"/>
              </w:rPr>
              <w:t>3. Access to data/data sharing/open data</w:t>
            </w:r>
          </w:p>
        </w:tc>
        <w:tc>
          <w:tcPr>
            <w:tcW w:w="1297" w:type="dxa"/>
            <w:hideMark/>
          </w:tcPr>
          <w:p>
            <w:pPr>
              <w:spacing w:before="20" w:after="20"/>
              <w:jc w:val="center"/>
              <w:rPr>
                <w:noProof/>
                <w:color w:val="000000"/>
                <w:sz w:val="22"/>
                <w:lang w:eastAsia="en-GB"/>
              </w:rPr>
            </w:pPr>
            <w:r>
              <w:rPr>
                <w:noProof/>
                <w:color w:val="000000"/>
                <w:sz w:val="22"/>
                <w:lang w:eastAsia="en-GB"/>
              </w:rPr>
              <w:t>2016.18</w:t>
            </w:r>
          </w:p>
        </w:tc>
        <w:tc>
          <w:tcPr>
            <w:tcW w:w="2835" w:type="dxa"/>
            <w:hideMark/>
          </w:tcPr>
          <w:p>
            <w:pPr>
              <w:spacing w:before="20" w:after="20"/>
              <w:jc w:val="center"/>
              <w:rPr>
                <w:noProof/>
                <w:color w:val="000000"/>
                <w:sz w:val="22"/>
                <w:lang w:eastAsia="en-GB"/>
              </w:rPr>
            </w:pPr>
            <w:r>
              <w:rPr>
                <w:noProof/>
                <w:color w:val="000000"/>
                <w:sz w:val="22"/>
                <w:lang w:eastAsia="en-GB"/>
              </w:rPr>
              <w:t>Development of an Open Data Service, Support and Training Package in the Area of Linked Open Data, Data Visualisation and Persistent Identification</w:t>
            </w:r>
          </w:p>
        </w:tc>
        <w:tc>
          <w:tcPr>
            <w:tcW w:w="8930" w:type="dxa"/>
            <w:hideMark/>
          </w:tcPr>
          <w:p>
            <w:pPr>
              <w:spacing w:before="20" w:after="20"/>
              <w:rPr>
                <w:noProof/>
                <w:color w:val="000000"/>
                <w:sz w:val="22"/>
                <w:lang w:eastAsia="en-GB"/>
              </w:rPr>
            </w:pPr>
            <w:r>
              <w:rPr>
                <w:noProof/>
                <w:color w:val="000000"/>
                <w:sz w:val="22"/>
                <w:lang w:eastAsia="en-GB"/>
              </w:rPr>
              <w:t>The action contributes to the new EIF, namely the interoperability principles: openness, transparency, reusability, user–centricity and multilingualism. The action contributes to priorities: organisational interoperability (Focus Area 2); sharing of good practices (Focus Area 3); governance structure (Focus Area 1) and key enablers: EU open data initiative (Focus Area 4).</w:t>
            </w:r>
          </w:p>
        </w:tc>
      </w:tr>
      <w:tr>
        <w:trPr>
          <w:trHeight w:val="20"/>
        </w:trPr>
        <w:tc>
          <w:tcPr>
            <w:tcW w:w="1930" w:type="dxa"/>
            <w:hideMark/>
          </w:tcPr>
          <w:p>
            <w:pPr>
              <w:spacing w:before="20" w:after="20"/>
              <w:rPr>
                <w:noProof/>
                <w:color w:val="000000"/>
                <w:sz w:val="22"/>
                <w:lang w:eastAsia="en-GB"/>
              </w:rPr>
            </w:pPr>
            <w:r>
              <w:rPr>
                <w:noProof/>
                <w:color w:val="000000"/>
                <w:sz w:val="22"/>
                <w:lang w:eastAsia="en-GB"/>
              </w:rPr>
              <w:t>4. Geospatial solutions</w:t>
            </w:r>
          </w:p>
        </w:tc>
        <w:tc>
          <w:tcPr>
            <w:tcW w:w="1297" w:type="dxa"/>
            <w:hideMark/>
          </w:tcPr>
          <w:p>
            <w:pPr>
              <w:spacing w:before="20" w:after="20"/>
              <w:jc w:val="center"/>
              <w:rPr>
                <w:noProof/>
                <w:color w:val="000000"/>
                <w:sz w:val="22"/>
                <w:lang w:eastAsia="en-GB"/>
              </w:rPr>
            </w:pPr>
            <w:r>
              <w:rPr>
                <w:noProof/>
                <w:color w:val="000000"/>
                <w:sz w:val="22"/>
                <w:lang w:eastAsia="en-GB"/>
              </w:rPr>
              <w:t>2016.10</w:t>
            </w:r>
          </w:p>
        </w:tc>
        <w:tc>
          <w:tcPr>
            <w:tcW w:w="2835" w:type="dxa"/>
            <w:hideMark/>
          </w:tcPr>
          <w:p>
            <w:pPr>
              <w:spacing w:before="20" w:after="20"/>
              <w:jc w:val="center"/>
              <w:rPr>
                <w:noProof/>
                <w:color w:val="000000"/>
                <w:sz w:val="22"/>
                <w:lang w:eastAsia="en-GB"/>
              </w:rPr>
            </w:pPr>
            <w:r>
              <w:rPr>
                <w:noProof/>
                <w:color w:val="000000"/>
                <w:sz w:val="22"/>
                <w:lang w:eastAsia="en-GB"/>
              </w:rPr>
              <w:t>European Location Interoperability Solutions for e-Government (ELISE)</w:t>
            </w:r>
          </w:p>
        </w:tc>
        <w:tc>
          <w:tcPr>
            <w:tcW w:w="8930" w:type="dxa"/>
            <w:hideMark/>
          </w:tcPr>
          <w:p>
            <w:pPr>
              <w:spacing w:before="20" w:after="20"/>
              <w:rPr>
                <w:noProof/>
                <w:color w:val="000000"/>
                <w:sz w:val="22"/>
                <w:lang w:eastAsia="en-GB"/>
              </w:rPr>
            </w:pPr>
            <w:r>
              <w:rPr>
                <w:noProof/>
                <w:color w:val="000000"/>
                <w:sz w:val="22"/>
                <w:lang w:eastAsia="en-GB"/>
              </w:rPr>
              <w:t>ELISE will deepen the understanding of location interoperability enablers and barriers related to the transition towards digital government. As such, it is intended to provide technical assessments and recommendations for the new EIF and contribute to the implementation of the Interoperability Action Plan, particularly when it comes to Actions 4, 6, 17 &amp; 19.</w:t>
            </w:r>
          </w:p>
        </w:tc>
      </w:tr>
      <w:tr>
        <w:trPr>
          <w:cnfStyle w:val="000000100000" w:firstRow="0" w:lastRow="0" w:firstColumn="0" w:lastColumn="0" w:oddVBand="0" w:evenVBand="0" w:oddHBand="1" w:evenHBand="0" w:firstRowFirstColumn="0" w:firstRowLastColumn="0" w:lastRowFirstColumn="0" w:lastRowLastColumn="0"/>
          <w:trHeight w:val="20"/>
        </w:trPr>
        <w:tc>
          <w:tcPr>
            <w:tcW w:w="1930" w:type="dxa"/>
            <w:hideMark/>
          </w:tcPr>
          <w:p>
            <w:pPr>
              <w:spacing w:before="20" w:after="20"/>
              <w:rPr>
                <w:noProof/>
                <w:color w:val="000000"/>
                <w:sz w:val="22"/>
                <w:lang w:eastAsia="en-GB"/>
              </w:rPr>
            </w:pPr>
            <w:r>
              <w:rPr>
                <w:noProof/>
                <w:color w:val="000000"/>
                <w:sz w:val="22"/>
                <w:lang w:eastAsia="en-GB"/>
              </w:rPr>
              <w:t>6. Decision making and legislation - Supporting instruments</w:t>
            </w:r>
          </w:p>
        </w:tc>
        <w:tc>
          <w:tcPr>
            <w:tcW w:w="1297" w:type="dxa"/>
            <w:hideMark/>
          </w:tcPr>
          <w:p>
            <w:pPr>
              <w:spacing w:before="20" w:after="20"/>
              <w:jc w:val="center"/>
              <w:rPr>
                <w:noProof/>
                <w:color w:val="000000"/>
                <w:sz w:val="22"/>
                <w:lang w:eastAsia="en-GB"/>
              </w:rPr>
            </w:pPr>
            <w:r>
              <w:rPr>
                <w:noProof/>
                <w:color w:val="000000"/>
                <w:sz w:val="22"/>
                <w:lang w:eastAsia="en-GB"/>
              </w:rPr>
              <w:t>2016.23</w:t>
            </w:r>
          </w:p>
        </w:tc>
        <w:tc>
          <w:tcPr>
            <w:tcW w:w="2835" w:type="dxa"/>
            <w:hideMark/>
          </w:tcPr>
          <w:p>
            <w:pPr>
              <w:spacing w:before="20" w:after="20"/>
              <w:jc w:val="center"/>
              <w:rPr>
                <w:noProof/>
                <w:color w:val="000000"/>
                <w:sz w:val="22"/>
                <w:lang w:eastAsia="en-GB"/>
              </w:rPr>
            </w:pPr>
            <w:r>
              <w:rPr>
                <w:noProof/>
                <w:color w:val="000000"/>
                <w:sz w:val="22"/>
                <w:lang w:eastAsia="en-GB"/>
              </w:rPr>
              <w:t>Legal interoperability (former ICT Implications of EU Legislation)</w:t>
            </w:r>
          </w:p>
        </w:tc>
        <w:tc>
          <w:tcPr>
            <w:tcW w:w="8930" w:type="dxa"/>
            <w:hideMark/>
          </w:tcPr>
          <w:p>
            <w:pPr>
              <w:spacing w:before="20" w:after="20"/>
              <w:rPr>
                <w:noProof/>
                <w:color w:val="000000"/>
                <w:sz w:val="22"/>
                <w:lang w:eastAsia="en-GB"/>
              </w:rPr>
            </w:pPr>
            <w:r>
              <w:rPr>
                <w:noProof/>
                <w:color w:val="000000"/>
                <w:sz w:val="22"/>
                <w:lang w:eastAsia="en-GB"/>
              </w:rPr>
              <w:t>The action contributes to all EU policies, as it is about ensuring that EU legislation, no matter what the policy area, takes into account interoperability, ICT aspects and related impacts.</w:t>
            </w:r>
            <w:r>
              <w:rPr>
                <w:noProof/>
                <w:color w:val="000000"/>
                <w:sz w:val="22"/>
                <w:lang w:eastAsia="en-GB"/>
              </w:rPr>
              <w:br/>
              <w:t>The action implements Recommendation 27 on legal interoperability of the new EIF and the interoperability Action Plan action 3 of Focus Area 1 and actions 19 and 20 of Focus Area 5.</w:t>
            </w:r>
          </w:p>
        </w:tc>
      </w:tr>
      <w:tr>
        <w:trPr>
          <w:trHeight w:val="20"/>
        </w:trPr>
        <w:tc>
          <w:tcPr>
            <w:tcW w:w="1930" w:type="dxa"/>
            <w:hideMark/>
          </w:tcPr>
          <w:p>
            <w:pPr>
              <w:spacing w:before="20" w:after="20"/>
              <w:rPr>
                <w:noProof/>
                <w:color w:val="000000"/>
                <w:sz w:val="22"/>
                <w:lang w:eastAsia="en-GB"/>
              </w:rPr>
            </w:pPr>
            <w:r>
              <w:rPr>
                <w:noProof/>
                <w:color w:val="000000"/>
                <w:sz w:val="22"/>
                <w:lang w:eastAsia="en-GB"/>
              </w:rPr>
              <w:t>6. Decision making and legislation - Supporting instruments</w:t>
            </w:r>
          </w:p>
          <w:p>
            <w:pPr>
              <w:spacing w:before="20" w:after="20"/>
              <w:rPr>
                <w:noProof/>
                <w:color w:val="000000"/>
                <w:sz w:val="22"/>
                <w:lang w:eastAsia="en-GB"/>
              </w:rPr>
            </w:pPr>
          </w:p>
        </w:tc>
        <w:tc>
          <w:tcPr>
            <w:tcW w:w="1297" w:type="dxa"/>
            <w:hideMark/>
          </w:tcPr>
          <w:p>
            <w:pPr>
              <w:spacing w:before="20" w:after="20"/>
              <w:jc w:val="center"/>
              <w:rPr>
                <w:noProof/>
                <w:color w:val="000000"/>
                <w:sz w:val="22"/>
                <w:lang w:eastAsia="en-GB"/>
              </w:rPr>
            </w:pPr>
            <w:r>
              <w:rPr>
                <w:noProof/>
                <w:color w:val="000000"/>
                <w:sz w:val="22"/>
                <w:lang w:eastAsia="en-GB"/>
              </w:rPr>
              <w:t>2017.04</w:t>
            </w:r>
          </w:p>
        </w:tc>
        <w:tc>
          <w:tcPr>
            <w:tcW w:w="2835" w:type="dxa"/>
            <w:hideMark/>
          </w:tcPr>
          <w:p>
            <w:pPr>
              <w:spacing w:before="20" w:after="20"/>
              <w:jc w:val="center"/>
              <w:rPr>
                <w:noProof/>
                <w:color w:val="000000"/>
                <w:sz w:val="22"/>
                <w:lang w:eastAsia="en-GB"/>
              </w:rPr>
            </w:pPr>
            <w:hyperlink r:id="rId293" w:history="1">
              <w:r>
                <w:rPr>
                  <w:noProof/>
                  <w:color w:val="000000"/>
                  <w:sz w:val="22"/>
                  <w:lang w:eastAsia="en-GB"/>
                </w:rPr>
                <w:t>Inter-Institutional Register of Delegated Acts (RegDel)</w:t>
              </w:r>
            </w:hyperlink>
          </w:p>
        </w:tc>
        <w:tc>
          <w:tcPr>
            <w:tcW w:w="8930" w:type="dxa"/>
            <w:hideMark/>
          </w:tcPr>
          <w:p>
            <w:pPr>
              <w:spacing w:before="20" w:after="20"/>
              <w:rPr>
                <w:noProof/>
                <w:color w:val="000000"/>
                <w:sz w:val="22"/>
                <w:lang w:eastAsia="en-GB"/>
              </w:rPr>
            </w:pPr>
            <w:r>
              <w:rPr>
                <w:noProof/>
                <w:color w:val="000000"/>
                <w:sz w:val="22"/>
                <w:lang w:eastAsia="en-GB"/>
              </w:rPr>
              <w:t>This action contributes primarily to the transparency principle of the EIF and to Recommendation 5 of the new EIF by providing a transparent overview of delegated acts.</w:t>
            </w:r>
          </w:p>
        </w:tc>
      </w:tr>
      <w:tr>
        <w:trPr>
          <w:cnfStyle w:val="000000100000" w:firstRow="0" w:lastRow="0" w:firstColumn="0" w:lastColumn="0" w:oddVBand="0" w:evenVBand="0" w:oddHBand="1" w:evenHBand="0" w:firstRowFirstColumn="0" w:firstRowLastColumn="0" w:lastRowFirstColumn="0" w:lastRowLastColumn="0"/>
          <w:trHeight w:val="20"/>
        </w:trPr>
        <w:tc>
          <w:tcPr>
            <w:tcW w:w="1930" w:type="dxa"/>
            <w:hideMark/>
          </w:tcPr>
          <w:p>
            <w:pPr>
              <w:spacing w:before="20" w:after="20"/>
              <w:rPr>
                <w:noProof/>
                <w:color w:val="000000"/>
                <w:sz w:val="22"/>
                <w:lang w:eastAsia="en-GB"/>
              </w:rPr>
            </w:pPr>
            <w:r>
              <w:rPr>
                <w:noProof/>
                <w:color w:val="000000"/>
                <w:sz w:val="22"/>
                <w:lang w:eastAsia="en-GB"/>
              </w:rPr>
              <w:t>8. Supporting instruments for public administrations</w:t>
            </w:r>
          </w:p>
        </w:tc>
        <w:tc>
          <w:tcPr>
            <w:tcW w:w="1297" w:type="dxa"/>
            <w:hideMark/>
          </w:tcPr>
          <w:p>
            <w:pPr>
              <w:spacing w:before="20" w:after="20"/>
              <w:jc w:val="center"/>
              <w:rPr>
                <w:noProof/>
                <w:color w:val="000000"/>
                <w:sz w:val="22"/>
                <w:lang w:eastAsia="en-GB"/>
              </w:rPr>
            </w:pPr>
            <w:r>
              <w:rPr>
                <w:noProof/>
                <w:color w:val="000000"/>
                <w:sz w:val="22"/>
                <w:lang w:eastAsia="en-GB"/>
              </w:rPr>
              <w:t>2016.20</w:t>
            </w:r>
          </w:p>
        </w:tc>
        <w:tc>
          <w:tcPr>
            <w:tcW w:w="2835" w:type="dxa"/>
            <w:hideMark/>
          </w:tcPr>
          <w:p>
            <w:pPr>
              <w:spacing w:before="20" w:after="20"/>
              <w:jc w:val="center"/>
              <w:rPr>
                <w:noProof/>
                <w:color w:val="000000"/>
                <w:sz w:val="22"/>
                <w:lang w:eastAsia="en-GB"/>
              </w:rPr>
            </w:pPr>
            <w:hyperlink r:id="rId294" w:history="1">
              <w:r>
                <w:rPr>
                  <w:noProof/>
                  <w:color w:val="000000"/>
                  <w:sz w:val="22"/>
                  <w:lang w:eastAsia="en-GB"/>
                </w:rPr>
                <w:t>Joinup – European Collaborative Platform and Catalogue</w:t>
              </w:r>
            </w:hyperlink>
          </w:p>
        </w:tc>
        <w:tc>
          <w:tcPr>
            <w:tcW w:w="8930" w:type="dxa"/>
            <w:hideMark/>
          </w:tcPr>
          <w:p>
            <w:pPr>
              <w:spacing w:before="20" w:after="20"/>
              <w:rPr>
                <w:noProof/>
                <w:color w:val="000000"/>
                <w:sz w:val="22"/>
                <w:lang w:eastAsia="en-GB"/>
              </w:rPr>
            </w:pPr>
            <w:r>
              <w:rPr>
                <w:noProof/>
                <w:color w:val="000000"/>
                <w:sz w:val="22"/>
                <w:lang w:eastAsia="en-GB"/>
              </w:rPr>
              <w:t>The action facilitates the sharing and reuse of solutions for public administrations and provides the stakeholders with the means to collaborate via a collaborative platform, thus contributing to the reusability principle of the EIF.</w:t>
            </w:r>
          </w:p>
        </w:tc>
      </w:tr>
      <w:tr>
        <w:trPr>
          <w:trHeight w:val="20"/>
        </w:trPr>
        <w:tc>
          <w:tcPr>
            <w:tcW w:w="1930" w:type="dxa"/>
            <w:hideMark/>
          </w:tcPr>
          <w:p>
            <w:pPr>
              <w:spacing w:before="20" w:after="20"/>
              <w:rPr>
                <w:noProof/>
                <w:color w:val="000000"/>
                <w:sz w:val="22"/>
                <w:lang w:eastAsia="en-GB"/>
              </w:rPr>
            </w:pPr>
            <w:r>
              <w:rPr>
                <w:noProof/>
                <w:color w:val="000000"/>
                <w:sz w:val="22"/>
                <w:lang w:eastAsia="en-GB"/>
              </w:rPr>
              <w:t>8. Supporting instruments for public administrations</w:t>
            </w:r>
          </w:p>
        </w:tc>
        <w:tc>
          <w:tcPr>
            <w:tcW w:w="1297" w:type="dxa"/>
            <w:hideMark/>
          </w:tcPr>
          <w:p>
            <w:pPr>
              <w:spacing w:before="20" w:after="20"/>
              <w:jc w:val="center"/>
              <w:rPr>
                <w:noProof/>
                <w:color w:val="000000"/>
                <w:sz w:val="22"/>
                <w:lang w:eastAsia="en-GB"/>
              </w:rPr>
            </w:pPr>
            <w:r>
              <w:rPr>
                <w:noProof/>
                <w:color w:val="000000"/>
                <w:sz w:val="22"/>
                <w:lang w:eastAsia="en-GB"/>
              </w:rPr>
              <w:t>2016.21</w:t>
            </w:r>
          </w:p>
        </w:tc>
        <w:tc>
          <w:tcPr>
            <w:tcW w:w="2835" w:type="dxa"/>
            <w:hideMark/>
          </w:tcPr>
          <w:p>
            <w:pPr>
              <w:spacing w:before="20" w:after="20"/>
              <w:jc w:val="center"/>
              <w:rPr>
                <w:noProof/>
                <w:color w:val="000000"/>
                <w:sz w:val="22"/>
                <w:lang w:eastAsia="en-GB"/>
              </w:rPr>
            </w:pPr>
            <w:r>
              <w:rPr>
                <w:noProof/>
                <w:color w:val="000000"/>
                <w:sz w:val="22"/>
                <w:lang w:eastAsia="en-GB"/>
              </w:rPr>
              <w:t>National Interoperability Framework Observatory</w:t>
            </w:r>
          </w:p>
        </w:tc>
        <w:tc>
          <w:tcPr>
            <w:tcW w:w="8930" w:type="dxa"/>
            <w:hideMark/>
          </w:tcPr>
          <w:p>
            <w:pPr>
              <w:spacing w:before="20" w:after="20"/>
              <w:rPr>
                <w:noProof/>
                <w:color w:val="000000"/>
                <w:sz w:val="22"/>
                <w:lang w:eastAsia="en-GB"/>
              </w:rPr>
            </w:pPr>
            <w:r>
              <w:rPr>
                <w:noProof/>
                <w:color w:val="000000"/>
                <w:sz w:val="22"/>
                <w:lang w:eastAsia="en-GB"/>
              </w:rPr>
              <w:t>This action will fulfil Objectives 4 and 5 of the Action Plan for interoperability. The observatory will monitor the implementation of the EIF Recommendations by Member States and the achievement of the roadmap of actions proposed in the EIF-IS and AP. It will also provide ad hoc and support training to Member States' public administrations to ensure EIF implementation across all levels of their national administrations.</w:t>
            </w:r>
          </w:p>
        </w:tc>
      </w:tr>
      <w:tr>
        <w:trPr>
          <w:cnfStyle w:val="000000100000" w:firstRow="0" w:lastRow="0" w:firstColumn="0" w:lastColumn="0" w:oddVBand="0" w:evenVBand="0" w:oddHBand="1" w:evenHBand="0" w:firstRowFirstColumn="0" w:firstRowLastColumn="0" w:lastRowFirstColumn="0" w:lastRowLastColumn="0"/>
          <w:trHeight w:val="20"/>
        </w:trPr>
        <w:tc>
          <w:tcPr>
            <w:tcW w:w="1930" w:type="dxa"/>
            <w:hideMark/>
          </w:tcPr>
          <w:p>
            <w:pPr>
              <w:spacing w:before="20" w:after="20"/>
              <w:rPr>
                <w:noProof/>
                <w:color w:val="000000"/>
                <w:sz w:val="22"/>
                <w:lang w:eastAsia="en-GB"/>
              </w:rPr>
            </w:pPr>
            <w:r>
              <w:rPr>
                <w:noProof/>
                <w:color w:val="000000"/>
                <w:sz w:val="22"/>
                <w:lang w:eastAsia="en-GB"/>
              </w:rPr>
              <w:t>8. Supporting instruments for public administrations</w:t>
            </w:r>
          </w:p>
        </w:tc>
        <w:tc>
          <w:tcPr>
            <w:tcW w:w="1297" w:type="dxa"/>
            <w:hideMark/>
          </w:tcPr>
          <w:p>
            <w:pPr>
              <w:spacing w:before="20" w:after="20"/>
              <w:jc w:val="center"/>
              <w:rPr>
                <w:noProof/>
                <w:color w:val="000000"/>
                <w:sz w:val="22"/>
                <w:lang w:eastAsia="en-GB"/>
              </w:rPr>
            </w:pPr>
            <w:r>
              <w:rPr>
                <w:noProof/>
                <w:color w:val="000000"/>
                <w:sz w:val="22"/>
                <w:lang w:eastAsia="en-GB"/>
              </w:rPr>
              <w:t>2016.35</w:t>
            </w:r>
          </w:p>
        </w:tc>
        <w:tc>
          <w:tcPr>
            <w:tcW w:w="2835" w:type="dxa"/>
            <w:hideMark/>
          </w:tcPr>
          <w:p>
            <w:pPr>
              <w:spacing w:before="20" w:after="20"/>
              <w:jc w:val="center"/>
              <w:rPr>
                <w:noProof/>
                <w:color w:val="000000"/>
                <w:sz w:val="22"/>
                <w:lang w:eastAsia="en-GB"/>
              </w:rPr>
            </w:pPr>
            <w:r>
              <w:rPr>
                <w:noProof/>
                <w:color w:val="000000"/>
                <w:sz w:val="22"/>
                <w:lang w:eastAsia="en-GB"/>
              </w:rPr>
              <w:t>EUSurvey</w:t>
            </w:r>
          </w:p>
        </w:tc>
        <w:tc>
          <w:tcPr>
            <w:tcW w:w="8930" w:type="dxa"/>
            <w:hideMark/>
          </w:tcPr>
          <w:p>
            <w:pPr>
              <w:spacing w:before="20" w:after="20"/>
              <w:rPr>
                <w:noProof/>
                <w:color w:val="000000"/>
                <w:sz w:val="22"/>
                <w:lang w:eastAsia="en-GB"/>
              </w:rPr>
            </w:pPr>
            <w:r>
              <w:rPr>
                <w:noProof/>
                <w:color w:val="000000"/>
                <w:sz w:val="22"/>
                <w:lang w:eastAsia="en-GB"/>
              </w:rPr>
              <w:t>EUSurvey contributes primarily to the multilingualism principle of the EIF.</w:t>
            </w:r>
          </w:p>
        </w:tc>
      </w:tr>
      <w:tr>
        <w:trPr>
          <w:trHeight w:val="20"/>
        </w:trPr>
        <w:tc>
          <w:tcPr>
            <w:tcW w:w="1930" w:type="dxa"/>
            <w:hideMark/>
          </w:tcPr>
          <w:p>
            <w:pPr>
              <w:spacing w:before="20" w:after="20"/>
              <w:rPr>
                <w:noProof/>
                <w:color w:val="000000"/>
                <w:sz w:val="22"/>
                <w:lang w:eastAsia="en-GB"/>
              </w:rPr>
            </w:pPr>
            <w:r>
              <w:rPr>
                <w:noProof/>
                <w:color w:val="000000"/>
                <w:sz w:val="22"/>
                <w:lang w:eastAsia="en-GB"/>
              </w:rPr>
              <w:t>8. Supporting instruments for public administrations</w:t>
            </w:r>
          </w:p>
        </w:tc>
        <w:tc>
          <w:tcPr>
            <w:tcW w:w="1297" w:type="dxa"/>
            <w:hideMark/>
          </w:tcPr>
          <w:p>
            <w:pPr>
              <w:spacing w:before="20" w:after="20"/>
              <w:jc w:val="center"/>
              <w:rPr>
                <w:noProof/>
                <w:color w:val="000000"/>
                <w:sz w:val="22"/>
                <w:lang w:eastAsia="en-GB"/>
              </w:rPr>
            </w:pPr>
            <w:r>
              <w:rPr>
                <w:noProof/>
                <w:color w:val="000000"/>
                <w:sz w:val="22"/>
                <w:lang w:eastAsia="en-GB"/>
              </w:rPr>
              <w:t>2017.01</w:t>
            </w:r>
          </w:p>
        </w:tc>
        <w:tc>
          <w:tcPr>
            <w:tcW w:w="2835" w:type="dxa"/>
            <w:hideMark/>
          </w:tcPr>
          <w:p>
            <w:pPr>
              <w:spacing w:before="20" w:after="20"/>
              <w:jc w:val="center"/>
              <w:rPr>
                <w:noProof/>
                <w:color w:val="000000"/>
                <w:sz w:val="22"/>
                <w:lang w:eastAsia="en-GB"/>
              </w:rPr>
            </w:pPr>
            <w:r>
              <w:rPr>
                <w:noProof/>
                <w:color w:val="000000"/>
                <w:sz w:val="22"/>
                <w:lang w:eastAsia="en-GB"/>
              </w:rPr>
              <w:t>Standard-Based Archival Data Management, Exchange and Publication</w:t>
            </w:r>
          </w:p>
        </w:tc>
        <w:tc>
          <w:tcPr>
            <w:tcW w:w="8930" w:type="dxa"/>
            <w:hideMark/>
          </w:tcPr>
          <w:p>
            <w:pPr>
              <w:spacing w:before="20" w:after="20"/>
              <w:rPr>
                <w:noProof/>
                <w:color w:val="000000"/>
                <w:sz w:val="22"/>
                <w:lang w:eastAsia="en-GB"/>
              </w:rPr>
            </w:pPr>
            <w:r>
              <w:rPr>
                <w:noProof/>
                <w:color w:val="000000"/>
                <w:sz w:val="22"/>
                <w:lang w:eastAsia="en-GB"/>
              </w:rPr>
              <w:t>The action follows the line of the second pillar of EIF (Core interoperability principles: Openness, Transparency, Reusability, Technological neutrality and data portability) and of the fourth pillar of EIF (Foundation principles for cooperation amongst public administrations: Preservation of information, Effectiveness and Efficiency) by proposing the creation of a standard-based approach for facilitating the preservation and the exchange of archival information of the public administrations in an open, transparent and reusable way. It also aims at creating a set of recommendations for the publication of archival information as open data mainly for the usage of citizens, focusing thus on the principles of the third pillar of EIF (Principles related to generic user needs and expectation: User-centricity, Inclusion and accessibility, Multilingualism).</w:t>
            </w:r>
          </w:p>
        </w:tc>
      </w:tr>
      <w:tr>
        <w:trPr>
          <w:cnfStyle w:val="000000100000" w:firstRow="0" w:lastRow="0" w:firstColumn="0" w:lastColumn="0" w:oddVBand="0" w:evenVBand="0" w:oddHBand="1" w:evenHBand="0" w:firstRowFirstColumn="0" w:firstRowLastColumn="0" w:lastRowFirstColumn="0" w:lastRowLastColumn="0"/>
          <w:trHeight w:val="20"/>
        </w:trPr>
        <w:tc>
          <w:tcPr>
            <w:tcW w:w="1930" w:type="dxa"/>
          </w:tcPr>
          <w:p>
            <w:pPr>
              <w:spacing w:before="20" w:after="20"/>
              <w:rPr>
                <w:noProof/>
                <w:color w:val="000000"/>
                <w:sz w:val="22"/>
                <w:lang w:eastAsia="en-GB"/>
              </w:rPr>
            </w:pPr>
            <w:r>
              <w:rPr>
                <w:noProof/>
                <w:sz w:val="22"/>
              </w:rPr>
              <w:t>9. Accompanying measures</w:t>
            </w:r>
          </w:p>
        </w:tc>
        <w:tc>
          <w:tcPr>
            <w:tcW w:w="1297" w:type="dxa"/>
          </w:tcPr>
          <w:p>
            <w:pPr>
              <w:spacing w:before="20" w:after="20"/>
              <w:jc w:val="center"/>
              <w:rPr>
                <w:noProof/>
                <w:color w:val="000000"/>
                <w:sz w:val="22"/>
                <w:lang w:eastAsia="en-GB"/>
              </w:rPr>
            </w:pPr>
            <w:r>
              <w:rPr>
                <w:noProof/>
                <w:sz w:val="22"/>
              </w:rPr>
              <w:t>2016.30</w:t>
            </w:r>
          </w:p>
        </w:tc>
        <w:tc>
          <w:tcPr>
            <w:tcW w:w="2835" w:type="dxa"/>
          </w:tcPr>
          <w:p>
            <w:pPr>
              <w:spacing w:before="20" w:after="20"/>
              <w:jc w:val="center"/>
              <w:rPr>
                <w:noProof/>
                <w:color w:val="000000"/>
                <w:sz w:val="22"/>
                <w:lang w:eastAsia="en-GB"/>
              </w:rPr>
            </w:pPr>
            <w:r>
              <w:rPr>
                <w:noProof/>
                <w:color w:val="000000"/>
                <w:sz w:val="22"/>
                <w:lang w:eastAsia="en-GB"/>
              </w:rPr>
              <w:t>Raising Interoperability Awareness – Communication Activities</w:t>
            </w:r>
          </w:p>
        </w:tc>
        <w:tc>
          <w:tcPr>
            <w:tcW w:w="8930" w:type="dxa"/>
          </w:tcPr>
          <w:p>
            <w:pPr>
              <w:spacing w:before="20" w:after="20"/>
              <w:rPr>
                <w:noProof/>
                <w:color w:val="000000"/>
                <w:sz w:val="22"/>
                <w:lang w:eastAsia="en-GB"/>
              </w:rPr>
            </w:pPr>
            <w:r>
              <w:rPr>
                <w:noProof/>
                <w:color w:val="000000"/>
                <w:sz w:val="22"/>
                <w:lang w:eastAsia="en-GB"/>
              </w:rPr>
              <w:t>This action contributes to the principles of inclusion, accessibility and transparency by disseminating information about interoperability and the work of ISA</w:t>
            </w:r>
            <w:r>
              <w:rPr>
                <w:noProof/>
                <w:color w:val="000000"/>
                <w:sz w:val="22"/>
                <w:vertAlign w:val="superscript"/>
                <w:lang w:eastAsia="en-GB"/>
              </w:rPr>
              <w:t>2</w:t>
            </w:r>
            <w:r>
              <w:rPr>
                <w:noProof/>
                <w:color w:val="000000"/>
                <w:sz w:val="22"/>
                <w:lang w:eastAsia="en-GB"/>
              </w:rPr>
              <w:t>.</w:t>
            </w:r>
          </w:p>
        </w:tc>
      </w:tr>
    </w:tbl>
    <w:p>
      <w:pPr>
        <w:rPr>
          <w:rStyle w:val="Strong"/>
          <w:rFonts w:cs="Times New Roman"/>
          <w:noProof/>
        </w:rPr>
      </w:pPr>
      <w:r>
        <w:rPr>
          <w:rFonts w:cs="Times New Roman"/>
          <w:i/>
          <w:noProof/>
          <w:sz w:val="20"/>
          <w:szCs w:val="20"/>
        </w:rPr>
        <w:t xml:space="preserve">Source: </w:t>
      </w:r>
      <w:hyperlink r:id="rId295" w:history="1">
        <w:r>
          <w:rPr>
            <w:rStyle w:val="Hyperlink"/>
            <w:rFonts w:cs="Times New Roman"/>
            <w:i/>
            <w:noProof/>
            <w:sz w:val="20"/>
            <w:lang w:val="en-GB"/>
          </w:rPr>
          <w:t>CEPS final study</w:t>
        </w:r>
      </w:hyperlink>
    </w:p>
    <w:sectPr>
      <w:headerReference w:type="even" r:id="rId296"/>
      <w:headerReference w:type="default" r:id="rId297"/>
      <w:footerReference w:type="even" r:id="rId298"/>
      <w:footerReference w:type="default" r:id="rId299"/>
      <w:headerReference w:type="first" r:id="rId300"/>
      <w:footerReference w:type="first" r:id="rId301"/>
      <w:pgSz w:w="16838" w:h="11906" w:orient="landscape"/>
      <w:pgMar w:top="1587" w:right="1020" w:bottom="1701" w:left="1020"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Vrinda"/>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HGPMinchoE">
    <w:charset w:val="80"/>
    <w:family w:val="roma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Rotis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eiryo UI">
    <w:panose1 w:val="020B0604030504040204"/>
    <w:charset w:val="80"/>
    <w:family w:val="swiss"/>
    <w:pitch w:val="variable"/>
    <w:sig w:usb0="E10102FF" w:usb1="EAC7FFFF" w:usb2="00010012" w:usb3="00000000" w:csb0="0002009F" w:csb1="00000000"/>
  </w:font>
  <w:font w:name="ArialMT">
    <w:altName w:val="Arial"/>
    <w:charset w:val="8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OpenSymbol">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Kino MT">
    <w:charset w:val="4D"/>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HGSMinchoB">
    <w:altName w:val="Arial Unicode MS"/>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326815"/>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5</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190830799"/>
      <w:docPartObj>
        <w:docPartGallery w:val="Page Numbers (Bottom of Page)"/>
        <w:docPartUnique/>
      </w:docPartObj>
    </w:sdtPr>
    <w:sdtContent>
      <w:p>
        <w:pPr>
          <w:pStyle w:val="Footer"/>
          <w:jc w:val="center"/>
          <w:rPr>
            <w:sz w:val="22"/>
          </w:rPr>
        </w:pPr>
        <w:r>
          <w:rPr>
            <w:sz w:val="22"/>
          </w:rPr>
          <w:fldChar w:fldCharType="begin"/>
        </w:r>
        <w:r>
          <w:rPr>
            <w:sz w:val="22"/>
          </w:rPr>
          <w:instrText xml:space="preserve"> PAGE   \* MERGEFORMAT </w:instrText>
        </w:r>
        <w:r>
          <w:rPr>
            <w:sz w:val="22"/>
          </w:rPr>
          <w:fldChar w:fldCharType="separate"/>
        </w:r>
        <w:r>
          <w:rPr>
            <w:noProof/>
            <w:sz w:val="22"/>
          </w:rPr>
          <w:t>10</w:t>
        </w:r>
        <w:r>
          <w:rPr>
            <w:sz w:val="22"/>
          </w:rPr>
          <w:fldChar w:fldCharType="end"/>
        </w:r>
      </w:p>
    </w:sdtContent>
  </w:sdt>
  <w:p>
    <w:pPr>
      <w:pStyle w:val="Footer"/>
      <w:rPr>
        <w:sz w:val="2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 w:val="22"/>
      </w:rPr>
    </w:pPr>
    <w:r>
      <w:rPr>
        <w:sz w:val="22"/>
      </w:rPr>
      <w:fldChar w:fldCharType="begin"/>
    </w:r>
    <w:r>
      <w:rPr>
        <w:sz w:val="22"/>
      </w:rPr>
      <w:instrText>PAGE</w:instrText>
    </w:r>
    <w:r>
      <w:rPr>
        <w:sz w:val="22"/>
      </w:rPr>
      <w:fldChar w:fldCharType="separate"/>
    </w:r>
    <w:r>
      <w:rPr>
        <w:noProof/>
        <w:sz w:val="22"/>
      </w:rPr>
      <w:t>21</w:t>
    </w:r>
    <w:r>
      <w:rPr>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630341"/>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11</w:t>
        </w:r>
        <w: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78</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753019"/>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75</w:t>
        </w:r>
        <w: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81</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0270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91</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22991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107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3944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120</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8401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111</w:t>
        </w:r>
        <w:r>
          <w:rPr>
            <w:noProof/>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128</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03498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121</w:t>
        </w:r>
        <w:r>
          <w:rPr>
            <w:noProof/>
          </w:rPr>
          <w:fldChar w:fldCharType="end"/>
        </w:r>
      </w:p>
    </w:sdtContent>
  </w:sdt>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145</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399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134</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37302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130</w:t>
        </w:r>
        <w:r>
          <w:rPr>
            <w:noProof/>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146</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01318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135</w:t>
        </w:r>
        <w:r>
          <w:rPr>
            <w:noProof/>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149</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65269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156</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4781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150</w:t>
        </w:r>
        <w:r>
          <w:rPr>
            <w:noProof/>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noProof/>
      </w:rPr>
    </w:pPr>
    <w:r>
      <w:rPr>
        <w:noProof/>
      </w:rPr>
      <w:fldChar w:fldCharType="begin"/>
    </w:r>
    <w:r>
      <w:rPr>
        <w:noProof/>
      </w:rPr>
      <w:instrText>PAGE</w:instrText>
    </w:r>
    <w:r>
      <w:rPr>
        <w:noProof/>
      </w:rPr>
      <w:fldChar w:fldCharType="separate"/>
    </w:r>
    <w:r>
      <w:rPr>
        <w:noProof/>
      </w:rPr>
      <w:t>161</w: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1765221625"/>
      <w:docPartObj>
        <w:docPartGallery w:val="Page Numbers (Bottom of Page)"/>
        <w:docPartUnique/>
      </w:docPartObj>
    </w:sdtPr>
    <w:sdtContent>
      <w:p>
        <w:pPr>
          <w:pStyle w:val="Footer"/>
          <w:jc w:val="center"/>
          <w:rPr>
            <w:noProof/>
          </w:rPr>
        </w:pPr>
        <w:r>
          <w:rPr>
            <w:noProof/>
          </w:rPr>
          <w:fldChar w:fldCharType="begin"/>
        </w:r>
        <w:r>
          <w:rPr>
            <w:noProof/>
          </w:rPr>
          <w:instrText xml:space="preserve"> PAGE   \* MERGEFORMAT </w:instrText>
        </w:r>
        <w:r>
          <w:rPr>
            <w:noProof/>
          </w:rPr>
          <w:fldChar w:fldCharType="separate"/>
        </w:r>
        <w:r>
          <w:rPr>
            <w:noProof/>
          </w:rPr>
          <w:t>157</w:t>
        </w:r>
        <w:r>
          <w:rPr>
            <w:noProof/>
          </w:rPr>
          <w:fldChar w:fldCharType="end"/>
        </w:r>
      </w:p>
    </w:sdtContent>
  </w:sdt>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163</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5273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34356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142781"/>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ab/>
        <w:t>Decision (EU) 2015/2240 of the European Parliament and of the Council of 25 November 2015 establishing a programme on interoperability solutions and common frameworks for European public administrations, businesses and citizens (ISA</w:t>
      </w:r>
      <w:r>
        <w:rPr>
          <w:vertAlign w:val="superscript"/>
        </w:rPr>
        <w:t>2</w:t>
      </w:r>
      <w:r>
        <w:t xml:space="preserve"> programme) as a means for modernising the public sector, Brussels 4.12.2015.</w:t>
      </w:r>
    </w:p>
  </w:footnote>
  <w:footnote w:id="3">
    <w:p>
      <w:pPr>
        <w:pStyle w:val="FootnoteText"/>
      </w:pPr>
      <w:r>
        <w:rPr>
          <w:rStyle w:val="FootnoteReference"/>
        </w:rPr>
        <w:footnoteRef/>
      </w:r>
      <w:r>
        <w:tab/>
        <w:t>Recital (21) of the ISA</w:t>
      </w:r>
      <w:r>
        <w:rPr>
          <w:vertAlign w:val="superscript"/>
        </w:rPr>
        <w:t>2</w:t>
      </w:r>
      <w:r>
        <w:t xml:space="preserve"> Decision (see footnote </w:t>
      </w:r>
      <w:r>
        <w:fldChar w:fldCharType="begin"/>
      </w:r>
      <w:r>
        <w:instrText xml:space="preserve"> NOTEREF _Ref9250987 \h  \* MERGEFORMAT </w:instrText>
      </w:r>
      <w:r>
        <w:fldChar w:fldCharType="separate"/>
      </w:r>
      <w:r>
        <w:t>1</w:t>
      </w:r>
      <w:r>
        <w:fldChar w:fldCharType="end"/>
      </w:r>
      <w:r>
        <w:t>).</w:t>
      </w:r>
    </w:p>
  </w:footnote>
  <w:footnote w:id="4">
    <w:p>
      <w:pPr>
        <w:pStyle w:val="FootnoteText"/>
      </w:pPr>
      <w:r>
        <w:rPr>
          <w:rStyle w:val="FootnoteReference"/>
        </w:rPr>
        <w:footnoteRef/>
      </w:r>
      <w:r>
        <w:tab/>
        <w:t xml:space="preserve">Communication from the Commission to the European Parliament, the Council, the European Economic and Social Committee and the Committee of the Regions, </w:t>
      </w:r>
      <w:r>
        <w:rPr>
          <w:i/>
        </w:rPr>
        <w:t>European Interoperability Framework — Implementation Strategy</w:t>
      </w:r>
      <w:r>
        <w:t>, Brussels, 23.3.2017, COM(2017) 134 final.</w:t>
      </w:r>
    </w:p>
  </w:footnote>
  <w:footnote w:id="5">
    <w:p>
      <w:pPr>
        <w:pStyle w:val="FootnoteText"/>
      </w:pPr>
      <w:r>
        <w:rPr>
          <w:rStyle w:val="FootnoteReference"/>
        </w:rPr>
        <w:footnoteRef/>
      </w:r>
      <w:r>
        <w:tab/>
        <w:t xml:space="preserve">Communication from the Commission to the European Parliament, the Council, the European Economic and Social Committee and the Committee of the Regions, </w:t>
      </w:r>
      <w:r>
        <w:rPr>
          <w:i/>
        </w:rPr>
        <w:t>A Digital Single Market Strategy for Europe, Brussels</w:t>
      </w:r>
      <w:r>
        <w:t>, 6.5.2015, COM(2015) 192 final.</w:t>
      </w:r>
    </w:p>
  </w:footnote>
  <w:footnote w:id="6">
    <w:p>
      <w:pPr>
        <w:pStyle w:val="FootnoteText"/>
      </w:pPr>
      <w:r>
        <w:rPr>
          <w:rStyle w:val="FootnoteReference"/>
        </w:rPr>
        <w:footnoteRef/>
      </w:r>
      <w:r>
        <w:tab/>
        <w:t xml:space="preserve">Communication from the Commission to the European Parliament, the Council, the European Economic and Social Committee and the Committee of the Regions EU, </w:t>
      </w:r>
      <w:r>
        <w:rPr>
          <w:i/>
        </w:rPr>
        <w:t>eGovernment Action Plan 2016-2020. Accelerating the digital transformation of government</w:t>
      </w:r>
      <w:r>
        <w:t>, COM/2016/0179 final, p. 3.</w:t>
      </w:r>
    </w:p>
  </w:footnote>
  <w:footnote w:id="7">
    <w:p>
      <w:pPr>
        <w:pStyle w:val="FootnoteText"/>
      </w:pPr>
      <w:r>
        <w:rPr>
          <w:rStyle w:val="FootnoteReference"/>
        </w:rPr>
        <w:footnoteRef/>
      </w:r>
      <w:r>
        <w:tab/>
        <w:t>Tallinn Declaration on eGovernment, made at a ministerial meeting during the Estonian Presidency of the Council of the EU on 6 October 2017.</w:t>
      </w:r>
    </w:p>
  </w:footnote>
  <w:footnote w:id="8">
    <w:p>
      <w:pPr>
        <w:pStyle w:val="FootnoteText"/>
      </w:pPr>
      <w:r>
        <w:rPr>
          <w:rStyle w:val="FootnoteReference"/>
        </w:rPr>
        <w:footnoteRef/>
      </w:r>
      <w:r>
        <w:tab/>
        <w:t>Regulation (EU) No 1316/2013 of the European Parliament and of the Council of 11 December 2013 establishing the Connecting Europe Facility, amending Regulation (EU) No 913/2010 and repealing Regulations (EC) No 680/2007 and (EC) No 67/2010.</w:t>
      </w:r>
    </w:p>
  </w:footnote>
  <w:footnote w:id="9">
    <w:p>
      <w:pPr>
        <w:pStyle w:val="FootnoteText"/>
      </w:pPr>
      <w:r>
        <w:rPr>
          <w:rStyle w:val="FootnoteReference"/>
        </w:rPr>
        <w:footnoteRef/>
      </w:r>
      <w:r>
        <w:tab/>
        <w:t>Regulation (EU) 2018/1724 of the European Parliament and of the Council of 2 October 2018 establishing a single digital gateway to provide access to information, to procedures and to assistance and problem-solving services and amending Regulation (EU) No 1024/2012, OJ L 295, 21.11.2018, p. 1-38.</w:t>
      </w:r>
    </w:p>
  </w:footnote>
  <w:footnote w:id="10">
    <w:p>
      <w:pPr>
        <w:pStyle w:val="FootnoteText"/>
      </w:pPr>
      <w:r>
        <w:rPr>
          <w:rStyle w:val="FootnoteReference"/>
        </w:rPr>
        <w:footnoteRef/>
      </w:r>
      <w:r>
        <w:tab/>
        <w:t>Regulation (EU) 2017/825 of the European Parliament and of the Council of 17 May 2017 on the establishment of the Structural Reform Support Programme for the period 2017 to 2020 and amending Regulations (EU) No 1303/2013 and (EU) No 1305/2013, OJ L 129, 19.5.2017, p. 1-16.</w:t>
      </w:r>
    </w:p>
  </w:footnote>
  <w:footnote w:id="11">
    <w:p>
      <w:pPr>
        <w:pStyle w:val="FootnoteText"/>
      </w:pPr>
      <w:r>
        <w:rPr>
          <w:rStyle w:val="FootnoteReference"/>
        </w:rPr>
        <w:footnoteRef/>
      </w:r>
      <w:r>
        <w:tab/>
        <w:t xml:space="preserve">More information about Horizon 2020 and its support for public sector innovation can be found here: ‘ICT-enabled public sector innovation in Horizon 2020’, </w:t>
      </w:r>
      <w:hyperlink r:id="rId1" w:history="1">
        <w:r>
          <w:rPr>
            <w:rStyle w:val="Hyperlink"/>
            <w:rFonts w:eastAsiaTheme="majorEastAsia"/>
          </w:rPr>
          <w:t>https://ec.europa.eu/digital-single-market/en/ict-enabled-public-sector-innovation-horizon-2020</w:t>
        </w:r>
      </w:hyperlink>
      <w:r>
        <w:rPr>
          <w:rStyle w:val="Hyperlink"/>
        </w:rPr>
        <w:t>.</w:t>
      </w:r>
    </w:p>
  </w:footnote>
  <w:footnote w:id="12">
    <w:p>
      <w:pPr>
        <w:pStyle w:val="FootnoteText"/>
      </w:pPr>
      <w:r>
        <w:rPr>
          <w:rFonts w:eastAsiaTheme="minorHAnsi"/>
          <w:bCs/>
          <w:vertAlign w:val="superscript"/>
        </w:rPr>
        <w:footnoteRef/>
      </w:r>
      <w:r>
        <w:tab/>
        <w:t xml:space="preserve">More information about activities related to the modernisation of public institutions can be found here: ‘European Social Fund — More Effective Institutions’, </w:t>
      </w:r>
      <w:hyperlink r:id="rId2" w:history="1">
        <w:r>
          <w:rPr>
            <w:rStyle w:val="Hyperlink"/>
            <w:rFonts w:eastAsiaTheme="majorEastAsia"/>
          </w:rPr>
          <w:t>http://ec.europa.eu/esf/main.jsp?catId=526&amp;langId=en</w:t>
        </w:r>
      </w:hyperlink>
      <w:r>
        <w:rPr>
          <w:rStyle w:val="Hyperlink"/>
        </w:rPr>
        <w:t>.</w:t>
      </w:r>
    </w:p>
  </w:footnote>
  <w:footnote w:id="13">
    <w:p>
      <w:pPr>
        <w:pStyle w:val="FootnoteText"/>
      </w:pPr>
      <w:r>
        <w:rPr>
          <w:rStyle w:val="FootnoteReference"/>
        </w:rPr>
        <w:footnoteRef/>
      </w:r>
      <w:r>
        <w:tab/>
        <w:t xml:space="preserve">More information about the ERDF and its support for the ICT modernisation of public administrations can be found here: ‘Regional Policy — Information and communication technologies’, </w:t>
      </w:r>
      <w:hyperlink r:id="rId3" w:history="1">
        <w:r>
          <w:rPr>
            <w:rStyle w:val="Hyperlink"/>
            <w:rFonts w:eastAsiaTheme="majorEastAsia"/>
          </w:rPr>
          <w:t>https://ec.europa.eu/regional_policy/en/policy/themes/ict/</w:t>
        </w:r>
      </w:hyperlink>
      <w:r>
        <w:rPr>
          <w:rStyle w:val="Hyperlink"/>
        </w:rPr>
        <w:t>.</w:t>
      </w:r>
    </w:p>
  </w:footnote>
  <w:footnote w:id="14">
    <w:p>
      <w:pPr>
        <w:pStyle w:val="FootnoteText"/>
      </w:pPr>
      <w:r>
        <w:rPr>
          <w:rStyle w:val="FootnoteReference"/>
        </w:rPr>
        <w:footnoteRef/>
      </w:r>
      <w:r>
        <w:tab/>
        <w:t>1) Community contribution for telematics interchange of Data between Administrations (</w:t>
      </w:r>
      <w:hyperlink r:id="rId4" w:history="1">
        <w:r>
          <w:rPr>
            <w:rStyle w:val="Hyperlink"/>
          </w:rPr>
          <w:t>IDA</w:t>
        </w:r>
      </w:hyperlink>
      <w:r>
        <w:t>), 1995-1997; 2) Second phase of the IDA programme (</w:t>
      </w:r>
      <w:hyperlink r:id="rId5" w:history="1">
        <w:r>
          <w:rPr>
            <w:rStyle w:val="Hyperlink"/>
          </w:rPr>
          <w:t>IDA II</w:t>
        </w:r>
      </w:hyperlink>
      <w:r>
        <w:t>), 1999-2004; 3) Interoperable Delivery of Pan-European eGovernment Services to public Administrations, Business and Citizens (</w:t>
      </w:r>
      <w:hyperlink r:id="rId6" w:history="1">
        <w:r>
          <w:rPr>
            <w:rStyle w:val="Hyperlink"/>
          </w:rPr>
          <w:t>IDABC</w:t>
        </w:r>
      </w:hyperlink>
      <w:r>
        <w:t>), 2005-2009; 4) Interoperability Solutions for European Public Administrations (</w:t>
      </w:r>
      <w:hyperlink r:id="rId7" w:history="1">
        <w:r>
          <w:rPr>
            <w:rStyle w:val="Hyperlink"/>
          </w:rPr>
          <w:t>ISA</w:t>
        </w:r>
      </w:hyperlink>
      <w:r>
        <w:t>), 2010-2015; 5) Interoperability solutions and common frameworks for European public administrations, businesses and citizens (</w:t>
      </w:r>
      <w:hyperlink r:id="rId8" w:history="1">
        <w:r>
          <w:rPr>
            <w:rStyle w:val="Hyperlink"/>
          </w:rPr>
          <w:t>ISA</w:t>
        </w:r>
        <w:r>
          <w:rPr>
            <w:rStyle w:val="Hyperlink"/>
            <w:vertAlign w:val="superscript"/>
          </w:rPr>
          <w:t>2</w:t>
        </w:r>
      </w:hyperlink>
      <w:r>
        <w:t>), 2016-2020.</w:t>
      </w:r>
    </w:p>
  </w:footnote>
  <w:footnote w:id="15">
    <w:p>
      <w:pPr>
        <w:pStyle w:val="FootnoteText"/>
      </w:pPr>
      <w:r>
        <w:rPr>
          <w:rStyle w:val="FootnoteReference"/>
        </w:rPr>
        <w:footnoteRef/>
      </w:r>
      <w:r>
        <w:tab/>
        <w:t xml:space="preserve">Further details can be found at </w:t>
      </w:r>
      <w:hyperlink r:id="rId9" w:history="1">
        <w:r>
          <w:rPr>
            <w:rStyle w:val="Hyperlink"/>
          </w:rPr>
          <w:t>http://ec.europa.eu/archives/isa/</w:t>
        </w:r>
      </w:hyperlink>
      <w:r>
        <w:t>.</w:t>
      </w:r>
    </w:p>
  </w:footnote>
  <w:footnote w:id="16">
    <w:p>
      <w:pPr>
        <w:pStyle w:val="FootnoteText"/>
      </w:pPr>
      <w:r>
        <w:rPr>
          <w:rStyle w:val="FootnoteReference"/>
        </w:rPr>
        <w:footnoteRef/>
      </w:r>
      <w:r>
        <w:tab/>
        <w:t xml:space="preserve">Report from the Commission to the European Parliament and the Council, </w:t>
      </w:r>
      <w:r>
        <w:rPr>
          <w:i/>
        </w:rPr>
        <w:t>Results of the final evaluation of the ISA programme</w:t>
      </w:r>
      <w:r>
        <w:t>, Brussels, 1.9.2016, COM(2016) 550 final.</w:t>
      </w:r>
    </w:p>
  </w:footnote>
  <w:footnote w:id="17">
    <w:p>
      <w:pPr>
        <w:pStyle w:val="FootnoteText"/>
        <w:rPr>
          <w:sz w:val="16"/>
        </w:rPr>
      </w:pPr>
      <w:r>
        <w:rPr>
          <w:rStyle w:val="FootnoteReference"/>
        </w:rPr>
        <w:footnoteRef/>
      </w:r>
      <w:r>
        <w:tab/>
        <w:t>In the 2016 and 2017 rolling work programmes, the semantic interoperability package is referred to as the ‘information interoperability’ package.</w:t>
      </w:r>
    </w:p>
  </w:footnote>
  <w:footnote w:id="18">
    <w:p>
      <w:pPr>
        <w:pStyle w:val="FootnoteText"/>
      </w:pPr>
      <w:r>
        <w:rPr>
          <w:rStyle w:val="FootnoteReference"/>
        </w:rPr>
        <w:footnoteRef/>
      </w:r>
      <w:r>
        <w:tab/>
        <w:t>In addition, working groups on specific topics are organised as part of specific actions. For instance, in the field of geospatial interoperability solutions, the ‘European Location Interoperability Solutions for e-Government’ (ELISE) action set up the ISA</w:t>
      </w:r>
      <w:r>
        <w:rPr>
          <w:vertAlign w:val="superscript"/>
        </w:rPr>
        <w:t>2</w:t>
      </w:r>
      <w:r>
        <w:t xml:space="preserve"> Working Group on Geospatial Solutions, bringing together representatives from Member States active in the field in order to set priorities and disseminate results. See: </w:t>
      </w:r>
      <w:hyperlink r:id="rId10" w:history="1">
        <w:r>
          <w:rPr>
            <w:rStyle w:val="Hyperlink"/>
          </w:rPr>
          <w:t>https://ec.europa.eu/isa2/actions/elise_en</w:t>
        </w:r>
      </w:hyperlink>
      <w:r>
        <w:t>.</w:t>
      </w:r>
    </w:p>
  </w:footnote>
  <w:footnote w:id="19">
    <w:p>
      <w:pPr>
        <w:pStyle w:val="FootnoteText"/>
      </w:pPr>
      <w:r>
        <w:rPr>
          <w:rStyle w:val="FootnoteReference"/>
        </w:rPr>
        <w:footnoteRef/>
      </w:r>
      <w:r>
        <w:tab/>
        <w:t xml:space="preserve">For more details, please see: </w:t>
      </w:r>
      <w:hyperlink r:id="rId11" w:history="1">
        <w:r>
          <w:rPr>
            <w:rStyle w:val="Hyperlink"/>
            <w:rFonts w:eastAsiaTheme="majorEastAsia"/>
          </w:rPr>
          <w:t>https://ec.europa.eu/isa2/news/european-commission-reinforces-cooperation-uruguay-interoperability_en</w:t>
        </w:r>
      </w:hyperlink>
      <w:r>
        <w:t>.</w:t>
      </w:r>
    </w:p>
  </w:footnote>
  <w:footnote w:id="20">
    <w:p>
      <w:pPr>
        <w:pStyle w:val="FootnoteText"/>
      </w:pPr>
      <w:r>
        <w:rPr>
          <w:rStyle w:val="FootnoteReference"/>
        </w:rPr>
        <w:footnoteRef/>
      </w:r>
      <w:r>
        <w:tab/>
        <w:t xml:space="preserve">The dashboard is available at </w:t>
      </w:r>
      <w:hyperlink r:id="rId12" w:history="1">
        <w:r>
          <w:rPr>
            <w:rStyle w:val="Hyperlink"/>
            <w:rFonts w:eastAsiaTheme="majorEastAsia"/>
          </w:rPr>
          <w:t>https://ec.europa.eu/isa2/dashboard/</w:t>
        </w:r>
      </w:hyperlink>
      <w:r>
        <w:t>.</w:t>
      </w:r>
    </w:p>
  </w:footnote>
  <w:footnote w:id="21">
    <w:p>
      <w:pPr>
        <w:pStyle w:val="FootnoteText"/>
      </w:pPr>
      <w:r>
        <w:rPr>
          <w:rStyle w:val="FootnoteReference"/>
        </w:rPr>
        <w:footnoteRef/>
      </w:r>
      <w:r>
        <w:tab/>
        <w:t xml:space="preserve">CEPS final study: Evaluation study supporting the interim evaluation of the programme on interoperability solutions for European public administrations, businesses and citizens (ISA²). </w:t>
      </w:r>
      <w:hyperlink r:id="rId13" w:history="1">
        <w:r>
          <w:rPr>
            <w:rStyle w:val="Hyperlink"/>
          </w:rPr>
          <w:t>https://data.europa.eu/doi/10.2799/13397</w:t>
        </w:r>
      </w:hyperlink>
      <w:r>
        <w:rPr>
          <w:rStyle w:val="Hyperlink"/>
        </w:rPr>
        <w:t>.</w:t>
      </w:r>
    </w:p>
  </w:footnote>
  <w:footnote w:id="22">
    <w:p>
      <w:pPr>
        <w:pStyle w:val="FootnoteText"/>
      </w:pPr>
      <w:r>
        <w:rPr>
          <w:rStyle w:val="FootnoteReference"/>
        </w:rPr>
        <w:footnoteRef/>
      </w:r>
      <w:r>
        <w:tab/>
        <w:t xml:space="preserve">For more details, please see </w:t>
      </w:r>
      <w:r>
        <w:fldChar w:fldCharType="begin"/>
      </w:r>
      <w:r>
        <w:instrText xml:space="preserve"> REF _Ref9349539 \h  \* MERGEFORMAT </w:instrText>
      </w:r>
      <w:r>
        <w:fldChar w:fldCharType="separate"/>
      </w:r>
      <w:r>
        <w:t>Annex 1: Procedural information</w:t>
      </w:r>
      <w:r>
        <w:fldChar w:fldCharType="end"/>
      </w:r>
      <w:r>
        <w:t xml:space="preserve"> and </w:t>
      </w:r>
      <w:r>
        <w:fldChar w:fldCharType="begin"/>
      </w:r>
      <w:r>
        <w:instrText xml:space="preserve"> REF _Ref9349562 \h  \* MERGEFORMAT </w:instrText>
      </w:r>
      <w:r>
        <w:fldChar w:fldCharType="separate"/>
      </w:r>
      <w:r>
        <w:t>Annex 2: Synopsis report of the consultation activities</w:t>
      </w:r>
      <w:r>
        <w:fldChar w:fldCharType="end"/>
      </w:r>
      <w:r>
        <w:t>.</w:t>
      </w:r>
    </w:p>
  </w:footnote>
  <w:footnote w:id="23">
    <w:p>
      <w:pPr>
        <w:pStyle w:val="FootnoteText"/>
        <w:jc w:val="left"/>
      </w:pPr>
      <w:r>
        <w:rPr>
          <w:rStyle w:val="FootnoteReference"/>
        </w:rPr>
        <w:footnoteRef/>
      </w:r>
      <w:r>
        <w:tab/>
      </w:r>
      <w:r>
        <w:rPr>
          <w:szCs w:val="16"/>
        </w:rPr>
        <w:t>European Commission (2017), Better Regulation Toolbox,</w:t>
      </w:r>
      <w:r>
        <w:t xml:space="preserve"> </w:t>
      </w:r>
      <w:hyperlink r:id="rId14" w:history="1">
        <w:r>
          <w:rPr>
            <w:rStyle w:val="Hyperlink"/>
            <w:rFonts w:eastAsiaTheme="majorEastAsia"/>
          </w:rPr>
          <w:t>https://ec.europa.eu/info/sites/info/files/better-regulation-toolbox_2.pdf</w:t>
        </w:r>
      </w:hyperlink>
      <w:r>
        <w:t>, p. 20.</w:t>
      </w:r>
    </w:p>
  </w:footnote>
  <w:footnote w:id="24">
    <w:p>
      <w:pPr>
        <w:pStyle w:val="FootnoteText"/>
      </w:pPr>
      <w:r>
        <w:rPr>
          <w:rStyle w:val="FootnoteReference"/>
          <w:rFonts w:eastAsiaTheme="majorEastAsia"/>
        </w:rPr>
        <w:footnoteRef/>
      </w:r>
      <w:r>
        <w:tab/>
        <w:t xml:space="preserve">European Commission (2017), ‘Tool #60. The standard cost model for estimating administrative costs’, in the Better Regulation ‘Toolbox’ (see footnote </w:t>
      </w:r>
      <w:r>
        <w:fldChar w:fldCharType="begin"/>
      </w:r>
      <w:r>
        <w:instrText xml:space="preserve"> NOTEREF _Ref9369487 \h  \* MERGEFORMAT </w:instrText>
      </w:r>
      <w:r>
        <w:fldChar w:fldCharType="separate"/>
      </w:r>
      <w:r>
        <w:t>22</w:t>
      </w:r>
      <w:r>
        <w:fldChar w:fldCharType="end"/>
      </w:r>
      <w:r>
        <w:t>).</w:t>
      </w:r>
    </w:p>
  </w:footnote>
  <w:footnote w:id="25">
    <w:p>
      <w:pPr>
        <w:pStyle w:val="FootnoteText"/>
      </w:pPr>
      <w:r>
        <w:rPr>
          <w:rStyle w:val="FootnoteReference"/>
        </w:rPr>
        <w:footnoteRef/>
      </w:r>
      <w:r>
        <w:tab/>
        <w:t xml:space="preserve">European Commission (2017), ‘Tool #57. Analytical methods to compare options or assess performance’, in the Better Regulation Toolbox (see footnote </w:t>
      </w:r>
      <w:r>
        <w:fldChar w:fldCharType="begin"/>
      </w:r>
      <w:r>
        <w:instrText xml:space="preserve"> NOTEREF _Ref9369487 \h  \* MERGEFORMAT </w:instrText>
      </w:r>
      <w:r>
        <w:fldChar w:fldCharType="separate"/>
      </w:r>
      <w:r>
        <w:t>22</w:t>
      </w:r>
      <w:r>
        <w:fldChar w:fldCharType="end"/>
      </w:r>
      <w:r>
        <w:t>).</w:t>
      </w:r>
    </w:p>
  </w:footnote>
  <w:footnote w:id="26">
    <w:p>
      <w:pPr>
        <w:pStyle w:val="FootnoteText"/>
      </w:pPr>
      <w:r>
        <w:rPr>
          <w:rStyle w:val="FootnoteReference"/>
        </w:rPr>
        <w:footnoteRef/>
      </w:r>
      <w:r>
        <w:tab/>
        <w:t xml:space="preserve">European Commission (2018), PM² project management methodology, available at </w:t>
      </w:r>
      <w:hyperlink r:id="rId15" w:history="1">
        <w:r>
          <w:rPr>
            <w:rStyle w:val="Hyperlink"/>
          </w:rPr>
          <w:t>https://data.europa.eu/doi/10.2799/957700</w:t>
        </w:r>
      </w:hyperlink>
      <w:r>
        <w:t>.</w:t>
      </w:r>
    </w:p>
  </w:footnote>
  <w:footnote w:id="27">
    <w:p>
      <w:pPr>
        <w:pStyle w:val="FootnoteText"/>
      </w:pPr>
      <w:r>
        <w:rPr>
          <w:rStyle w:val="FootnoteReference"/>
        </w:rPr>
        <w:footnoteRef/>
      </w:r>
      <w:r>
        <w:tab/>
        <w:t>More specifically, the tailored version is based on the Earned Value Management Tutorial, Module 1: Introduction to Earned Value Management, prepared by Booz, Allen and Hamilton, Department of Energy, the United States of America, and on the guidelines on Earned Schedule in Action, developed by Kim Henderson, from the Project Management Institute (PMI) Oklahoma, 13.7.2007.</w:t>
      </w:r>
    </w:p>
  </w:footnote>
  <w:footnote w:id="28">
    <w:p>
      <w:pPr>
        <w:pStyle w:val="FootnoteText"/>
        <w:jc w:val="left"/>
      </w:pPr>
      <w:r>
        <w:rPr>
          <w:rStyle w:val="FootnoteReference"/>
        </w:rPr>
        <w:footnoteRef/>
      </w:r>
      <w:r>
        <w:tab/>
        <w:t xml:space="preserve">Please see: </w:t>
      </w:r>
      <w:hyperlink r:id="rId16" w:history="1">
        <w:r>
          <w:rPr>
            <w:rStyle w:val="Hyperlink"/>
          </w:rPr>
          <w:t>https://ec.europa.eu/isa2/sites/isa/files/consultation_strategy_isa2_interim_evaluation.pdf</w:t>
        </w:r>
      </w:hyperlink>
      <w:r>
        <w:rPr>
          <w:rStyle w:val="Hyperlink"/>
        </w:rPr>
        <w:t>.</w:t>
      </w:r>
    </w:p>
  </w:footnote>
  <w:footnote w:id="29">
    <w:p>
      <w:pPr>
        <w:pStyle w:val="FootnoteText"/>
        <w:rPr>
          <w:sz w:val="16"/>
        </w:rPr>
      </w:pPr>
      <w:r>
        <w:rPr>
          <w:rStyle w:val="FootnoteReference"/>
        </w:rPr>
        <w:footnoteRef/>
      </w:r>
      <w:r>
        <w:tab/>
        <w:t>The analysis presented in section 5.2 shows that more mature solutions perform relatively better. For further details regarding the performance of indicators for older and newer actions implemented under ISA</w:t>
      </w:r>
      <w:r>
        <w:rPr>
          <w:vertAlign w:val="superscript"/>
        </w:rPr>
        <w:t>2</w:t>
      </w:r>
      <w:r>
        <w:t xml:space="preserve">, please see </w:t>
      </w:r>
      <w:r>
        <w:fldChar w:fldCharType="begin"/>
      </w:r>
      <w:r>
        <w:instrText xml:space="preserve"> REF _Ref9596697 \h  \* MERGEFORMAT </w:instrText>
      </w:r>
      <w:r>
        <w:fldChar w:fldCharType="separate"/>
      </w:r>
      <w:r>
        <w:t>Box 3</w:t>
      </w:r>
      <w:r>
        <w:fldChar w:fldCharType="end"/>
      </w:r>
      <w:r>
        <w:t>.</w:t>
      </w:r>
    </w:p>
  </w:footnote>
  <w:footnote w:id="30">
    <w:p>
      <w:pPr>
        <w:pStyle w:val="FootnoteText"/>
      </w:pPr>
      <w:r>
        <w:rPr>
          <w:rStyle w:val="FootnoteReference"/>
        </w:rPr>
        <w:footnoteRef/>
      </w:r>
      <w:r>
        <w:tab/>
        <w:t>Needs are defined here as prerequisites for the efficient delivery of European public services; problems consist of specific bottlenecks that make it impossible to meet these needs.</w:t>
      </w:r>
    </w:p>
  </w:footnote>
  <w:footnote w:id="31">
    <w:p>
      <w:pPr>
        <w:pStyle w:val="FootnoteText"/>
      </w:pPr>
      <w:r>
        <w:rPr>
          <w:rStyle w:val="FootnoteReference"/>
        </w:rPr>
        <w:footnoteRef/>
      </w:r>
      <w:r>
        <w:tab/>
        <w:t>This need was indicated by respondents from the following stakeholder groups: programme governance (at the Member State level), solution users and action owners.</w:t>
      </w:r>
    </w:p>
  </w:footnote>
  <w:footnote w:id="32">
    <w:p>
      <w:pPr>
        <w:pStyle w:val="FootnoteText"/>
      </w:pPr>
      <w:r>
        <w:rPr>
          <w:rStyle w:val="FootnoteReference"/>
        </w:rPr>
        <w:footnoteRef/>
      </w:r>
      <w:r>
        <w:tab/>
        <w:t>See Annex 2 to the Communication from the Commission to the European Parliament, the Council, the European Economic and Social Committee and the Committee of the Regions</w:t>
      </w:r>
      <w:r>
        <w:rPr>
          <w:i/>
        </w:rPr>
        <w:t>, European Interoperability Framework — Implementation Strategy</w:t>
      </w:r>
      <w:r>
        <w:t>, Brussels, 23.3.2017, COM(2017) 134 final.</w:t>
      </w:r>
    </w:p>
  </w:footnote>
  <w:footnote w:id="33">
    <w:p>
      <w:pPr>
        <w:pStyle w:val="FootnoteText"/>
      </w:pPr>
      <w:r>
        <w:rPr>
          <w:rStyle w:val="FootnoteReference"/>
        </w:rPr>
        <w:footnoteRef/>
      </w:r>
      <w:r>
        <w:tab/>
        <w:t xml:space="preserve">A ‘self-sovereign identity’ is an emerging concept referring to the creation and management of digital identities by individuals. For more information, please see: Der, Uwe, Stefan Jähnichen, Jan Sürmeli (2017), </w:t>
      </w:r>
      <w:r>
        <w:rPr>
          <w:i/>
        </w:rPr>
        <w:t>Self-sovereign Identity − Opportunities and Challenges for the Digital Revolution</w:t>
      </w:r>
      <w:r>
        <w:t xml:space="preserve">, available online at </w:t>
      </w:r>
      <w:hyperlink r:id="rId17" w:history="1">
        <w:r>
          <w:rPr>
            <w:rStyle w:val="Hyperlink"/>
            <w:rFonts w:eastAsiaTheme="majorEastAsia"/>
          </w:rPr>
          <w:t>https://arxiv.org/abs/1712.01767</w:t>
        </w:r>
      </w:hyperlink>
      <w:r>
        <w:t>.</w:t>
      </w:r>
    </w:p>
  </w:footnote>
  <w:footnote w:id="34">
    <w:p>
      <w:pPr>
        <w:pStyle w:val="FootnoteText"/>
      </w:pPr>
      <w:r>
        <w:rPr>
          <w:rStyle w:val="FootnoteReference"/>
        </w:rPr>
        <w:footnoteRef/>
      </w:r>
      <w:r>
        <w:tab/>
      </w:r>
      <w:r>
        <w:rPr>
          <w:lang w:eastAsia="de-DE"/>
        </w:rPr>
        <w:t>The way information trickles down from the national level to the regional and local levels is important.</w:t>
      </w:r>
    </w:p>
  </w:footnote>
  <w:footnote w:id="35">
    <w:p>
      <w:pPr>
        <w:pStyle w:val="FootnoteText"/>
      </w:pPr>
      <w:r>
        <w:rPr>
          <w:rStyle w:val="FootnoteReference"/>
        </w:rPr>
        <w:footnoteRef/>
      </w:r>
      <w:r>
        <w:tab/>
        <w:t>As outlined in the intervention logic, the programme's general objective is as follows: ‘To promote the ICT-based modernisation of the public sector in Europe and to facilitate addressing the needs of businesses and citizens via improved interoperability of European public administrations, thus contributing to the completion of the Digital Single Market and, ultimately, to economic growth and the global competitiveness of the European Union’.</w:t>
      </w:r>
    </w:p>
  </w:footnote>
  <w:footnote w:id="36">
    <w:p>
      <w:pPr>
        <w:pStyle w:val="FootnoteText"/>
      </w:pPr>
      <w:r>
        <w:rPr>
          <w:rStyle w:val="FootnoteReference"/>
        </w:rPr>
        <w:footnoteRef/>
      </w:r>
      <w:r>
        <w:tab/>
        <w:t xml:space="preserve">See: </w:t>
      </w:r>
      <w:hyperlink r:id="rId18" w:anchor="/home" w:history="1">
        <w:r>
          <w:rPr>
            <w:rStyle w:val="Hyperlink"/>
          </w:rPr>
          <w:t>https://webgate.ec.europa.eu/regdel/#/home</w:t>
        </w:r>
      </w:hyperlink>
      <w:r>
        <w:t>.</w:t>
      </w:r>
    </w:p>
  </w:footnote>
  <w:footnote w:id="37">
    <w:p>
      <w:pPr>
        <w:pStyle w:val="FootnoteText"/>
        <w:jc w:val="left"/>
      </w:pPr>
      <w:r>
        <w:rPr>
          <w:rStyle w:val="FootnoteReference"/>
        </w:rPr>
        <w:footnoteRef/>
      </w:r>
      <w:r>
        <w:tab/>
        <w:t xml:space="preserve">See: </w:t>
      </w:r>
      <w:hyperlink r:id="rId19" w:history="1">
        <w:r>
          <w:rPr>
            <w:rStyle w:val="Hyperlink"/>
          </w:rPr>
          <w:t>https://ec.europa.eu/isa2/actions/improving-transparency-delegated-acts_en</w:t>
        </w:r>
      </w:hyperlink>
      <w:r>
        <w:t>.</w:t>
      </w:r>
    </w:p>
  </w:footnote>
  <w:footnote w:id="38">
    <w:p>
      <w:pPr>
        <w:pStyle w:val="FootnoteText"/>
        <w:jc w:val="left"/>
      </w:pPr>
      <w:r>
        <w:rPr>
          <w:rStyle w:val="FootnoteReference"/>
          <w:sz w:val="16"/>
          <w:szCs w:val="16"/>
        </w:rPr>
        <w:footnoteRef/>
      </w:r>
      <w:r>
        <w:rPr>
          <w:sz w:val="16"/>
          <w:szCs w:val="16"/>
        </w:rPr>
        <w:tab/>
      </w:r>
      <w:r>
        <w:t>The statistics are based on input received from the action owner.</w:t>
      </w:r>
    </w:p>
  </w:footnote>
  <w:footnote w:id="39">
    <w:p>
      <w:pPr>
        <w:pStyle w:val="FootnoteText"/>
      </w:pPr>
      <w:r>
        <w:rPr>
          <w:rStyle w:val="FootnoteReference"/>
        </w:rPr>
        <w:footnoteRef/>
      </w:r>
      <w:r>
        <w:tab/>
        <w:t xml:space="preserve">See: </w:t>
      </w:r>
      <w:hyperlink r:id="rId20" w:history="1">
        <w:r>
          <w:rPr>
            <w:rStyle w:val="Hyperlink"/>
          </w:rPr>
          <w:t>https://ec.europa.eu/isa2/solutions/eira_en</w:t>
        </w:r>
      </w:hyperlink>
      <w:r>
        <w:t>.</w:t>
      </w:r>
    </w:p>
  </w:footnote>
  <w:footnote w:id="40">
    <w:p>
      <w:pPr>
        <w:pStyle w:val="FootnoteText"/>
      </w:pPr>
      <w:r>
        <w:rPr>
          <w:rStyle w:val="FootnoteReference"/>
        </w:rPr>
        <w:footnoteRef/>
      </w:r>
      <w:r>
        <w:tab/>
        <w:t xml:space="preserve">See: </w:t>
      </w:r>
      <w:hyperlink r:id="rId21" w:history="1">
        <w:r>
          <w:rPr>
            <w:rStyle w:val="Hyperlink"/>
          </w:rPr>
          <w:t>https://ec.europa.eu/isa2/solutions/joinup_en</w:t>
        </w:r>
      </w:hyperlink>
      <w:r>
        <w:t>.</w:t>
      </w:r>
    </w:p>
  </w:footnote>
  <w:footnote w:id="41">
    <w:p>
      <w:pPr>
        <w:pStyle w:val="FootnoteText"/>
      </w:pPr>
      <w:r>
        <w:rPr>
          <w:rStyle w:val="FootnoteReference"/>
        </w:rPr>
        <w:footnoteRef/>
      </w:r>
      <w:r>
        <w:tab/>
        <w:t xml:space="preserve">See for instance: </w:t>
      </w:r>
      <w:hyperlink r:id="rId22" w:history="1">
        <w:r>
          <w:rPr>
            <w:rStyle w:val="Hyperlink"/>
            <w:rFonts w:eastAsiaTheme="majorEastAsia"/>
          </w:rPr>
          <w:t>https://joinup.ec.europa.eu/event/sharing-reuse-conference-2017</w:t>
        </w:r>
      </w:hyperlink>
      <w:r>
        <w:t>.</w:t>
      </w:r>
    </w:p>
  </w:footnote>
  <w:footnote w:id="42">
    <w:p>
      <w:pPr>
        <w:pStyle w:val="FootnoteText"/>
      </w:pPr>
      <w:r>
        <w:rPr>
          <w:rStyle w:val="FootnoteReference"/>
        </w:rPr>
        <w:footnoteRef/>
      </w:r>
      <w:r>
        <w:tab/>
        <w:t>Report from the Commission to the European Parliament and the Council, Results of the final evaluation of the ISA programme, Brussels, 1.9.2016, COM(2016) 550 final.</w:t>
      </w:r>
    </w:p>
  </w:footnote>
  <w:footnote w:id="43">
    <w:p>
      <w:pPr>
        <w:pStyle w:val="FootnoteText"/>
      </w:pPr>
      <w:r>
        <w:rPr>
          <w:rStyle w:val="FootnoteReference"/>
        </w:rPr>
        <w:footnoteRef/>
      </w:r>
      <w:r>
        <w:rPr>
          <w:lang w:val="fr-BE"/>
        </w:rPr>
        <w:tab/>
        <w:t xml:space="preserve">European Commission, DG DIGIT (2017), </w:t>
      </w:r>
      <w:r>
        <w:rPr>
          <w:i/>
          <w:lang w:val="fr-BE"/>
        </w:rPr>
        <w:t>ISA</w:t>
      </w:r>
      <w:r>
        <w:rPr>
          <w:i/>
          <w:vertAlign w:val="superscript"/>
          <w:lang w:val="fr-BE"/>
        </w:rPr>
        <w:t>2</w:t>
      </w:r>
      <w:r>
        <w:rPr>
          <w:i/>
          <w:lang w:val="fr-BE"/>
        </w:rPr>
        <w:t xml:space="preserve"> programme. </w:t>
      </w:r>
      <w:r>
        <w:rPr>
          <w:i/>
        </w:rPr>
        <w:t>Communication strategy and stakeholders engagement plan</w:t>
      </w:r>
      <w:r>
        <w:t xml:space="preserve">: </w:t>
      </w:r>
      <w:hyperlink r:id="rId23" w:history="1">
        <w:r>
          <w:rPr>
            <w:rStyle w:val="Hyperlink"/>
            <w:rFonts w:eastAsiaTheme="majorEastAsia"/>
          </w:rPr>
          <w:t>https://ec.europa.eu/isa2/sites/isa/files/comms_strategy.pdf</w:t>
        </w:r>
      </w:hyperlink>
      <w:r>
        <w:t>.</w:t>
      </w:r>
    </w:p>
  </w:footnote>
  <w:footnote w:id="44">
    <w:p>
      <w:pPr>
        <w:pStyle w:val="FootnoteText"/>
      </w:pPr>
      <w:r>
        <w:rPr>
          <w:rStyle w:val="FootnoteReference"/>
        </w:rPr>
        <w:footnoteRef/>
      </w:r>
      <w:r>
        <w:tab/>
        <w:t xml:space="preserve">For further details see: </w:t>
      </w:r>
      <w:hyperlink r:id="rId24" w:history="1">
        <w:r>
          <w:rPr>
            <w:rStyle w:val="Hyperlink"/>
          </w:rPr>
          <w:t>https://ec.europa.eu/isa2/events_en</w:t>
        </w:r>
      </w:hyperlink>
      <w:r>
        <w:t>.</w:t>
      </w:r>
    </w:p>
  </w:footnote>
  <w:footnote w:id="45">
    <w:p>
      <w:pPr>
        <w:pStyle w:val="FootnoteText"/>
      </w:pPr>
      <w:r>
        <w:rPr>
          <w:rStyle w:val="FootnoteReference"/>
        </w:rPr>
        <w:footnoteRef/>
      </w:r>
      <w:r>
        <w:tab/>
        <w:t xml:space="preserve">EuroVoc is the EU’s multilingual and multidisciplinary thesaurus, containing terms in 23 EU languages. For further details, see: </w:t>
      </w:r>
      <w:hyperlink r:id="rId25" w:history="1">
        <w:r>
          <w:rPr>
            <w:rStyle w:val="Hyperlink"/>
          </w:rPr>
          <w:t>https://publications.europa.eu/en/web/eu-vocabularies/th-dataset/-/resource/dataset/eurovoc</w:t>
        </w:r>
      </w:hyperlink>
      <w:r>
        <w:rPr>
          <w:rStyle w:val="Hyperlink"/>
        </w:rPr>
        <w:t>.</w:t>
      </w:r>
    </w:p>
  </w:footnote>
  <w:footnote w:id="46">
    <w:p>
      <w:pPr>
        <w:pStyle w:val="FootnoteText"/>
      </w:pPr>
      <w:r>
        <w:rPr>
          <w:rStyle w:val="FootnoteReference"/>
        </w:rPr>
        <w:footnoteRef/>
      </w:r>
      <w:r>
        <w:tab/>
        <w:t xml:space="preserve">See: </w:t>
      </w:r>
      <w:hyperlink r:id="rId26" w:history="1">
        <w:r>
          <w:rPr>
            <w:rStyle w:val="Hyperlink"/>
            <w:rFonts w:eastAsiaTheme="majorEastAsia"/>
          </w:rPr>
          <w:t>https://ec.europa.eu/isa2/solutions/vocbench3_en</w:t>
        </w:r>
      </w:hyperlink>
      <w:r>
        <w:rPr>
          <w:rFonts w:eastAsiaTheme="majorEastAsia"/>
        </w:rPr>
        <w:t>.</w:t>
      </w:r>
    </w:p>
  </w:footnote>
  <w:footnote w:id="47">
    <w:p>
      <w:pPr>
        <w:pStyle w:val="FootnoteText"/>
        <w:jc w:val="left"/>
      </w:pPr>
      <w:r>
        <w:rPr>
          <w:rStyle w:val="FootnoteReference"/>
          <w:rFonts w:eastAsiaTheme="majorEastAsia"/>
        </w:rPr>
        <w:footnoteRef/>
      </w:r>
      <w:r>
        <w:tab/>
        <w:t xml:space="preserve">SCM Network (2005), ‘The International SCM Manual; Measuring and Reducing Administrative Burdens for Businesses’, available at </w:t>
      </w:r>
      <w:hyperlink r:id="rId27" w:history="1">
        <w:r>
          <w:rPr>
            <w:rStyle w:val="Hyperlink"/>
          </w:rPr>
          <w:t>http://www.administrativeburdens.com/filesystem/2005/11/international_scm_manual_final_178.doc</w:t>
        </w:r>
      </w:hyperlink>
      <w:r>
        <w:t>.</w:t>
      </w:r>
    </w:p>
  </w:footnote>
  <w:footnote w:id="48">
    <w:p>
      <w:pPr>
        <w:pStyle w:val="FootnoteText"/>
      </w:pPr>
      <w:r>
        <w:rPr>
          <w:rStyle w:val="FootnoteReference"/>
          <w:rFonts w:eastAsiaTheme="majorEastAsia"/>
        </w:rPr>
        <w:footnoteRef/>
      </w:r>
      <w:r>
        <w:tab/>
        <w:t xml:space="preserve">European Commission, Better Regulation ‘Toolbox’, 7 July 2017, Tool #60 available at </w:t>
      </w:r>
      <w:hyperlink r:id="rId28" w:history="1">
        <w:r>
          <w:rPr>
            <w:rStyle w:val="Hyperlink"/>
          </w:rPr>
          <w:t>https://ec.europa.eu/info/sites/info/files/better-regulation-toolbox_2.pdf</w:t>
        </w:r>
      </w:hyperlink>
      <w:r>
        <w:t>.</w:t>
      </w:r>
    </w:p>
  </w:footnote>
  <w:footnote w:id="49">
    <w:p>
      <w:pPr>
        <w:pStyle w:val="FootnoteText"/>
      </w:pPr>
      <w:r>
        <w:rPr>
          <w:rStyle w:val="FootnoteReference"/>
          <w:rFonts w:eastAsiaTheme="majorEastAsia"/>
        </w:rPr>
        <w:footnoteRef/>
      </w:r>
      <w:r>
        <w:tab/>
        <w:t>Eurofound (2016), ‘Working time developments in the 21st century: Work duration and its regulation in the EU’.</w:t>
      </w:r>
    </w:p>
  </w:footnote>
  <w:footnote w:id="50">
    <w:p>
      <w:pPr>
        <w:pStyle w:val="FootnoteText"/>
      </w:pPr>
      <w:r>
        <w:rPr>
          <w:rStyle w:val="FootnoteReference"/>
          <w:rFonts w:eastAsiaTheme="majorEastAsia"/>
        </w:rPr>
        <w:footnoteRef/>
      </w:r>
      <w:r>
        <w:tab/>
        <w:t xml:space="preserve">The country of activity was recorded for each respondent who provided information on the number of days spent preparing the proposal. The hourly labour costs were identified for each country. For the Commission, the hourly labour costs in either Belgium or Luxembourg were used, depending on the Commission service involved. The regulatory costs were computed for each case recorded during the consultation activities, taking into consideration the country of activity. At the end, the average regulatory cost was calculated. Note that labour costs include wage and non-wage costs less subsidies. They do not include vocational training costs or other expenditure such as recruitment costs, spending on working clothes, etc. For further details see: </w:t>
      </w:r>
      <w:hyperlink r:id="rId29" w:anchor="Source_data_for_tables_and_figures_on_this_page_.28MS" w:history="1">
        <w:r>
          <w:rPr>
            <w:rStyle w:val="Hyperlink"/>
          </w:rPr>
          <w:t>https://ec.europa.eu/eurostat/statistics-explained/index.php/Hourly_labour_costs#Source_data_for_tables_and_figures_on_this_page_.28MS</w:t>
        </w:r>
      </w:hyperlink>
      <w:r>
        <w:t>.</w:t>
      </w:r>
    </w:p>
  </w:footnote>
  <w:footnote w:id="51">
    <w:p>
      <w:pPr>
        <w:pStyle w:val="FootnoteText"/>
      </w:pPr>
      <w:r>
        <w:rPr>
          <w:rStyle w:val="FootnoteReference"/>
        </w:rPr>
        <w:footnoteRef/>
      </w:r>
      <w:r>
        <w:tab/>
        <w:t>The average was calculated based on the data available on the ISA</w:t>
      </w:r>
      <w:r>
        <w:rPr>
          <w:vertAlign w:val="superscript"/>
        </w:rPr>
        <w:t>2</w:t>
      </w:r>
      <w:r>
        <w:t xml:space="preserve"> dashboard for all ISA</w:t>
      </w:r>
      <w:r>
        <w:rPr>
          <w:vertAlign w:val="superscript"/>
        </w:rPr>
        <w:t>2</w:t>
      </w:r>
      <w:r>
        <w:t xml:space="preserve"> actions.</w:t>
      </w:r>
    </w:p>
  </w:footnote>
  <w:footnote w:id="52">
    <w:p>
      <w:pPr>
        <w:pStyle w:val="FootnoteText"/>
      </w:pPr>
      <w:r>
        <w:rPr>
          <w:rStyle w:val="FootnoteReference"/>
        </w:rPr>
        <w:footnoteRef/>
      </w:r>
      <w:r>
        <w:tab/>
        <w:t xml:space="preserve">According to Tool #57 of the Better Regulation Toolbox, cost-effectiveness analysis (CEA) entails the quantification (but not monetisation) of the benefits that one euro of costs imposed on society would generate. See page 452 at </w:t>
      </w:r>
      <w:hyperlink r:id="rId30" w:history="1">
        <w:r>
          <w:rPr>
            <w:rStyle w:val="Hyperlink"/>
          </w:rPr>
          <w:t>https://ec.europa.eu/info/sites/info/files/file_import/better-regulation-toolbox-57_en_0.pdf</w:t>
        </w:r>
      </w:hyperlink>
      <w:r>
        <w:t>.</w:t>
      </w:r>
    </w:p>
  </w:footnote>
  <w:footnote w:id="53">
    <w:p>
      <w:pPr>
        <w:pStyle w:val="FootnoteText"/>
      </w:pPr>
      <w:r>
        <w:rPr>
          <w:rStyle w:val="FootnoteReference"/>
        </w:rPr>
        <w:footnoteRef/>
      </w:r>
      <w:r>
        <w:tab/>
        <w:t xml:space="preserve">Actual costs refer to the executed budget. For more information, see: </w:t>
      </w:r>
      <w:hyperlink r:id="rId31" w:history="1">
        <w:r>
          <w:rPr>
            <w:rStyle w:val="Hyperlink"/>
            <w:rFonts w:eastAsiaTheme="majorEastAsia"/>
          </w:rPr>
          <w:t>https://ec.europa.eu/isa2/dashboard/faq-page</w:t>
        </w:r>
      </w:hyperlink>
      <w:r>
        <w:t>.</w:t>
      </w:r>
    </w:p>
  </w:footnote>
  <w:footnote w:id="54">
    <w:p>
      <w:pPr>
        <w:pStyle w:val="FootnoteText"/>
      </w:pPr>
      <w:r>
        <w:rPr>
          <w:rStyle w:val="FootnoteReference"/>
        </w:rPr>
        <w:footnoteRef/>
      </w:r>
      <w:r>
        <w:tab/>
        <w:t xml:space="preserve">See: </w:t>
      </w:r>
      <w:hyperlink r:id="rId32" w:history="1">
        <w:r>
          <w:rPr>
            <w:rStyle w:val="Hyperlink"/>
            <w:rFonts w:eastAsiaTheme="majorEastAsia"/>
          </w:rPr>
          <w:t>https://ec.europa.eu/tools/espd</w:t>
        </w:r>
      </w:hyperlink>
      <w:r>
        <w:rPr>
          <w:rStyle w:val="Hyperlink"/>
        </w:rPr>
        <w:t>.</w:t>
      </w:r>
    </w:p>
  </w:footnote>
  <w:footnote w:id="55">
    <w:p>
      <w:pPr>
        <w:pStyle w:val="FootnoteText"/>
      </w:pPr>
      <w:r>
        <w:rPr>
          <w:rStyle w:val="FootnoteReference"/>
        </w:rPr>
        <w:footnoteRef/>
      </w:r>
      <w:r>
        <w:tab/>
        <w:t>The earned value represents a quantification of the work accomplished to date. The planned value is a quantification of how far along the work on the programme is supposed to be in terms of the schedule and cost estimate at a given point in the programme. The actual costs represent the executed budget.</w:t>
      </w:r>
    </w:p>
  </w:footnote>
  <w:footnote w:id="56">
    <w:p>
      <w:pPr>
        <w:pStyle w:val="FootnoteText"/>
      </w:pPr>
      <w:r>
        <w:rPr>
          <w:rStyle w:val="FootnoteReference"/>
        </w:rPr>
        <w:footnoteRef/>
      </w:r>
      <w:r>
        <w:tab/>
        <w:t>The PV and AC are equal in all cases. As explained on the ISA</w:t>
      </w:r>
      <w:r>
        <w:rPr>
          <w:vertAlign w:val="superscript"/>
        </w:rPr>
        <w:t xml:space="preserve">2 </w:t>
      </w:r>
      <w:r>
        <w:t>Dashboard, most of the specific contracts under the ISA</w:t>
      </w:r>
      <w:r>
        <w:rPr>
          <w:vertAlign w:val="superscript"/>
        </w:rPr>
        <w:t>2</w:t>
      </w:r>
      <w:r>
        <w:t xml:space="preserve"> actions are on fixed price, therefore it is not relevant to keep track of the AC before the end of a Work Programme year. Taking this into account, the AC is then considered equal to the PV. For more details please see: ISA</w:t>
      </w:r>
      <w:r>
        <w:rPr>
          <w:vertAlign w:val="superscript"/>
        </w:rPr>
        <w:t>2</w:t>
      </w:r>
      <w:r>
        <w:t xml:space="preserve"> Dashboard — Frequently Asked Questions, </w:t>
      </w:r>
      <w:hyperlink r:id="rId33" w:history="1">
        <w:r>
          <w:rPr>
            <w:rStyle w:val="Hyperlink"/>
            <w:rFonts w:eastAsiaTheme="majorEastAsia"/>
          </w:rPr>
          <w:t>https://ec.europa.eu/isa2/dashboard/faq-page</w:t>
        </w:r>
      </w:hyperlink>
      <w:r>
        <w:t>.</w:t>
      </w:r>
    </w:p>
  </w:footnote>
  <w:footnote w:id="57">
    <w:p>
      <w:pPr>
        <w:pStyle w:val="FootnoteText"/>
      </w:pPr>
      <w:r>
        <w:rPr>
          <w:rStyle w:val="FootnoteReference"/>
        </w:rPr>
        <w:footnoteRef/>
      </w:r>
      <w:r>
        <w:tab/>
        <w:t>Situation as of 2018.</w:t>
      </w:r>
    </w:p>
  </w:footnote>
  <w:footnote w:id="58">
    <w:p>
      <w:pPr>
        <w:pStyle w:val="FootnoteText"/>
      </w:pPr>
      <w:r>
        <w:rPr>
          <w:rStyle w:val="FootnoteReference"/>
        </w:rPr>
        <w:footnoteRef/>
      </w:r>
      <w:r>
        <w:tab/>
        <w:t>These data are available for each monitored action under the ‘coherence’ tab of the ISA</w:t>
      </w:r>
      <w:r>
        <w:rPr>
          <w:vertAlign w:val="superscript"/>
        </w:rPr>
        <w:t>2</w:t>
      </w:r>
      <w:r>
        <w:t xml:space="preserve"> dashboard page dedicated to the specific action.</w:t>
      </w:r>
    </w:p>
  </w:footnote>
  <w:footnote w:id="59">
    <w:p>
      <w:pPr>
        <w:pStyle w:val="FootnoteText"/>
      </w:pPr>
      <w:r>
        <w:rPr>
          <w:rStyle w:val="FootnoteReference"/>
        </w:rPr>
        <w:footnoteRef/>
      </w:r>
      <w:r>
        <w:tab/>
        <w:t>‘EUSurvey’ maintains a tool — with the same name — designed to facilitate the gathering of feedback and opinions quickly and reliably via online surveys.</w:t>
      </w:r>
    </w:p>
  </w:footnote>
  <w:footnote w:id="60">
    <w:p>
      <w:pPr>
        <w:pStyle w:val="FootnoteText"/>
      </w:pPr>
      <w:r>
        <w:rPr>
          <w:rStyle w:val="FootnoteReference"/>
        </w:rPr>
        <w:footnoteRef/>
      </w:r>
      <w:r>
        <w:tab/>
        <w:t>This action developed two solutions: the online collection software supporting the European Citizens’ Initiative and the European Parliament crypto tool. The first tool enables citizens to bring initiatives to the attention of the Commission; the second puts in place mechanisms to prevent double voting.</w:t>
      </w:r>
    </w:p>
  </w:footnote>
  <w:footnote w:id="61">
    <w:p>
      <w:pPr>
        <w:pStyle w:val="FootnoteText"/>
      </w:pPr>
      <w:r>
        <w:rPr>
          <w:rStyle w:val="FootnoteReference"/>
        </w:rPr>
        <w:footnoteRef/>
      </w:r>
      <w:r>
        <w:tab/>
        <w:t xml:space="preserve">See footnote </w:t>
      </w:r>
      <w:r>
        <w:fldChar w:fldCharType="begin"/>
      </w:r>
      <w:r>
        <w:instrText xml:space="preserve"> NOTEREF _Ref9703451 \h  \* MERGEFORMAT </w:instrText>
      </w:r>
      <w:r>
        <w:fldChar w:fldCharType="separate"/>
      </w:r>
      <w:r>
        <w:t>7</w:t>
      </w:r>
      <w:r>
        <w:fldChar w:fldCharType="end"/>
      </w:r>
      <w:r>
        <w:t xml:space="preserve"> and </w:t>
      </w:r>
      <w:hyperlink r:id="rId34" w:history="1">
        <w:r>
          <w:rPr>
            <w:rStyle w:val="Hyperlink"/>
          </w:rPr>
          <w:t>https://ec.europa.eu/inea/en/connecting-europe-facility</w:t>
        </w:r>
      </w:hyperlink>
      <w:r>
        <w:t>.</w:t>
      </w:r>
    </w:p>
  </w:footnote>
  <w:footnote w:id="62">
    <w:p>
      <w:pPr>
        <w:pStyle w:val="FootnoteText"/>
      </w:pPr>
      <w:r>
        <w:rPr>
          <w:rStyle w:val="FootnoteReference"/>
        </w:rPr>
        <w:footnoteRef/>
      </w:r>
      <w:r>
        <w:tab/>
        <w:t xml:space="preserve">See footnote </w:t>
      </w:r>
      <w:r>
        <w:fldChar w:fldCharType="begin"/>
      </w:r>
      <w:r>
        <w:instrText xml:space="preserve"> NOTEREF _Ref9703586 \h  \* MERGEFORMAT </w:instrText>
      </w:r>
      <w:r>
        <w:fldChar w:fldCharType="separate"/>
      </w:r>
      <w:r>
        <w:t>11</w:t>
      </w:r>
      <w:r>
        <w:fldChar w:fldCharType="end"/>
      </w:r>
      <w:r>
        <w:t>.</w:t>
      </w:r>
    </w:p>
  </w:footnote>
  <w:footnote w:id="63">
    <w:p>
      <w:pPr>
        <w:pStyle w:val="FootnoteText"/>
      </w:pPr>
      <w:r>
        <w:rPr>
          <w:rStyle w:val="FootnoteReference"/>
        </w:rPr>
        <w:footnoteRef/>
      </w:r>
      <w:r>
        <w:tab/>
        <w:t xml:space="preserve">See footnote </w:t>
      </w:r>
      <w:r>
        <w:fldChar w:fldCharType="begin"/>
      </w:r>
      <w:r>
        <w:instrText xml:space="preserve"> NOTEREF _Ref9703650 \h  \* MERGEFORMAT </w:instrText>
      </w:r>
      <w:r>
        <w:fldChar w:fldCharType="separate"/>
      </w:r>
      <w:r>
        <w:t>10</w:t>
      </w:r>
      <w:r>
        <w:fldChar w:fldCharType="end"/>
      </w:r>
      <w:r>
        <w:t>.</w:t>
      </w:r>
    </w:p>
  </w:footnote>
  <w:footnote w:id="64">
    <w:p>
      <w:pPr>
        <w:pStyle w:val="FootnoteText"/>
      </w:pPr>
      <w:r>
        <w:rPr>
          <w:rStyle w:val="FootnoteReference"/>
        </w:rPr>
        <w:footnoteRef/>
      </w:r>
      <w:r>
        <w:tab/>
        <w:t xml:space="preserve">See footnote </w:t>
      </w:r>
      <w:r>
        <w:fldChar w:fldCharType="begin"/>
      </w:r>
      <w:r>
        <w:instrText xml:space="preserve"> NOTEREF _Ref9703696 \h  \* MERGEFORMAT </w:instrText>
      </w:r>
      <w:r>
        <w:fldChar w:fldCharType="separate"/>
      </w:r>
      <w:r>
        <w:t>9</w:t>
      </w:r>
      <w:r>
        <w:fldChar w:fldCharType="end"/>
      </w:r>
      <w:r>
        <w:t>.</w:t>
      </w:r>
    </w:p>
  </w:footnote>
  <w:footnote w:id="65">
    <w:p>
      <w:pPr>
        <w:pStyle w:val="FootnoteText"/>
      </w:pPr>
      <w:r>
        <w:rPr>
          <w:rStyle w:val="FootnoteReference"/>
        </w:rPr>
        <w:footnoteRef/>
      </w:r>
      <w:r>
        <w:tab/>
        <w:t xml:space="preserve">See footnote </w:t>
      </w:r>
      <w:r>
        <w:fldChar w:fldCharType="begin"/>
      </w:r>
      <w:r>
        <w:instrText xml:space="preserve"> NOTEREF _Ref8913805 \h  \* MERGEFORMAT </w:instrText>
      </w:r>
      <w:r>
        <w:fldChar w:fldCharType="separate"/>
      </w:r>
      <w:r>
        <w:t>12</w:t>
      </w:r>
      <w:r>
        <w:fldChar w:fldCharType="end"/>
      </w:r>
      <w:r>
        <w:t>.</w:t>
      </w:r>
    </w:p>
  </w:footnote>
  <w:footnote w:id="66">
    <w:p>
      <w:pPr>
        <w:pStyle w:val="FootnoteText"/>
      </w:pPr>
      <w:r>
        <w:rPr>
          <w:rStyle w:val="FootnoteReference"/>
        </w:rPr>
        <w:footnoteRef/>
      </w:r>
      <w:r>
        <w:tab/>
        <w:t xml:space="preserve">For further details, please see: </w:t>
      </w:r>
      <w:hyperlink r:id="rId35" w:history="1">
        <w:r>
          <w:rPr>
            <w:rStyle w:val="Hyperlink"/>
            <w:rFonts w:eastAsiaTheme="majorEastAsia"/>
          </w:rPr>
          <w:t>https://ec.europa.eu/info/departments/informatics/it-governance_en</w:t>
        </w:r>
      </w:hyperlink>
      <w:r>
        <w:t>.</w:t>
      </w:r>
    </w:p>
  </w:footnote>
  <w:footnote w:id="67">
    <w:p>
      <w:pPr>
        <w:pStyle w:val="FootnoteText"/>
      </w:pPr>
      <w:r>
        <w:rPr>
          <w:rStyle w:val="FootnoteReference"/>
        </w:rPr>
        <w:footnoteRef/>
      </w:r>
      <w:r>
        <w:tab/>
        <w:t xml:space="preserve">See footnote </w:t>
      </w:r>
      <w:r>
        <w:fldChar w:fldCharType="begin"/>
      </w:r>
      <w:r>
        <w:instrText xml:space="preserve"> NOTEREF _Ref9705118 \h  \* MERGEFORMAT </w:instrText>
      </w:r>
      <w:r>
        <w:fldChar w:fldCharType="separate"/>
      </w:r>
      <w:r>
        <w:t>8</w:t>
      </w:r>
      <w:r>
        <w:fldChar w:fldCharType="end"/>
      </w:r>
      <w:r>
        <w:t>.</w:t>
      </w:r>
    </w:p>
  </w:footnote>
  <w:footnote w:id="68">
    <w:p>
      <w:pPr>
        <w:pStyle w:val="FootnoteText"/>
      </w:pPr>
      <w:r>
        <w:rPr>
          <w:rStyle w:val="FootnoteReference"/>
        </w:rPr>
        <w:footnoteRef/>
      </w:r>
      <w:r>
        <w:tab/>
        <w:t>The ISA</w:t>
      </w:r>
      <w:r>
        <w:rPr>
          <w:vertAlign w:val="superscript"/>
        </w:rPr>
        <w:t>2</w:t>
      </w:r>
      <w:r>
        <w:t xml:space="preserve"> action mentioned is ‘2017.05 Interoperability requirements for the Single Digital Gateway implementation’. For more information see: </w:t>
      </w:r>
      <w:hyperlink r:id="rId36" w:history="1">
        <w:r>
          <w:rPr>
            <w:rStyle w:val="Hyperlink"/>
          </w:rPr>
          <w:t>https://ec.europa.eu/isa2/actions/common-architecture-single-digital-gateway_en</w:t>
        </w:r>
      </w:hyperlink>
      <w:r>
        <w:t>.</w:t>
      </w:r>
    </w:p>
  </w:footnote>
  <w:footnote w:id="69">
    <w:p>
      <w:pPr>
        <w:pStyle w:val="FootnoteText"/>
      </w:pPr>
      <w:r>
        <w:rPr>
          <w:rStyle w:val="FootnoteReference"/>
        </w:rPr>
        <w:footnoteRef/>
      </w:r>
      <w:r>
        <w:tab/>
        <w:t>Please see the description of the ‘ABCDE — Administrations, business and citizens’ data exchanges in the domain of case management’ solution in the 2018 ISA</w:t>
      </w:r>
      <w:r>
        <w:rPr>
          <w:vertAlign w:val="superscript"/>
        </w:rPr>
        <w:t>2</w:t>
      </w:r>
      <w:r>
        <w:t xml:space="preserve"> rolling work programme: </w:t>
      </w:r>
      <w:hyperlink r:id="rId37" w:history="1">
        <w:r>
          <w:rPr>
            <w:rStyle w:val="Hyperlink"/>
            <w:rFonts w:eastAsiaTheme="majorEastAsia"/>
          </w:rPr>
          <w:t>https://ec.europa.eu/isa2/library/isa%C2 %B2-work-programme_en</w:t>
        </w:r>
      </w:hyperlink>
      <w:r>
        <w:t>.</w:t>
      </w:r>
    </w:p>
  </w:footnote>
  <w:footnote w:id="70">
    <w:p>
      <w:pPr>
        <w:pStyle w:val="FootnoteText"/>
      </w:pPr>
      <w:r>
        <w:rPr>
          <w:rStyle w:val="FootnoteReference"/>
        </w:rPr>
        <w:footnoteRef/>
      </w:r>
      <w:r>
        <w:tab/>
        <w:t xml:space="preserve">Please see: </w:t>
      </w:r>
      <w:hyperlink r:id="rId38" w:history="1">
        <w:r>
          <w:rPr>
            <w:rStyle w:val="Hyperlink"/>
            <w:rFonts w:eastAsiaTheme="majorEastAsia"/>
          </w:rPr>
          <w:t>https://ec.europa.eu/isa2/solutions/e-documents-reference-architecture_en</w:t>
        </w:r>
      </w:hyperlink>
      <w:r>
        <w:t>.</w:t>
      </w:r>
    </w:p>
  </w:footnote>
  <w:footnote w:id="71">
    <w:p>
      <w:pPr>
        <w:pStyle w:val="FootnoteText"/>
      </w:pPr>
      <w:r>
        <w:rPr>
          <w:rStyle w:val="FootnoteReference"/>
        </w:rPr>
        <w:footnoteRef/>
      </w:r>
      <w:r>
        <w:tab/>
        <w:t xml:space="preserve">See footnote </w:t>
      </w:r>
      <w:r>
        <w:fldChar w:fldCharType="begin"/>
      </w:r>
      <w:r>
        <w:instrText xml:space="preserve"> NOTEREF _Ref7121665 \h  \* MERGEFORMAT </w:instrText>
      </w:r>
      <w:r>
        <w:fldChar w:fldCharType="separate"/>
      </w:r>
      <w:r>
        <w:t>4</w:t>
      </w:r>
      <w:r>
        <w:fldChar w:fldCharType="end"/>
      </w:r>
      <w:r>
        <w:t>.</w:t>
      </w:r>
    </w:p>
  </w:footnote>
  <w:footnote w:id="72">
    <w:p>
      <w:pPr>
        <w:pStyle w:val="FootnoteText"/>
      </w:pPr>
      <w:r>
        <w:rPr>
          <w:rStyle w:val="FootnoteReference"/>
        </w:rPr>
        <w:footnoteRef/>
      </w:r>
      <w:r>
        <w:tab/>
        <w:t xml:space="preserve">See footnote </w:t>
      </w:r>
      <w:r>
        <w:fldChar w:fldCharType="begin"/>
      </w:r>
      <w:r>
        <w:instrText xml:space="preserve"> NOTEREF _Ref9707598 \h  \* MERGEFORMAT </w:instrText>
      </w:r>
      <w:r>
        <w:fldChar w:fldCharType="separate"/>
      </w:r>
      <w:r>
        <w:t>5</w:t>
      </w:r>
      <w:r>
        <w:fldChar w:fldCharType="end"/>
      </w:r>
      <w:r>
        <w:t>, p. 1.</w:t>
      </w:r>
    </w:p>
  </w:footnote>
  <w:footnote w:id="73">
    <w:p>
      <w:pPr>
        <w:pStyle w:val="FootnoteText"/>
      </w:pPr>
      <w:r>
        <w:rPr>
          <w:rStyle w:val="FootnoteReference"/>
        </w:rPr>
        <w:footnoteRef/>
      </w:r>
      <w:r>
        <w:tab/>
        <w:t xml:space="preserve">The ‘once-only’ principle project, </w:t>
      </w:r>
      <w:hyperlink r:id="rId39" w:history="1">
        <w:r>
          <w:rPr>
            <w:rStyle w:val="Hyperlink"/>
          </w:rPr>
          <w:t>http://www.toop.eu/</w:t>
        </w:r>
      </w:hyperlink>
      <w:r>
        <w:t>.</w:t>
      </w:r>
    </w:p>
  </w:footnote>
  <w:footnote w:id="74">
    <w:p>
      <w:pPr>
        <w:pStyle w:val="FootnoteText"/>
      </w:pPr>
      <w:r>
        <w:rPr>
          <w:rStyle w:val="FootnoteReference"/>
        </w:rPr>
        <w:footnoteRef/>
      </w:r>
      <w:r>
        <w:tab/>
        <w:t xml:space="preserve">Please see: </w:t>
      </w:r>
      <w:hyperlink r:id="rId40" w:history="1">
        <w:r>
          <w:rPr>
            <w:rStyle w:val="Hyperlink"/>
          </w:rPr>
          <w:t>https://ec.europa.eu/digital-single-market/en/rolling-plan-ict-standardisation</w:t>
        </w:r>
      </w:hyperlink>
      <w:r>
        <w:t>.</w:t>
      </w:r>
    </w:p>
  </w:footnote>
  <w:footnote w:id="75">
    <w:p>
      <w:pPr>
        <w:pStyle w:val="FootnoteText"/>
      </w:pPr>
      <w:r>
        <w:rPr>
          <w:rStyle w:val="FootnoteReference"/>
        </w:rPr>
        <w:footnoteRef/>
      </w:r>
      <w:r>
        <w:tab/>
        <w:t xml:space="preserve">Please see: </w:t>
      </w:r>
      <w:hyperlink r:id="rId41" w:history="1">
        <w:r>
          <w:rPr>
            <w:rStyle w:val="Hyperlink"/>
          </w:rPr>
          <w:t>https://ec.europa.eu/isa2/solutions/asset-description-metadata-schema-adms_en</w:t>
        </w:r>
      </w:hyperlink>
      <w:r>
        <w:t>.</w:t>
      </w:r>
    </w:p>
  </w:footnote>
  <w:footnote w:id="76">
    <w:p>
      <w:pPr>
        <w:pStyle w:val="FootnoteText"/>
        <w:jc w:val="left"/>
      </w:pPr>
      <w:r>
        <w:rPr>
          <w:rStyle w:val="FootnoteReference"/>
          <w:rFonts w:eastAsiaTheme="majorEastAsia"/>
        </w:rPr>
        <w:footnoteRef/>
      </w:r>
      <w:r>
        <w:tab/>
        <w:t xml:space="preserve">See details about the W3C note process: </w:t>
      </w:r>
      <w:hyperlink r:id="rId42" w:history="1">
        <w:r>
          <w:rPr>
            <w:rStyle w:val="Hyperlink"/>
          </w:rPr>
          <w:t>https://www.w3.org/Consortium/Process/NOTE.html</w:t>
        </w:r>
      </w:hyperlink>
      <w:r>
        <w:t>.</w:t>
      </w:r>
    </w:p>
  </w:footnote>
  <w:footnote w:id="77">
    <w:p>
      <w:pPr>
        <w:pStyle w:val="FootnoteText"/>
      </w:pPr>
      <w:r>
        <w:rPr>
          <w:rStyle w:val="FootnoteReference"/>
        </w:rPr>
        <w:footnoteRef/>
      </w:r>
      <w:r>
        <w:tab/>
        <w:t xml:space="preserve">Please see: </w:t>
      </w:r>
      <w:hyperlink r:id="rId43" w:history="1">
        <w:r>
          <w:rPr>
            <w:rStyle w:val="Hyperlink"/>
          </w:rPr>
          <w:t>https://ec.europa.eu/isa2/solutions/dcat-application-profile-data-portals-europe_en</w:t>
        </w:r>
      </w:hyperlink>
      <w:r>
        <w:t>.</w:t>
      </w:r>
    </w:p>
  </w:footnote>
  <w:footnote w:id="78">
    <w:p>
      <w:pPr>
        <w:pStyle w:val="FootnoteText"/>
        <w:keepLines/>
      </w:pPr>
      <w:r>
        <w:rPr>
          <w:rStyle w:val="FootnoteReference"/>
        </w:rPr>
        <w:footnoteRef/>
      </w:r>
      <w:r>
        <w:tab/>
        <w:t>On a more general note, it is not only the various European standards that may need to be better aligned; the links between European, international and global standards could also be better clarified. The final ISA</w:t>
      </w:r>
      <w:r>
        <w:rPr>
          <w:vertAlign w:val="superscript"/>
        </w:rPr>
        <w:t>2</w:t>
      </w:r>
      <w:r>
        <w:t xml:space="preserve"> evaluation may investigate what the role of a European interoperability programme should be in this regard.</w:t>
      </w:r>
    </w:p>
  </w:footnote>
  <w:footnote w:id="79">
    <w:p>
      <w:pPr>
        <w:pStyle w:val="FootnoteText"/>
      </w:pPr>
      <w:r>
        <w:rPr>
          <w:rStyle w:val="FootnoteReference"/>
        </w:rPr>
        <w:footnoteRef/>
      </w:r>
      <w:r>
        <w:tab/>
        <w:t xml:space="preserve">See footnote </w:t>
      </w:r>
      <w:r>
        <w:fldChar w:fldCharType="begin"/>
      </w:r>
      <w:r>
        <w:instrText xml:space="preserve"> NOTEREF _Ref9716498 \h  \* MERGEFORMAT </w:instrText>
      </w:r>
      <w:r>
        <w:fldChar w:fldCharType="separate"/>
      </w:r>
      <w:r>
        <w:t>6</w:t>
      </w:r>
      <w:r>
        <w:fldChar w:fldCharType="end"/>
      </w:r>
      <w:r>
        <w:t>.</w:t>
      </w:r>
    </w:p>
  </w:footnote>
  <w:footnote w:id="80">
    <w:p>
      <w:pPr>
        <w:pStyle w:val="FootnoteText"/>
      </w:pPr>
      <w:r>
        <w:rPr>
          <w:rStyle w:val="FootnoteReference"/>
        </w:rPr>
        <w:footnoteRef/>
      </w:r>
      <w:r>
        <w:tab/>
        <w:t xml:space="preserve">See: </w:t>
      </w:r>
      <w:hyperlink r:id="rId44" w:history="1">
        <w:r>
          <w:rPr>
            <w:rStyle w:val="Hyperlink"/>
          </w:rPr>
          <w:t>https://ec.europa.eu/isa2/solutions/imaps_en</w:t>
        </w:r>
      </w:hyperlink>
      <w:r>
        <w:t>.</w:t>
      </w:r>
    </w:p>
  </w:footnote>
  <w:footnote w:id="81">
    <w:p>
      <w:pPr>
        <w:pStyle w:val="FootnoteText"/>
        <w:jc w:val="left"/>
      </w:pPr>
      <w:r>
        <w:rPr>
          <w:rStyle w:val="FootnoteReference"/>
          <w:rFonts w:eastAsiaTheme="majorEastAsia"/>
        </w:rPr>
        <w:footnoteRef/>
      </w:r>
      <w:r>
        <w:tab/>
        <w:t xml:space="preserve">See: </w:t>
      </w:r>
      <w:hyperlink r:id="rId45" w:history="1">
        <w:r>
          <w:rPr>
            <w:rStyle w:val="Hyperlink"/>
          </w:rPr>
          <w:t>https://ec.europa.eu/isa2/news/interested-semantic-interoperability-read-about-semic-highlights-second-half-2018_en</w:t>
        </w:r>
      </w:hyperlink>
      <w:r>
        <w:t>.</w:t>
      </w:r>
    </w:p>
  </w:footnote>
  <w:footnote w:id="82">
    <w:p>
      <w:pPr>
        <w:pStyle w:val="FootnoteText"/>
      </w:pPr>
      <w:r>
        <w:rPr>
          <w:rStyle w:val="FootnoteReference"/>
        </w:rPr>
        <w:footnoteRef/>
      </w:r>
      <w:r>
        <w:tab/>
        <w:t xml:space="preserve">See footnote </w:t>
      </w:r>
      <w:r>
        <w:fldChar w:fldCharType="begin"/>
      </w:r>
      <w:r>
        <w:instrText xml:space="preserve"> NOTEREF _Ref8397735 \h  \* MERGEFORMAT </w:instrText>
      </w:r>
      <w:r>
        <w:fldChar w:fldCharType="separate"/>
      </w:r>
      <w:r>
        <w:t>3</w:t>
      </w:r>
      <w:r>
        <w:fldChar w:fldCharType="end"/>
      </w:r>
      <w:r>
        <w:t>.</w:t>
      </w:r>
    </w:p>
  </w:footnote>
  <w:footnote w:id="83">
    <w:p>
      <w:pPr>
        <w:pStyle w:val="FootnoteText"/>
        <w:jc w:val="left"/>
      </w:pPr>
      <w:r>
        <w:rPr>
          <w:rStyle w:val="FootnoteReference"/>
        </w:rPr>
        <w:footnoteRef/>
      </w:r>
      <w:r>
        <w:tab/>
        <w:t xml:space="preserve">See </w:t>
      </w:r>
      <w:r>
        <w:fldChar w:fldCharType="begin"/>
      </w:r>
      <w:r>
        <w:instrText xml:space="preserve"> REF _Ref1398290 \h  \* MERGEFORMAT </w:instrText>
      </w:r>
      <w:r>
        <w:fldChar w:fldCharType="separate"/>
      </w:r>
      <w:r>
        <w:t>Figure 1</w:t>
      </w:r>
      <w:r>
        <w:fldChar w:fldCharType="end"/>
      </w:r>
      <w:r>
        <w:t xml:space="preserve"> for the original needs and problems.</w:t>
      </w:r>
    </w:p>
  </w:footnote>
  <w:footnote w:id="84">
    <w:p>
      <w:pPr>
        <w:pStyle w:val="FootnoteText"/>
      </w:pPr>
      <w:r>
        <w:rPr>
          <w:rStyle w:val="FootnoteReference"/>
        </w:rPr>
        <w:footnoteRef/>
      </w:r>
      <w:r>
        <w:t xml:space="preserve"> </w:t>
      </w:r>
      <w:r>
        <w:tab/>
        <w:t xml:space="preserve">See: </w:t>
      </w:r>
      <w:hyperlink r:id="rId46" w:history="1">
        <w:r>
          <w:rPr>
            <w:rStyle w:val="Hyperlink"/>
          </w:rPr>
          <w:t>https://joinup.ec.europa.eu/collection/european-interoperability-reference-architecture-eira/catalogue-solutions</w:t>
        </w:r>
      </w:hyperlink>
    </w:p>
  </w:footnote>
  <w:footnote w:id="85">
    <w:p>
      <w:pPr>
        <w:pStyle w:val="FootnoteText"/>
      </w:pPr>
      <w:r>
        <w:rPr>
          <w:rStyle w:val="FootnoteReference"/>
        </w:rPr>
        <w:footnoteRef/>
      </w:r>
      <w:r>
        <w:t xml:space="preserve"> </w:t>
      </w:r>
      <w:r>
        <w:tab/>
        <w:t xml:space="preserve">See: </w:t>
      </w:r>
      <w:hyperlink r:id="rId47" w:history="1">
        <w:r>
          <w:rPr>
            <w:rStyle w:val="Hyperlink"/>
          </w:rPr>
          <w:t>https://joinup.ec.europa.eu/collection/european-interoperability-reference-architecture-eira/good-practices</w:t>
        </w:r>
      </w:hyperlink>
    </w:p>
  </w:footnote>
  <w:footnote w:id="86">
    <w:p>
      <w:pPr>
        <w:pStyle w:val="FootnoteText"/>
      </w:pPr>
      <w:r>
        <w:rPr>
          <w:rStyle w:val="FootnoteReference"/>
        </w:rPr>
        <w:footnoteRef/>
      </w:r>
      <w:r>
        <w:t xml:space="preserve"> </w:t>
      </w:r>
      <w:r>
        <w:tab/>
        <w:t xml:space="preserve">See: </w:t>
      </w:r>
      <w:hyperlink r:id="rId48" w:history="1">
        <w:r>
          <w:rPr>
            <w:rStyle w:val="Hyperlink"/>
          </w:rPr>
          <w:t>https://ec.europa.eu/isa2/solutions/circabc_en</w:t>
        </w:r>
      </w:hyperlink>
    </w:p>
  </w:footnote>
  <w:footnote w:id="87">
    <w:p>
      <w:pPr>
        <w:pStyle w:val="FootnoteText"/>
      </w:pPr>
      <w:r>
        <w:rPr>
          <w:rStyle w:val="FootnoteReference"/>
        </w:rPr>
        <w:footnoteRef/>
      </w:r>
      <w:r>
        <w:tab/>
        <w:t xml:space="preserve">See: </w:t>
      </w:r>
      <w:hyperlink r:id="rId49" w:history="1">
        <w:r>
          <w:rPr>
            <w:rStyle w:val="Hyperlink"/>
            <w:rFonts w:eastAsiaTheme="majorEastAsia"/>
          </w:rPr>
          <w:t>http://ec.europa.eu/isa2/library/eprior/</w:t>
        </w:r>
      </w:hyperlink>
    </w:p>
  </w:footnote>
  <w:footnote w:id="88">
    <w:p>
      <w:pPr>
        <w:pStyle w:val="FootnoteText"/>
      </w:pPr>
      <w:r>
        <w:rPr>
          <w:rStyle w:val="FootnoteReference"/>
        </w:rPr>
        <w:footnoteRef/>
      </w:r>
      <w:r>
        <w:tab/>
        <w:t xml:space="preserve">See: </w:t>
      </w:r>
      <w:hyperlink r:id="rId50" w:history="1">
        <w:r>
          <w:rPr>
            <w:rStyle w:val="Hyperlink"/>
            <w:rFonts w:eastAsiaTheme="majorEastAsia"/>
          </w:rPr>
          <w:t>https://e-justice.europa.eu/home.do?action=home</w:t>
        </w:r>
      </w:hyperlink>
    </w:p>
  </w:footnote>
  <w:footnote w:id="89">
    <w:p>
      <w:pPr>
        <w:pStyle w:val="FootnoteText"/>
      </w:pPr>
      <w:r>
        <w:rPr>
          <w:rStyle w:val="FootnoteReference"/>
        </w:rPr>
        <w:footnoteRef/>
      </w:r>
      <w:r>
        <w:tab/>
        <w:t xml:space="preserve">See: </w:t>
      </w:r>
      <w:hyperlink r:id="rId51" w:anchor="/home" w:history="1">
        <w:r>
          <w:rPr>
            <w:rStyle w:val="Hyperlink"/>
          </w:rPr>
          <w:t>https://webgate.ec.europa.eu/regdel/#/home</w:t>
        </w:r>
      </w:hyperlink>
    </w:p>
  </w:footnote>
  <w:footnote w:id="90">
    <w:p>
      <w:pPr>
        <w:pStyle w:val="FootnoteText"/>
      </w:pPr>
      <w:r>
        <w:rPr>
          <w:rStyle w:val="FootnoteReference"/>
        </w:rPr>
        <w:footnoteRef/>
      </w:r>
      <w:r>
        <w:t xml:space="preserve"> </w:t>
      </w:r>
      <w:r>
        <w:tab/>
        <w:t xml:space="preserve">See: </w:t>
      </w:r>
      <w:hyperlink r:id="rId52" w:history="1">
        <w:r>
          <w:rPr>
            <w:rStyle w:val="Hyperlink"/>
          </w:rPr>
          <w:t>http://www.europarl.europa.eu/doceo/document/TA-8-2016-0081_EN.html?redirect</w:t>
        </w:r>
      </w:hyperlink>
    </w:p>
  </w:footnote>
  <w:footnote w:id="91">
    <w:p>
      <w:pPr>
        <w:pStyle w:val="FootnoteText"/>
      </w:pPr>
      <w:r>
        <w:rPr>
          <w:rStyle w:val="FootnoteReference"/>
        </w:rPr>
        <w:footnoteRef/>
      </w:r>
      <w:r>
        <w:t xml:space="preserve"> </w:t>
      </w:r>
      <w:r>
        <w:tab/>
        <w:t xml:space="preserve">See: </w:t>
      </w:r>
      <w:hyperlink r:id="rId53" w:history="1">
        <w:r>
          <w:rPr>
            <w:rStyle w:val="Hyperlink"/>
          </w:rPr>
          <w:t>https://data.europa.eu/euodp/en/visualisation-home</w:t>
        </w:r>
      </w:hyperlink>
    </w:p>
  </w:footnote>
  <w:footnote w:id="92">
    <w:p>
      <w:pPr>
        <w:pStyle w:val="FootnoteText"/>
      </w:pPr>
      <w:r>
        <w:rPr>
          <w:rStyle w:val="FootnoteReference"/>
        </w:rPr>
        <w:footnoteRef/>
      </w:r>
      <w:r>
        <w:tab/>
        <w:t xml:space="preserve">See for example: </w:t>
      </w:r>
      <w:r>
        <w:fldChar w:fldCharType="begin"/>
      </w:r>
      <w:r>
        <w:instrText xml:space="preserve"> REF _Ref11681623 \h  \* MERGEFORMAT </w:instrText>
      </w:r>
      <w:r>
        <w:fldChar w:fldCharType="separate"/>
      </w:r>
      <w:r>
        <w:t>Box 2</w:t>
      </w:r>
      <w:r>
        <w:fldChar w:fldCharType="end"/>
      </w:r>
      <w:r>
        <w:t xml:space="preserve"> and </w:t>
      </w:r>
      <w:r>
        <w:fldChar w:fldCharType="begin"/>
      </w:r>
      <w:r>
        <w:instrText xml:space="preserve"> REF _Ref11683292 \h  \* MERGEFORMAT </w:instrText>
      </w:r>
      <w:r>
        <w:fldChar w:fldCharType="separate"/>
      </w:r>
      <w:r>
        <w:t>Box 7</w:t>
      </w:r>
      <w:r>
        <w:fldChar w:fldCharType="end"/>
      </w:r>
      <w:r>
        <w:t>.</w:t>
      </w:r>
    </w:p>
  </w:footnote>
  <w:footnote w:id="93">
    <w:p>
      <w:pPr>
        <w:pStyle w:val="FootnoteText"/>
      </w:pPr>
      <w:r>
        <w:rPr>
          <w:rStyle w:val="FootnoteReference"/>
        </w:rPr>
        <w:footnoteRef/>
      </w:r>
      <w:r>
        <w:tab/>
        <w:t>Operations and maintenance costs consist of the monetary costs incurred to run, monitor, and ensure the proper functioning of a solution.</w:t>
      </w:r>
    </w:p>
  </w:footnote>
  <w:footnote w:id="94">
    <w:p>
      <w:pPr>
        <w:pStyle w:val="FootnoteText"/>
      </w:pPr>
      <w:r>
        <w:rPr>
          <w:rStyle w:val="FootnoteReference"/>
        </w:rPr>
        <w:footnoteRef/>
      </w:r>
      <w:r>
        <w:tab/>
        <w:t>Technical and operational support refers to the human resources mobilised in activities such as helpdesks or providing IT support to users.</w:t>
      </w:r>
    </w:p>
  </w:footnote>
  <w:footnote w:id="95">
    <w:p>
      <w:pPr>
        <w:pStyle w:val="FootnoteText"/>
      </w:pPr>
      <w:r>
        <w:rPr>
          <w:rStyle w:val="FootnoteReference"/>
        </w:rPr>
        <w:footnoteRef/>
      </w:r>
      <w:r>
        <w:tab/>
        <w:t>The technical experts involved in the evaluation noted that for most solutions the continued updating and maintenance might be more expensive than the initial development.</w:t>
      </w:r>
    </w:p>
  </w:footnote>
  <w:footnote w:id="96">
    <w:p>
      <w:pPr>
        <w:pStyle w:val="FootnoteText"/>
      </w:pPr>
      <w:r>
        <w:rPr>
          <w:rStyle w:val="FootnoteReference"/>
        </w:rPr>
        <w:footnoteRef/>
      </w:r>
      <w:r>
        <w:tab/>
        <w:t xml:space="preserve">See: </w:t>
      </w:r>
      <w:hyperlink r:id="rId54" w:history="1">
        <w:r>
          <w:rPr>
            <w:rStyle w:val="Hyperlink"/>
          </w:rPr>
          <w:t>https://eupl.eu/</w:t>
        </w:r>
      </w:hyperlink>
      <w:r>
        <w:t>.</w:t>
      </w:r>
    </w:p>
  </w:footnote>
  <w:footnote w:id="97">
    <w:p>
      <w:pPr>
        <w:pStyle w:val="FootnoteText"/>
      </w:pPr>
      <w:r>
        <w:rPr>
          <w:rStyle w:val="FootnoteReference"/>
        </w:rPr>
        <w:footnoteRef/>
      </w:r>
      <w:r>
        <w:tab/>
        <w:t xml:space="preserve">See footnote </w:t>
      </w:r>
      <w:r>
        <w:fldChar w:fldCharType="begin"/>
      </w:r>
      <w:r>
        <w:instrText xml:space="preserve"> NOTEREF _Ref11686240 \h  \* MERGEFORMAT </w:instrText>
      </w:r>
      <w:r>
        <w:fldChar w:fldCharType="separate"/>
      </w:r>
      <w:r>
        <w:t>20</w:t>
      </w:r>
      <w:r>
        <w:fldChar w:fldCharType="end"/>
      </w:r>
      <w:r>
        <w:rPr>
          <w:highlight w:val="yellow"/>
        </w:rPr>
        <w:fldChar w:fldCharType="begin"/>
      </w:r>
      <w:r>
        <w:instrText xml:space="preserve"> NOTEREF _Ref9858116 \h </w:instrText>
      </w:r>
      <w:r>
        <w:rPr>
          <w:highlight w:val="yellow"/>
        </w:rPr>
        <w:instrText xml:space="preserve"> \* MERGEFORMAT </w:instrText>
      </w:r>
      <w:r>
        <w:rPr>
          <w:highlight w:val="yellow"/>
        </w:rPr>
      </w:r>
      <w:r>
        <w:rPr>
          <w:highlight w:val="yellow"/>
        </w:rPr>
        <w:fldChar w:fldCharType="end"/>
      </w:r>
      <w:r>
        <w:t>.</w:t>
      </w:r>
    </w:p>
  </w:footnote>
  <w:footnote w:id="98">
    <w:p>
      <w:pPr>
        <w:pStyle w:val="FootnoteText"/>
        <w:jc w:val="left"/>
      </w:pPr>
      <w:r>
        <w:rPr>
          <w:rStyle w:val="FootnoteReference"/>
        </w:rPr>
        <w:footnoteRef/>
      </w:r>
      <w:r>
        <w:tab/>
        <w:t xml:space="preserve">Please see: </w:t>
      </w:r>
      <w:hyperlink r:id="rId55" w:history="1">
        <w:r>
          <w:rPr>
            <w:rStyle w:val="Hyperlink"/>
            <w:rFonts w:eastAsiaTheme="majorEastAsia"/>
          </w:rPr>
          <w:t>https://ec.europa.eu/info/law/better-regulation/initiatives/ares-2018-2768206_en</w:t>
        </w:r>
      </w:hyperlink>
      <w:r>
        <w:rPr>
          <w:rStyle w:val="Hyperlink"/>
          <w:rFonts w:eastAsiaTheme="majorEastAsia"/>
        </w:rPr>
        <w:t>.</w:t>
      </w:r>
    </w:p>
  </w:footnote>
  <w:footnote w:id="99">
    <w:p>
      <w:pPr>
        <w:pStyle w:val="FootnoteText"/>
        <w:jc w:val="left"/>
      </w:pPr>
      <w:r>
        <w:rPr>
          <w:rStyle w:val="FootnoteReference"/>
        </w:rPr>
        <w:footnoteRef/>
      </w:r>
      <w:r>
        <w:tab/>
        <w:t xml:space="preserve">Please see: </w:t>
      </w:r>
      <w:hyperlink r:id="rId56" w:history="1">
        <w:r>
          <w:rPr>
            <w:rStyle w:val="Hyperlink"/>
          </w:rPr>
          <w:t>https://ec.europa.eu/isa2/sites/isa/files/consultation_strategy_isa2_interim_evaluation.pdf</w:t>
        </w:r>
      </w:hyperlink>
      <w:r>
        <w:rPr>
          <w:rStyle w:val="Hyperlink"/>
        </w:rPr>
        <w:t>.</w:t>
      </w:r>
    </w:p>
  </w:footnote>
  <w:footnote w:id="100">
    <w:p>
      <w:pPr>
        <w:pStyle w:val="FootnoteText"/>
        <w:jc w:val="left"/>
      </w:pPr>
      <w:r>
        <w:rPr>
          <w:rStyle w:val="FootnoteReference"/>
          <w:rFonts w:eastAsiaTheme="majorEastAsia"/>
        </w:rPr>
        <w:footnoteRef/>
      </w:r>
      <w:r>
        <w:tab/>
        <w:t xml:space="preserve">Please see: </w:t>
      </w:r>
      <w:hyperlink r:id="rId57" w:history="1">
        <w:r>
          <w:rPr>
            <w:rStyle w:val="Hyperlink"/>
            <w:rFonts w:eastAsiaTheme="majorEastAsia"/>
          </w:rPr>
          <w:t>https://ec.europa.eu/info/law/better-regulation/initiatives/ares-2018-2768206/feedback_en?p_id=239250</w:t>
        </w:r>
      </w:hyperlink>
      <w:r>
        <w:rPr>
          <w:rStyle w:val="Hyperlink"/>
          <w:rFonts w:eastAsiaTheme="majorEastAsia"/>
        </w:rPr>
        <w:t>.</w:t>
      </w:r>
    </w:p>
  </w:footnote>
  <w:footnote w:id="101">
    <w:p>
      <w:pPr>
        <w:pStyle w:val="FootnoteText"/>
        <w:jc w:val="left"/>
      </w:pPr>
      <w:r>
        <w:rPr>
          <w:rStyle w:val="FootnoteReference"/>
          <w:rFonts w:eastAsiaTheme="majorEastAsia"/>
        </w:rPr>
        <w:footnoteRef/>
      </w:r>
      <w:r>
        <w:tab/>
        <w:t xml:space="preserve">Please see: </w:t>
      </w:r>
      <w:hyperlink r:id="rId58" w:history="1">
        <w:r>
          <w:rPr>
            <w:rStyle w:val="Hyperlink"/>
            <w:rFonts w:eastAsiaTheme="majorEastAsia"/>
          </w:rPr>
          <w:t>https://ec.europa.eu/info/law/better-regulation/initiatives/ares-2018-2768206/public-consultation_en</w:t>
        </w:r>
      </w:hyperlink>
      <w:r>
        <w:rPr>
          <w:rStyle w:val="Hyperlink"/>
          <w:rFonts w:eastAsiaTheme="majorEastAsia"/>
        </w:rPr>
        <w:t>.</w:t>
      </w:r>
    </w:p>
  </w:footnote>
  <w:footnote w:id="102">
    <w:p>
      <w:pPr>
        <w:pStyle w:val="FootnoteText"/>
      </w:pPr>
      <w:r>
        <w:rPr>
          <w:rStyle w:val="FootnoteReference"/>
          <w:rFonts w:eastAsiaTheme="majorEastAsia"/>
        </w:rPr>
        <w:footnoteRef/>
      </w:r>
      <w:r>
        <w:tab/>
        <w:t xml:space="preserve">Please see: </w:t>
      </w:r>
      <w:hyperlink r:id="rId59" w:history="1">
        <w:r>
          <w:rPr>
            <w:rStyle w:val="Hyperlink"/>
            <w:rFonts w:eastAsiaTheme="majorEastAsia"/>
          </w:rPr>
          <w:t>https://ec.europa.eu/isa2/isa2conf18_en</w:t>
        </w:r>
      </w:hyperlink>
      <w:r>
        <w:rPr>
          <w:rStyle w:val="Hyperlink"/>
          <w:rFonts w:eastAsiaTheme="majorEastAsia"/>
        </w:rPr>
        <w:t>.</w:t>
      </w:r>
    </w:p>
  </w:footnote>
  <w:footnote w:id="103">
    <w:p>
      <w:pPr>
        <w:pStyle w:val="FootnoteText"/>
        <w:jc w:val="left"/>
      </w:pPr>
      <w:r>
        <w:rPr>
          <w:rStyle w:val="FootnoteReference"/>
          <w:rFonts w:eastAsiaTheme="majorEastAsia"/>
        </w:rPr>
        <w:footnoteRef/>
      </w:r>
      <w:r>
        <w:tab/>
        <w:t xml:space="preserve">Please see: </w:t>
      </w:r>
      <w:hyperlink r:id="rId60" w:history="1">
        <w:r>
          <w:rPr>
            <w:rStyle w:val="Hyperlink"/>
            <w:rFonts w:eastAsiaTheme="majorEastAsia"/>
          </w:rPr>
          <w:t>https://ec.europa.eu/isa2/events/isa%C2%B2-interim-evaluation-kick-workshop_en</w:t>
        </w:r>
      </w:hyperlink>
      <w:r>
        <w:rPr>
          <w:rStyle w:val="Hyperlink"/>
          <w:rFonts w:eastAsiaTheme="majorEastAsia"/>
        </w:rPr>
        <w:t>.</w:t>
      </w:r>
    </w:p>
  </w:footnote>
  <w:footnote w:id="104">
    <w:p>
      <w:pPr>
        <w:pStyle w:val="FootnoteText"/>
      </w:pPr>
      <w:r>
        <w:rPr>
          <w:rStyle w:val="FootnoteReference"/>
        </w:rPr>
        <w:footnoteRef/>
      </w:r>
      <w:r>
        <w:t xml:space="preserve"> </w:t>
      </w:r>
      <w:r>
        <w:tab/>
        <w:t>Stakeholders were considered to be familiar with a package if they indicated that they had knowledge of the package to some extent, to a high extent or to the fullest extent.</w:t>
      </w:r>
    </w:p>
  </w:footnote>
  <w:footnote w:id="105">
    <w:p>
      <w:pPr>
        <w:pStyle w:val="FootnoteText"/>
      </w:pPr>
      <w:r>
        <w:rPr>
          <w:rStyle w:val="FootnoteReference"/>
        </w:rPr>
        <w:footnoteRef/>
      </w:r>
      <w:r>
        <w:tab/>
        <w:t>The PV and AC are equal in all cases. As explained on the ISA</w:t>
      </w:r>
      <w:r>
        <w:rPr>
          <w:vertAlign w:val="superscript"/>
        </w:rPr>
        <w:t xml:space="preserve">2 </w:t>
      </w:r>
      <w:r>
        <w:t>Dashboard, most of the specific contracts under the ISA</w:t>
      </w:r>
      <w:r>
        <w:rPr>
          <w:vertAlign w:val="superscript"/>
        </w:rPr>
        <w:t>2</w:t>
      </w:r>
      <w:r>
        <w:t xml:space="preserve"> actions are on fixed price, therefore it is not relevant to keep track of the AC before the end of a Work Programme year. Taking this into account, the AC is then considered equal to the PV. For more details please see: ISA</w:t>
      </w:r>
      <w:r>
        <w:rPr>
          <w:vertAlign w:val="superscript"/>
        </w:rPr>
        <w:t>2</w:t>
      </w:r>
      <w:r>
        <w:t xml:space="preserve"> Dashboard — Frequently Asked Questions, </w:t>
      </w:r>
      <w:hyperlink r:id="rId61" w:history="1">
        <w:r>
          <w:rPr>
            <w:rStyle w:val="Hyperlink"/>
            <w:rFonts w:eastAsiaTheme="majorEastAsia"/>
          </w:rPr>
          <w:t>https://ec.europa.eu/isa2/dashboard/faq-page</w:t>
        </w:r>
      </w:hyperlink>
      <w:r>
        <w:t>.</w:t>
      </w:r>
    </w:p>
  </w:footnote>
  <w:footnote w:id="106">
    <w:p>
      <w:pPr>
        <w:pStyle w:val="FootnoteText"/>
      </w:pPr>
      <w:r>
        <w:rPr>
          <w:rStyle w:val="FootnoteReference"/>
        </w:rPr>
        <w:footnoteRef/>
      </w:r>
      <w:r>
        <w:tab/>
        <w:t>Needs refer to prerequisites for the efficient delivery of European public services, more specifically, in what concerns the interoperability dimension. Problems consist of specific bottlenecks that hinder the realisation of the needs. The drivers are the underlying causes that lead to the identified problem.</w:t>
      </w:r>
    </w:p>
  </w:footnote>
  <w:footnote w:id="107">
    <w:p>
      <w:pPr>
        <w:pStyle w:val="FootnoteText"/>
      </w:pPr>
      <w:r>
        <w:rPr>
          <w:vertAlign w:val="superscript"/>
        </w:rPr>
        <w:footnoteRef/>
      </w:r>
      <w:r>
        <w:tab/>
        <w:t>European Commission (2010), Communication from the Commission to the European Parliament, the Council, the European Economic and Social Committee and the Committee of the Regions, ‘A Digital Agenda for Europe’, COM(2010)245 final.</w:t>
      </w:r>
    </w:p>
  </w:footnote>
  <w:footnote w:id="108">
    <w:p>
      <w:pPr>
        <w:pStyle w:val="FootnoteText"/>
      </w:pPr>
      <w:r>
        <w:rPr>
          <w:rStyle w:val="FootnoteReference"/>
        </w:rPr>
        <w:footnoteRef/>
      </w:r>
      <w:r>
        <w:tab/>
        <w:t>European Commission (2010), Communication from the Commission to the European Parliament, the Council, the European Economic and Social Committee and the Committee of the Regions, ‘Towards interoperability for European public services’ and ‘Annex II – EIF (European Interoperability Framework)’, COM(2010) 744 final.</w:t>
      </w:r>
    </w:p>
  </w:footnote>
  <w:footnote w:id="109">
    <w:p>
      <w:pPr>
        <w:pStyle w:val="FootnoteText"/>
      </w:pPr>
      <w:r>
        <w:rPr>
          <w:rStyle w:val="FootnoteReference"/>
        </w:rPr>
        <w:footnoteRef/>
      </w:r>
      <w:r>
        <w:tab/>
        <w:t>European Commission (2015), Communication from the Commission to the European Parliament, the Council, the European Economic and Social Committee and the Committee of the Regions ‘A Digital Single Market Strategy for Europe’, COM(2015) 192 final.</w:t>
      </w:r>
    </w:p>
  </w:footnote>
  <w:footnote w:id="110">
    <w:p>
      <w:pPr>
        <w:pStyle w:val="FootnoteText"/>
        <w:tabs>
          <w:tab w:val="center" w:pos="4680"/>
        </w:tabs>
      </w:pPr>
      <w:r>
        <w:rPr>
          <w:rStyle w:val="FootnoteReference"/>
        </w:rPr>
        <w:footnoteRef/>
      </w:r>
      <w:r>
        <w:tab/>
        <w:t>See Section 1.2 of the ISA</w:t>
      </w:r>
      <w:r>
        <w:rPr>
          <w:vertAlign w:val="superscript"/>
        </w:rPr>
        <w:t>2</w:t>
      </w:r>
      <w:r>
        <w:t xml:space="preserve"> Proposal; Proposal for a DECISION OF THE EUROPEAN PARLIAMENT AND OF THE COUNCIL establishing a programme on interoperability solutions for European public administrations, businesses and citizens (ISA</w:t>
      </w:r>
      <w:r>
        <w:rPr>
          <w:vertAlign w:val="superscript"/>
        </w:rPr>
        <w:t>2</w:t>
      </w:r>
      <w:r>
        <w:t>) Interoperability as a means for modernising the public sector, COM(2014) 367 final.</w:t>
      </w:r>
    </w:p>
  </w:footnote>
  <w:footnote w:id="111">
    <w:p>
      <w:pPr>
        <w:pStyle w:val="FootnoteText"/>
      </w:pPr>
      <w:r>
        <w:rPr>
          <w:rStyle w:val="FootnoteReference"/>
        </w:rPr>
        <w:footnoteRef/>
      </w:r>
      <w:r>
        <w:tab/>
        <w:t>Kurt Salmon, KPMG (2015), Final evaluation of the ISA programme, Final report v2.06, 1 December 2015.</w:t>
      </w:r>
    </w:p>
  </w:footnote>
  <w:footnote w:id="112">
    <w:p>
      <w:pPr>
        <w:pStyle w:val="FootnoteText"/>
      </w:pPr>
      <w:r>
        <w:rPr>
          <w:rStyle w:val="FootnoteReference"/>
        </w:rPr>
        <w:footnoteRef/>
      </w:r>
      <w:r>
        <w:tab/>
        <w:t>European Commission (2015), Commission Staff Working Document ‘A Digital Single Market Strategy for Europe – Analysis and Evidence’ Accompanying the document Communication from the Commission to the European Parliament, the Council, the European Economic and Social Committee and the Committee of the Regions ‘A Digital Single Market Strategy for Europe’, SWD(2015) 100 final.</w:t>
      </w:r>
    </w:p>
  </w:footnote>
  <w:footnote w:id="113">
    <w:p>
      <w:pPr>
        <w:pStyle w:val="FootnoteText"/>
      </w:pPr>
      <w:r>
        <w:rPr>
          <w:rStyle w:val="FootnoteReference"/>
        </w:rPr>
        <w:footnoteRef/>
      </w:r>
      <w:r>
        <w:tab/>
        <w:t xml:space="preserve">National administrative systems are often characterised by different administrative cultures, which include the beliefs and values on the role of the State and its civil servants. As pointed out by a recent Study published by the Commission, although European public administrations share the values associated with democracy and the rule of law, national administrative cultures show clear differences (Thijs N., Hammerschmid G., Palaric E. (2017), </w:t>
      </w:r>
      <w:r>
        <w:rPr>
          <w:i/>
          <w:iCs/>
        </w:rPr>
        <w:t>A comparative overview of public administration characteristics and performance in EU28</w:t>
      </w:r>
      <w:r>
        <w:t>, European Commission).</w:t>
      </w:r>
    </w:p>
  </w:footnote>
  <w:footnote w:id="114">
    <w:p>
      <w:pPr>
        <w:pStyle w:val="FootnoteText"/>
      </w:pPr>
      <w:r>
        <w:rPr>
          <w:rStyle w:val="FootnoteReference"/>
        </w:rPr>
        <w:footnoteRef/>
      </w:r>
      <w:r>
        <w:tab/>
        <w:t>See recitals 34, 36 and 45 of the ISA</w:t>
      </w:r>
      <w:r>
        <w:rPr>
          <w:vertAlign w:val="superscript"/>
        </w:rPr>
        <w:t>2</w:t>
      </w:r>
      <w:r>
        <w:t xml:space="preserve"> Decision and Section 1.1 of the ISA</w:t>
      </w:r>
      <w:r>
        <w:rPr>
          <w:vertAlign w:val="superscript"/>
        </w:rPr>
        <w:t>2</w:t>
      </w:r>
      <w:r>
        <w:t xml:space="preserve"> Proposal. </w:t>
      </w:r>
    </w:p>
  </w:footnote>
  <w:footnote w:id="115">
    <w:p>
      <w:pPr>
        <w:pStyle w:val="FootnoteText"/>
      </w:pPr>
      <w:r>
        <w:rPr>
          <w:rStyle w:val="FootnoteReference"/>
        </w:rPr>
        <w:footnoteRef/>
      </w:r>
      <w:r>
        <w:tab/>
      </w:r>
      <w:r>
        <w:rPr>
          <w:szCs w:val="16"/>
        </w:rPr>
        <w:t>European Commission (2017), Better Regulation Guidelines, SWD(2017) 350, Brussels, 7 July 2017.</w:t>
      </w:r>
    </w:p>
  </w:footnote>
  <w:footnote w:id="116">
    <w:p>
      <w:pPr>
        <w:pStyle w:val="FootnoteText"/>
      </w:pPr>
      <w:r>
        <w:rPr>
          <w:rStyle w:val="FootnoteReference"/>
        </w:rPr>
        <w:footnoteRef/>
      </w:r>
      <w:r>
        <w:tab/>
        <w:t xml:space="preserve">For further details see: </w:t>
      </w:r>
      <w:hyperlink r:id="rId62" w:history="1">
        <w:r>
          <w:rPr>
            <w:rStyle w:val="Hyperlink"/>
          </w:rPr>
          <w:t>https://joinup.ec.europa.eu/</w:t>
        </w:r>
      </w:hyperlink>
      <w:r>
        <w:t xml:space="preserve"> </w:t>
      </w:r>
    </w:p>
  </w:footnote>
  <w:footnote w:id="117">
    <w:p>
      <w:pPr>
        <w:pStyle w:val="FootnoteText"/>
      </w:pPr>
      <w:r>
        <w:rPr>
          <w:rStyle w:val="FootnoteReference"/>
        </w:rPr>
        <w:footnoteRef/>
      </w:r>
      <w:r>
        <w:tab/>
        <w:t>European Commission (2016), ISA</w:t>
      </w:r>
      <w:r>
        <w:rPr>
          <w:vertAlign w:val="superscript"/>
        </w:rPr>
        <w:t>2</w:t>
      </w:r>
      <w:r>
        <w:t xml:space="preserve"> Work Programme 2016 – Summary.</w:t>
      </w:r>
    </w:p>
  </w:footnote>
  <w:footnote w:id="118">
    <w:p>
      <w:pPr>
        <w:pStyle w:val="FootnoteText"/>
      </w:pPr>
      <w:r>
        <w:rPr>
          <w:rStyle w:val="FootnoteReference"/>
          <w:rFonts w:eastAsiaTheme="majorEastAsia"/>
        </w:rPr>
        <w:footnoteRef/>
      </w:r>
      <w:r>
        <w:tab/>
      </w:r>
      <w:hyperlink r:id="rId63" w:history="1">
        <w:r>
          <w:rPr>
            <w:rStyle w:val="Hyperlink"/>
          </w:rPr>
          <w:t>https://ec.europa.eu/isa2/solutions/testa_en</w:t>
        </w:r>
      </w:hyperlink>
    </w:p>
  </w:footnote>
  <w:footnote w:id="119">
    <w:p>
      <w:pPr>
        <w:pStyle w:val="FootnoteText"/>
      </w:pPr>
      <w:r>
        <w:rPr>
          <w:rStyle w:val="FootnoteReference"/>
          <w:rFonts w:eastAsiaTheme="majorEastAsia"/>
        </w:rPr>
        <w:footnoteRef/>
      </w:r>
      <w:r>
        <w:tab/>
      </w:r>
      <w:hyperlink r:id="rId64" w:history="1">
        <w:r>
          <w:rPr>
            <w:rStyle w:val="Hyperlink"/>
          </w:rPr>
          <w:t>https://ec.europa.eu/isa2/solutions/open-e-trustex_en</w:t>
        </w:r>
      </w:hyperlink>
    </w:p>
  </w:footnote>
  <w:footnote w:id="120">
    <w:p>
      <w:pPr>
        <w:pStyle w:val="FootnoteText"/>
      </w:pPr>
      <w:r>
        <w:rPr>
          <w:rStyle w:val="FootnoteReference"/>
          <w:rFonts w:eastAsiaTheme="majorEastAsia"/>
        </w:rPr>
        <w:footnoteRef/>
      </w:r>
      <w:r>
        <w:tab/>
      </w:r>
      <w:hyperlink r:id="rId65" w:history="1">
        <w:r>
          <w:rPr>
            <w:rStyle w:val="Hyperlink"/>
          </w:rPr>
          <w:t>https://ec.europa.eu/isa2/solutions/core-vocabularies_en</w:t>
        </w:r>
      </w:hyperlink>
    </w:p>
  </w:footnote>
  <w:footnote w:id="121">
    <w:p>
      <w:pPr>
        <w:pStyle w:val="FootnoteText"/>
      </w:pPr>
      <w:r>
        <w:rPr>
          <w:rStyle w:val="FootnoteReference"/>
          <w:rFonts w:eastAsiaTheme="majorEastAsia"/>
        </w:rPr>
        <w:footnoteRef/>
      </w:r>
      <w:r>
        <w:tab/>
      </w:r>
      <w:hyperlink r:id="rId66" w:history="1">
        <w:r>
          <w:rPr>
            <w:rStyle w:val="Hyperlink"/>
          </w:rPr>
          <w:t>https://ec.europa.eu/isa2/solutions/dcat-application-profile-data-portals-europe_en</w:t>
        </w:r>
      </w:hyperlink>
    </w:p>
  </w:footnote>
  <w:footnote w:id="122">
    <w:p>
      <w:pPr>
        <w:pStyle w:val="FootnoteText"/>
      </w:pPr>
      <w:r>
        <w:rPr>
          <w:rStyle w:val="FootnoteReference"/>
          <w:rFonts w:eastAsiaTheme="majorEastAsia"/>
        </w:rPr>
        <w:footnoteRef/>
      </w:r>
      <w:r>
        <w:tab/>
      </w:r>
      <w:hyperlink r:id="rId67" w:history="1">
        <w:r>
          <w:rPr>
            <w:rStyle w:val="Hyperlink"/>
          </w:rPr>
          <w:t>https://ec.europa.eu/isa2/actions/providing-big-data-opportunities-public-administrations_en</w:t>
        </w:r>
      </w:hyperlink>
    </w:p>
  </w:footnote>
  <w:footnote w:id="123">
    <w:p>
      <w:pPr>
        <w:pStyle w:val="FootnoteText"/>
      </w:pPr>
      <w:r>
        <w:rPr>
          <w:rStyle w:val="FootnoteReference"/>
          <w:rFonts w:eastAsiaTheme="majorEastAsia"/>
        </w:rPr>
        <w:footnoteRef/>
      </w:r>
      <w:r>
        <w:tab/>
      </w:r>
      <w:hyperlink r:id="rId68" w:history="1">
        <w:r>
          <w:rPr>
            <w:rStyle w:val="Hyperlink"/>
          </w:rPr>
          <w:t>https://ec.europa.eu/isa2/actions/towards-better-financial-data-reporting_en</w:t>
        </w:r>
      </w:hyperlink>
    </w:p>
  </w:footnote>
  <w:footnote w:id="124">
    <w:p>
      <w:pPr>
        <w:pStyle w:val="FootnoteText"/>
      </w:pPr>
      <w:r>
        <w:rPr>
          <w:rStyle w:val="FootnoteReference"/>
          <w:rFonts w:eastAsiaTheme="majorEastAsia"/>
        </w:rPr>
        <w:footnoteRef/>
      </w:r>
      <w:r>
        <w:tab/>
      </w:r>
      <w:hyperlink r:id="rId69" w:history="1">
        <w:r>
          <w:rPr>
            <w:rStyle w:val="Hyperlink"/>
          </w:rPr>
          <w:t>https://ec.europa.eu/isa2/solutions/re3gistry_en</w:t>
        </w:r>
      </w:hyperlink>
    </w:p>
  </w:footnote>
  <w:footnote w:id="125">
    <w:p>
      <w:pPr>
        <w:pStyle w:val="FootnoteText"/>
      </w:pPr>
      <w:r>
        <w:rPr>
          <w:rStyle w:val="FootnoteReference"/>
          <w:rFonts w:eastAsiaTheme="majorEastAsia"/>
        </w:rPr>
        <w:footnoteRef/>
      </w:r>
      <w:r>
        <w:tab/>
      </w:r>
      <w:hyperlink r:id="rId70" w:history="1">
        <w:r>
          <w:rPr>
            <w:rStyle w:val="Hyperlink"/>
          </w:rPr>
          <w:t>https://ec.europa.eu/isa2/solutions/open-e-prior_en</w:t>
        </w:r>
      </w:hyperlink>
    </w:p>
  </w:footnote>
  <w:footnote w:id="126">
    <w:p>
      <w:pPr>
        <w:pStyle w:val="FootnoteText"/>
      </w:pPr>
      <w:r>
        <w:rPr>
          <w:rStyle w:val="FootnoteReference"/>
        </w:rPr>
        <w:footnoteRef/>
      </w:r>
      <w:r>
        <w:tab/>
      </w:r>
      <w:hyperlink r:id="rId71" w:history="1">
        <w:r>
          <w:rPr>
            <w:rStyle w:val="Hyperlink"/>
          </w:rPr>
          <w:t>https://ec.europa.eu/isa2/solutions/european-single-procurement-document-espd_en</w:t>
        </w:r>
      </w:hyperlink>
    </w:p>
  </w:footnote>
  <w:footnote w:id="127">
    <w:p>
      <w:pPr>
        <w:pStyle w:val="FootnoteText"/>
      </w:pPr>
      <w:r>
        <w:rPr>
          <w:rStyle w:val="FootnoteReference"/>
          <w:rFonts w:eastAsiaTheme="majorEastAsia"/>
        </w:rPr>
        <w:footnoteRef/>
      </w:r>
      <w:r>
        <w:tab/>
      </w:r>
      <w:hyperlink r:id="rId72" w:history="1">
        <w:r>
          <w:rPr>
            <w:rStyle w:val="Hyperlink"/>
          </w:rPr>
          <w:t>https://ec.europa.eu/isa2/solutions/e-certis_en</w:t>
        </w:r>
      </w:hyperlink>
    </w:p>
  </w:footnote>
  <w:footnote w:id="128">
    <w:p>
      <w:pPr>
        <w:pStyle w:val="FootnoteText"/>
      </w:pPr>
      <w:r>
        <w:rPr>
          <w:rStyle w:val="FootnoteReference"/>
          <w:rFonts w:eastAsiaTheme="majorEastAsia"/>
        </w:rPr>
        <w:footnoteRef/>
      </w:r>
      <w:r>
        <w:tab/>
      </w:r>
      <w:hyperlink r:id="rId73" w:history="1">
        <w:r>
          <w:rPr>
            <w:rStyle w:val="Hyperlink"/>
          </w:rPr>
          <w:t>https://ec.europa.eu/isa2/solutions/leos_en</w:t>
        </w:r>
      </w:hyperlink>
    </w:p>
  </w:footnote>
  <w:footnote w:id="129">
    <w:p>
      <w:pPr>
        <w:pStyle w:val="FootnoteText"/>
      </w:pPr>
      <w:r>
        <w:rPr>
          <w:rStyle w:val="FootnoteReference"/>
          <w:rFonts w:eastAsiaTheme="majorEastAsia"/>
        </w:rPr>
        <w:footnoteRef/>
      </w:r>
      <w:r>
        <w:tab/>
      </w:r>
      <w:hyperlink r:id="rId74" w:history="1">
        <w:r>
          <w:rPr>
            <w:rStyle w:val="Hyperlink"/>
          </w:rPr>
          <w:t>https://ec.europa.eu/isa2/solutions/ocs-ecis-0_en</w:t>
        </w:r>
      </w:hyperlink>
    </w:p>
  </w:footnote>
  <w:footnote w:id="130">
    <w:p>
      <w:pPr>
        <w:pStyle w:val="FootnoteText"/>
      </w:pPr>
      <w:r>
        <w:rPr>
          <w:rStyle w:val="FootnoteReference"/>
          <w:rFonts w:eastAsiaTheme="majorEastAsia"/>
        </w:rPr>
        <w:footnoteRef/>
      </w:r>
      <w:r>
        <w:tab/>
      </w:r>
      <w:hyperlink r:id="rId75" w:history="1">
        <w:r>
          <w:rPr>
            <w:rStyle w:val="Hyperlink"/>
          </w:rPr>
          <w:t>https://ec.europa.eu/isa2/solutions/eusurvey_en</w:t>
        </w:r>
      </w:hyperlink>
    </w:p>
  </w:footnote>
  <w:footnote w:id="131">
    <w:p>
      <w:pPr>
        <w:pStyle w:val="FootnoteText"/>
      </w:pPr>
      <w:r>
        <w:rPr>
          <w:rStyle w:val="FootnoteReference"/>
          <w:rFonts w:eastAsiaTheme="majorEastAsia"/>
        </w:rPr>
        <w:footnoteRef/>
      </w:r>
      <w:r>
        <w:tab/>
      </w:r>
      <w:hyperlink r:id="rId76" w:history="1">
        <w:r>
          <w:rPr>
            <w:rStyle w:val="Hyperlink"/>
          </w:rPr>
          <w:t>https://ec.europa.eu/isa2/solutions/joinup_en</w:t>
        </w:r>
      </w:hyperlink>
    </w:p>
  </w:footnote>
  <w:footnote w:id="132">
    <w:p>
      <w:pPr>
        <w:pStyle w:val="FootnoteText"/>
      </w:pPr>
      <w:r>
        <w:rPr>
          <w:rStyle w:val="FootnoteReference"/>
          <w:rFonts w:eastAsiaTheme="majorEastAsia"/>
        </w:rPr>
        <w:footnoteRef/>
      </w:r>
      <w:r>
        <w:tab/>
      </w:r>
      <w:hyperlink r:id="rId77" w:history="1">
        <w:r>
          <w:rPr>
            <w:rStyle w:val="Hyperlink"/>
          </w:rPr>
          <w:t>https://ec.europa.eu/isa2/solutions/nifo_en</w:t>
        </w:r>
      </w:hyperlink>
    </w:p>
  </w:footnote>
  <w:footnote w:id="133">
    <w:p>
      <w:pPr>
        <w:pStyle w:val="FootnoteText"/>
      </w:pPr>
      <w:r>
        <w:rPr>
          <w:rStyle w:val="FootnoteReference"/>
          <w:rFonts w:eastAsiaTheme="majorEastAsia"/>
        </w:rPr>
        <w:footnoteRef/>
      </w:r>
      <w:r>
        <w:tab/>
      </w:r>
      <w:hyperlink r:id="rId78" w:history="1">
        <w:r>
          <w:rPr>
            <w:rStyle w:val="Hyperlink"/>
          </w:rPr>
          <w:t>https://ec.europa.eu/isa2/news/save-date-semic-2018_en</w:t>
        </w:r>
      </w:hyperlink>
    </w:p>
  </w:footnote>
  <w:footnote w:id="134">
    <w:p>
      <w:pPr>
        <w:pStyle w:val="FootnoteText"/>
      </w:pPr>
      <w:r>
        <w:rPr>
          <w:rStyle w:val="FootnoteReference"/>
          <w:rFonts w:eastAsiaTheme="majorEastAsia"/>
        </w:rPr>
        <w:footnoteRef/>
      </w:r>
      <w:r>
        <w:tab/>
      </w:r>
      <w:hyperlink r:id="rId79" w:history="1">
        <w:r>
          <w:rPr>
            <w:rStyle w:val="Hyperlink"/>
          </w:rPr>
          <w:t>https://ec.europa.eu/isa2/events/isa%C2%B2-mid-term-conference-linking-public-administrations-businesses-and-citizens_en</w:t>
        </w:r>
      </w:hyperlink>
    </w:p>
  </w:footnote>
  <w:footnote w:id="135">
    <w:p>
      <w:pPr>
        <w:pStyle w:val="FootnoteText"/>
      </w:pPr>
      <w:r>
        <w:rPr>
          <w:rStyle w:val="FootnoteReference"/>
          <w:rFonts w:eastAsiaTheme="majorEastAsia"/>
        </w:rPr>
        <w:footnoteRef/>
      </w:r>
      <w:r>
        <w:tab/>
      </w:r>
      <w:hyperlink r:id="rId80" w:history="1">
        <w:r>
          <w:rPr>
            <w:rStyle w:val="Hyperlink"/>
          </w:rPr>
          <w:t>https://ec.europa.eu/isa2/dashboard/</w:t>
        </w:r>
      </w:hyperlink>
      <w:r>
        <w:t xml:space="preserve"> </w:t>
      </w:r>
    </w:p>
  </w:footnote>
  <w:footnote w:id="136">
    <w:p>
      <w:pPr>
        <w:pStyle w:val="FootnoteText"/>
      </w:pPr>
      <w:r>
        <w:rPr>
          <w:rStyle w:val="FootnoteReference"/>
        </w:rPr>
        <w:footnoteRef/>
      </w:r>
      <w:r>
        <w:tab/>
        <w:t>Note that the wording of some elements of the evaluation framework mentioned in the body text of the Staff Working Document (like the judgment criteria) has been slightly revised in some cases to improve understanding.</w:t>
      </w:r>
    </w:p>
  </w:footnote>
  <w:footnote w:id="137">
    <w:p>
      <w:pPr>
        <w:pStyle w:val="FootnoteText"/>
        <w:rPr>
          <w:rStyle w:val="FootnoteTextChar"/>
          <w:rFonts w:eastAsiaTheme="minorHAnsi"/>
        </w:rPr>
      </w:pPr>
      <w:r>
        <w:rPr>
          <w:rStyle w:val="FootnoteReference"/>
        </w:rPr>
        <w:footnoteRef/>
      </w:r>
      <w:r>
        <w:rPr>
          <w:rStyle w:val="FootnoteTextChar"/>
          <w:rFonts w:eastAsiaTheme="minorHAnsi"/>
        </w:rPr>
        <w:tab/>
      </w:r>
      <w:r>
        <w:rPr>
          <w:rStyle w:val="FootnoteTextChar"/>
        </w:rPr>
        <w:t xml:space="preserve">The </w:t>
      </w:r>
      <w:r>
        <w:t>efficiency</w:t>
      </w:r>
      <w:r>
        <w:rPr>
          <w:rStyle w:val="FootnoteTextChar"/>
        </w:rPr>
        <w:t xml:space="preserve"> of the funded actions is already monitored by using the Earned Value Management (EVM) approach. </w:t>
      </w:r>
    </w:p>
  </w:footnote>
  <w:footnote w:id="138">
    <w:p>
      <w:pPr>
        <w:pStyle w:val="FootnoteText"/>
      </w:pPr>
      <w:r>
        <w:rPr>
          <w:rStyle w:val="FootnoteReference"/>
        </w:rPr>
        <w:footnoteRef/>
      </w:r>
      <w:r>
        <w:tab/>
        <w:t>The utility criterion to some extent is similar to the relevance criterion insofar as they both look at stakeholders' needs. However, while the relevance criterion looks at the alignment between the objectives of the programme and the current needs and problems experienced by stakeholders, the utility criterion focuses on how the actual results of the programme have (or do not have) contributed to meeting stakeholders’ needs. Hence, the utility criterion is a proxy for measuring users’ satisfaction.</w:t>
      </w:r>
    </w:p>
  </w:footnote>
  <w:footnote w:id="139">
    <w:p>
      <w:pPr>
        <w:pStyle w:val="FootnoteText"/>
      </w:pPr>
      <w:r>
        <w:rPr>
          <w:rStyle w:val="FootnoteReference"/>
        </w:rPr>
        <w:footnoteRef/>
      </w:r>
      <w:r>
        <w:tab/>
        <w:t xml:space="preserve">In order to draft policy recommendations, feedback on measures to improve the utility of the ISA² programme’s actions has been collected. However, </w:t>
      </w:r>
      <w:r>
        <w:rPr>
          <w:i/>
        </w:rPr>
        <w:t>stricto sensu,</w:t>
      </w:r>
      <w:r>
        <w:t xml:space="preserve"> future measures are not part of the interim evaluation, which is mostly a backward-looking exercise.</w:t>
      </w:r>
    </w:p>
  </w:footnote>
  <w:footnote w:id="140">
    <w:p>
      <w:pPr>
        <w:pStyle w:val="FootnoteText"/>
        <w:rPr>
          <w:sz w:val="16"/>
        </w:rPr>
      </w:pPr>
      <w:r>
        <w:rPr>
          <w:rStyle w:val="FootnoteReference"/>
          <w:rFonts w:eastAsiaTheme="majorEastAsia"/>
        </w:rPr>
        <w:footnoteRef/>
      </w:r>
      <w:r>
        <w:tab/>
        <w:t>Stakeholders related to all 53 actions were invited to answer the online surveys. However, desk research (review of documentary evidence) and interviews focused only on sampled actions.</w:t>
      </w:r>
    </w:p>
  </w:footnote>
  <w:footnote w:id="141">
    <w:p>
      <w:pPr>
        <w:pStyle w:val="FootnoteText"/>
      </w:pPr>
      <w:r>
        <w:rPr>
          <w:rStyle w:val="FootnoteReference"/>
        </w:rPr>
        <w:footnoteRef/>
      </w:r>
      <w:r>
        <w:t xml:space="preserve"> ‘CAPTCHA’ stands for ‘Completely Automated Public Turing Test to tell Computers and Humans Apart’ and it represents a test that is expected to be difficult for machines to complete correctly, but possible for humans to complete correctly.</w:t>
      </w:r>
    </w:p>
  </w:footnote>
  <w:footnote w:id="142">
    <w:p>
      <w:pPr>
        <w:pStyle w:val="FootnoteText"/>
      </w:pPr>
      <w:r>
        <w:rPr>
          <w:rStyle w:val="FootnoteReference"/>
        </w:rPr>
        <w:footnoteRef/>
      </w:r>
      <w:r>
        <w:t xml:space="preserve"> For further details see: </w:t>
      </w:r>
      <w:hyperlink r:id="rId81" w:anchor="Source_data_for_tables_and_figures_on_this_page_.28MS" w:history="1">
        <w:r>
          <w:rPr>
            <w:rStyle w:val="Hyperlink"/>
          </w:rPr>
          <w:t>https://ec.europa.eu/eurostat/statistics-explained/index.php/Hourly_labour_costs#Source_data_for_tables_and_figures_on_this_page_.28MS</w:t>
        </w:r>
      </w:hyperlink>
    </w:p>
  </w:footnote>
  <w:footnote w:id="143">
    <w:p>
      <w:pPr>
        <w:pStyle w:val="FootnoteText"/>
      </w:pPr>
      <w:r>
        <w:rPr>
          <w:rStyle w:val="FootnoteReference"/>
        </w:rPr>
        <w:footnoteRef/>
      </w:r>
      <w:r>
        <w:tab/>
        <w:t>Access: better access for consumers and businesses to digital goods and services across Europe.</w:t>
      </w:r>
    </w:p>
  </w:footnote>
  <w:footnote w:id="144">
    <w:p>
      <w:pPr>
        <w:pStyle w:val="FootnoteText"/>
      </w:pPr>
      <w:r>
        <w:rPr>
          <w:rStyle w:val="FootnoteReference"/>
        </w:rPr>
        <w:footnoteRef/>
      </w:r>
      <w:r>
        <w:tab/>
        <w:t>Environment: creating the right conditions and a level playing field for digital networks and innovative services to flourish.</w:t>
      </w:r>
    </w:p>
  </w:footnote>
  <w:footnote w:id="145">
    <w:p>
      <w:pPr>
        <w:pStyle w:val="FootnoteText"/>
      </w:pPr>
      <w:r>
        <w:rPr>
          <w:rStyle w:val="FootnoteReference"/>
        </w:rPr>
        <w:footnoteRef/>
      </w:r>
      <w:r>
        <w:tab/>
        <w:t>Economy &amp; Society: maximising the growth potential of the digital economy.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CCEF406"/>
    <w:lvl w:ilvl="0">
      <w:start w:val="1"/>
      <w:numFmt w:val="decimal"/>
      <w:lvlText w:val="%1."/>
      <w:lvlJc w:val="left"/>
      <w:pPr>
        <w:tabs>
          <w:tab w:val="num" w:pos="1209"/>
        </w:tabs>
        <w:ind w:left="1209" w:hanging="360"/>
      </w:pPr>
      <w:rPr>
        <w:rFonts w:cs="Times New Roman"/>
      </w:rPr>
    </w:lvl>
  </w:abstractNum>
  <w:abstractNum w:abstractNumId="1">
    <w:nsid w:val="FFFFFF7E"/>
    <w:multiLevelType w:val="singleLevel"/>
    <w:tmpl w:val="0C0225A2"/>
    <w:lvl w:ilvl="0">
      <w:start w:val="1"/>
      <w:numFmt w:val="decimal"/>
      <w:lvlText w:val="%1."/>
      <w:lvlJc w:val="left"/>
      <w:pPr>
        <w:tabs>
          <w:tab w:val="num" w:pos="926"/>
        </w:tabs>
        <w:ind w:left="926" w:hanging="360"/>
      </w:pPr>
      <w:rPr>
        <w:rFonts w:cs="Times New Roman"/>
      </w:rPr>
    </w:lvl>
  </w:abstractNum>
  <w:abstractNum w:abstractNumId="2">
    <w:nsid w:val="FFFFFF82"/>
    <w:multiLevelType w:val="singleLevel"/>
    <w:tmpl w:val="5C9A0C7E"/>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8"/>
    <w:multiLevelType w:val="singleLevel"/>
    <w:tmpl w:val="669E1224"/>
    <w:lvl w:ilvl="0">
      <w:start w:val="1"/>
      <w:numFmt w:val="decimal"/>
      <w:pStyle w:val="Salutation"/>
      <w:lvlText w:val="%1."/>
      <w:lvlJc w:val="left"/>
      <w:pPr>
        <w:tabs>
          <w:tab w:val="num" w:pos="360"/>
        </w:tabs>
        <w:ind w:left="360" w:hanging="360"/>
      </w:pPr>
      <w:rPr>
        <w:rFonts w:cs="Times New Roman"/>
      </w:rPr>
    </w:lvl>
  </w:abstractNum>
  <w:abstractNum w:abstractNumId="4">
    <w:nsid w:val="0052027C"/>
    <w:multiLevelType w:val="hybridMultilevel"/>
    <w:tmpl w:val="44DAE4B0"/>
    <w:lvl w:ilvl="0" w:tplc="D9AACAD8">
      <w:start w:val="1"/>
      <w:numFmt w:val="decimal"/>
      <w:pStyle w:val="References"/>
      <w:lvlText w:val="[%1] "/>
      <w:lvlJc w:val="left"/>
      <w:pPr>
        <w:tabs>
          <w:tab w:val="num" w:pos="737"/>
        </w:tabs>
        <w:ind w:left="737" w:hanging="737"/>
      </w:pPr>
      <w:rPr>
        <w:rFonts w:hint="default"/>
        <w:b w:val="0"/>
        <w:lang w:val="pt-B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0BC4C15"/>
    <w:multiLevelType w:val="hybridMultilevel"/>
    <w:tmpl w:val="62FE0BF4"/>
    <w:lvl w:ilvl="0" w:tplc="A360433E">
      <w:start w:val="1"/>
      <w:numFmt w:val="bullet"/>
      <w:lvlText w:val=""/>
      <w:lvlJc w:val="left"/>
      <w:pPr>
        <w:ind w:left="360" w:hanging="360"/>
      </w:pPr>
      <w:rPr>
        <w:rFonts w:ascii="Symbol" w:hAnsi="Symbol" w:hint="default"/>
        <w:color w:val="317C6F"/>
      </w:rPr>
    </w:lvl>
    <w:lvl w:ilvl="1" w:tplc="0409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03C96483"/>
    <w:multiLevelType w:val="hybridMultilevel"/>
    <w:tmpl w:val="266425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055F3BAC"/>
    <w:multiLevelType w:val="hybridMultilevel"/>
    <w:tmpl w:val="354C17B8"/>
    <w:lvl w:ilvl="0" w:tplc="A360433E">
      <w:start w:val="1"/>
      <w:numFmt w:val="bullet"/>
      <w:lvlText w:val=""/>
      <w:lvlJc w:val="left"/>
      <w:pPr>
        <w:ind w:left="720" w:hanging="360"/>
      </w:pPr>
      <w:rPr>
        <w:rFonts w:ascii="Symbol" w:hAnsi="Symbol" w:hint="default"/>
        <w:color w:val="317C6F"/>
      </w:rPr>
    </w:lvl>
    <w:lvl w:ilvl="1" w:tplc="D6AAE33E">
      <w:start w:val="1"/>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BA4A1F"/>
    <w:multiLevelType w:val="multilevel"/>
    <w:tmpl w:val="77B869EE"/>
    <w:styleLink w:val="list-heading-blue"/>
    <w:lvl w:ilvl="0">
      <w:start w:val="1"/>
      <w:numFmt w:val="decimal"/>
      <w:lvlText w:val="%1"/>
      <w:lvlJc w:val="left"/>
      <w:pPr>
        <w:tabs>
          <w:tab w:val="num" w:pos="0"/>
        </w:tabs>
        <w:ind w:left="0" w:hanging="567"/>
      </w:pPr>
      <w:rPr>
        <w:rFonts w:cs="Times New Roman" w:hint="default"/>
        <w:color w:val="006DB6"/>
        <w:sz w:val="28"/>
      </w:rPr>
    </w:lvl>
    <w:lvl w:ilvl="1">
      <w:start w:val="1"/>
      <w:numFmt w:val="none"/>
      <w:lvlText w:val="%1.1."/>
      <w:lvlJc w:val="left"/>
      <w:pPr>
        <w:tabs>
          <w:tab w:val="num" w:pos="0"/>
        </w:tabs>
        <w:ind w:left="0" w:hanging="567"/>
      </w:pPr>
      <w:rPr>
        <w:rFonts w:cs="Times New Roman" w:hint="default"/>
        <w:color w:val="006DB6"/>
        <w:sz w:val="22"/>
      </w:rPr>
    </w:lvl>
    <w:lvl w:ilvl="2">
      <w:start w:val="1"/>
      <w:numFmt w:val="decimal"/>
      <w:lvlText w:val="%1.%2.%3"/>
      <w:lvlJc w:val="left"/>
      <w:pPr>
        <w:tabs>
          <w:tab w:val="num" w:pos="0"/>
        </w:tabs>
        <w:ind w:left="0" w:hanging="567"/>
      </w:pPr>
      <w:rPr>
        <w:rFonts w:cs="Times New Roman" w:hint="default"/>
        <w:color w:val="006DB6"/>
      </w:rPr>
    </w:lvl>
    <w:lvl w:ilvl="3">
      <w:start w:val="1"/>
      <w:numFmt w:val="none"/>
      <w:lvlText w:val=""/>
      <w:lvlJc w:val="left"/>
      <w:pPr>
        <w:tabs>
          <w:tab w:val="num" w:pos="0"/>
        </w:tabs>
        <w:ind w:left="0" w:firstLine="0"/>
      </w:pPr>
      <w:rPr>
        <w:rFonts w:cs="Times New Roman" w:hint="default"/>
        <w:color w:val="auto"/>
      </w:rPr>
    </w:lvl>
    <w:lvl w:ilvl="4">
      <w:start w:val="1"/>
      <w:numFmt w:val="none"/>
      <w:lvlText w:val=""/>
      <w:lvlJc w:val="left"/>
      <w:pPr>
        <w:tabs>
          <w:tab w:val="num" w:pos="0"/>
        </w:tabs>
        <w:ind w:left="0" w:firstLine="0"/>
      </w:pPr>
      <w:rPr>
        <w:rFonts w:cs="Times New Roman" w:hint="default"/>
        <w:color w:val="auto"/>
      </w:rPr>
    </w:lvl>
    <w:lvl w:ilvl="5">
      <w:start w:val="1"/>
      <w:numFmt w:val="none"/>
      <w:lvlText w:val=""/>
      <w:lvlJc w:val="left"/>
      <w:pPr>
        <w:tabs>
          <w:tab w:val="num" w:pos="0"/>
        </w:tabs>
        <w:ind w:left="0" w:firstLine="0"/>
      </w:pPr>
      <w:rPr>
        <w:rFonts w:cs="Times New Roman" w:hint="default"/>
        <w:color w:val="auto"/>
      </w:rPr>
    </w:lvl>
    <w:lvl w:ilvl="6">
      <w:start w:val="1"/>
      <w:numFmt w:val="none"/>
      <w:lvlText w:val=""/>
      <w:lvlJc w:val="left"/>
      <w:pPr>
        <w:tabs>
          <w:tab w:val="num" w:pos="0"/>
        </w:tabs>
        <w:ind w:left="0" w:firstLine="0"/>
      </w:pPr>
      <w:rPr>
        <w:rFonts w:cs="Times New Roman" w:hint="default"/>
        <w:color w:val="000000"/>
      </w:rPr>
    </w:lvl>
    <w:lvl w:ilvl="7">
      <w:start w:val="1"/>
      <w:numFmt w:val="none"/>
      <w:lvlText w:val=""/>
      <w:lvlJc w:val="left"/>
      <w:pPr>
        <w:tabs>
          <w:tab w:val="num" w:pos="0"/>
        </w:tabs>
        <w:ind w:left="0" w:firstLine="0"/>
      </w:pPr>
      <w:rPr>
        <w:rFonts w:cs="Times New Roman" w:hint="default"/>
        <w:color w:val="000000"/>
      </w:rPr>
    </w:lvl>
    <w:lvl w:ilvl="8">
      <w:start w:val="1"/>
      <w:numFmt w:val="none"/>
      <w:lvlText w:val=""/>
      <w:lvlJc w:val="left"/>
      <w:pPr>
        <w:tabs>
          <w:tab w:val="num" w:pos="0"/>
        </w:tabs>
        <w:ind w:left="0" w:firstLine="0"/>
      </w:pPr>
      <w:rPr>
        <w:rFonts w:cs="Times New Roman" w:hint="default"/>
        <w:color w:val="000000"/>
      </w:rPr>
    </w:lvl>
  </w:abstractNum>
  <w:abstractNum w:abstractNumId="9">
    <w:nsid w:val="0A5C256D"/>
    <w:multiLevelType w:val="hybridMultilevel"/>
    <w:tmpl w:val="88465DCC"/>
    <w:lvl w:ilvl="0" w:tplc="3AE85A66">
      <w:start w:val="1"/>
      <w:numFmt w:val="decimal"/>
      <w:lvlText w:val="JC%1:"/>
      <w:lvlJc w:val="left"/>
      <w:pPr>
        <w:ind w:left="851" w:hanging="738"/>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BE91505"/>
    <w:multiLevelType w:val="multilevel"/>
    <w:tmpl w:val="434083D8"/>
    <w:styleLink w:val="StandardNummerierungenListe"/>
    <w:lvl w:ilvl="0">
      <w:start w:val="1"/>
      <w:numFmt w:val="decimal"/>
      <w:pStyle w:val="Standardnummer"/>
      <w:lvlText w:val="%1."/>
      <w:lvlJc w:val="left"/>
      <w:pPr>
        <w:tabs>
          <w:tab w:val="num" w:pos="567"/>
        </w:tabs>
        <w:ind w:left="567" w:hanging="567"/>
      </w:pPr>
      <w:rPr>
        <w:rFonts w:ascii="Arial" w:hAnsi="Arial" w:hint="default"/>
        <w:sz w:val="22"/>
        <w:szCs w:val="22"/>
      </w:rPr>
    </w:lvl>
    <w:lvl w:ilvl="1">
      <w:start w:val="1"/>
      <w:numFmt w:val="none"/>
      <w:pStyle w:val="Standardnummer1ohne"/>
      <w:lvlText w:val="%2"/>
      <w:lvlJc w:val="left"/>
      <w:pPr>
        <w:tabs>
          <w:tab w:val="num" w:pos="567"/>
        </w:tabs>
        <w:ind w:left="567" w:firstLine="0"/>
      </w:pPr>
      <w:rPr>
        <w:rFonts w:hint="default"/>
      </w:rPr>
    </w:lvl>
    <w:lvl w:ilvl="2">
      <w:start w:val="1"/>
      <w:numFmt w:val="bullet"/>
      <w:pStyle w:val="Standardnummer2"/>
      <w:lvlText w:val=""/>
      <w:lvlJc w:val="left"/>
      <w:pPr>
        <w:tabs>
          <w:tab w:val="num" w:pos="851"/>
        </w:tabs>
        <w:ind w:left="851" w:hanging="284"/>
      </w:pPr>
      <w:rPr>
        <w:rFonts w:ascii="Symbol" w:hAnsi="Symbol" w:hint="default"/>
        <w:sz w:val="22"/>
        <w:szCs w:val="22"/>
      </w:rPr>
    </w:lvl>
    <w:lvl w:ilvl="3">
      <w:start w:val="1"/>
      <w:numFmt w:val="none"/>
      <w:pStyle w:val="Standardnummer2ohne"/>
      <w:lvlText w:val=""/>
      <w:lvlJc w:val="left"/>
      <w:pPr>
        <w:tabs>
          <w:tab w:val="num" w:pos="851"/>
        </w:tabs>
        <w:ind w:left="851" w:firstLine="0"/>
      </w:pPr>
      <w:rPr>
        <w:rFonts w:hint="default"/>
      </w:rPr>
    </w:lvl>
    <w:lvl w:ilvl="4">
      <w:start w:val="1"/>
      <w:numFmt w:val="bullet"/>
      <w:pStyle w:val="Standardnummer3"/>
      <w:lvlText w:val=""/>
      <w:lvlJc w:val="left"/>
      <w:pPr>
        <w:tabs>
          <w:tab w:val="num" w:pos="1134"/>
        </w:tabs>
        <w:ind w:left="1134" w:hanging="283"/>
      </w:pPr>
      <w:rPr>
        <w:rFonts w:ascii="Symbol" w:hAnsi="Symbol" w:hint="default"/>
        <w:sz w:val="22"/>
        <w:szCs w:val="22"/>
      </w:rPr>
    </w:lvl>
    <w:lvl w:ilvl="5">
      <w:start w:val="1"/>
      <w:numFmt w:val="none"/>
      <w:pStyle w:val="Standardnummer3ohne"/>
      <w:lvlText w:val=""/>
      <w:lvlJc w:val="left"/>
      <w:pPr>
        <w:tabs>
          <w:tab w:val="num" w:pos="1134"/>
        </w:tabs>
        <w:ind w:left="1134" w:firstLine="0"/>
      </w:pPr>
      <w:rPr>
        <w:rFonts w:hint="default"/>
      </w:rPr>
    </w:lvl>
    <w:lvl w:ilvl="6">
      <w:start w:val="1"/>
      <w:numFmt w:val="bullet"/>
      <w:pStyle w:val="Standardnummer4"/>
      <w:lvlText w:val="-"/>
      <w:lvlJc w:val="left"/>
      <w:pPr>
        <w:tabs>
          <w:tab w:val="num" w:pos="1418"/>
        </w:tabs>
        <w:ind w:left="1418" w:hanging="284"/>
      </w:pPr>
      <w:rPr>
        <w:rFonts w:ascii="Times New Roman" w:hAnsi="Times New Roman" w:cs="Times New Roman" w:hint="default"/>
        <w:sz w:val="20"/>
        <w:szCs w:val="20"/>
      </w:rPr>
    </w:lvl>
    <w:lvl w:ilvl="7">
      <w:start w:val="1"/>
      <w:numFmt w:val="none"/>
      <w:pStyle w:val="Standardnummer4ohne"/>
      <w:lvlText w:val="%8"/>
      <w:lvlJc w:val="left"/>
      <w:pPr>
        <w:tabs>
          <w:tab w:val="num" w:pos="1418"/>
        </w:tabs>
        <w:ind w:left="1418" w:firstLine="0"/>
      </w:pPr>
      <w:rPr>
        <w:rFonts w:hint="default"/>
      </w:rPr>
    </w:lvl>
    <w:lvl w:ilvl="8">
      <w:start w:val="1"/>
      <w:numFmt w:val="bullet"/>
      <w:lvlText w:val="·"/>
      <w:lvlJc w:val="left"/>
      <w:pPr>
        <w:tabs>
          <w:tab w:val="num" w:pos="1701"/>
        </w:tabs>
        <w:ind w:left="1701" w:hanging="283"/>
      </w:pPr>
      <w:rPr>
        <w:rFonts w:ascii="Arial" w:hAnsi="Arial" w:hint="default"/>
      </w:rPr>
    </w:lvl>
  </w:abstractNum>
  <w:abstractNum w:abstractNumId="11">
    <w:nsid w:val="0CE15339"/>
    <w:multiLevelType w:val="multilevel"/>
    <w:tmpl w:val="A0822620"/>
    <w:styleLink w:val="ListNumbering"/>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851" w:hanging="284"/>
      </w:pPr>
      <w:rPr>
        <w:rFonts w:hint="default"/>
      </w:rPr>
    </w:lvl>
    <w:lvl w:ilvl="3">
      <w:start w:val="1"/>
      <w:numFmt w:val="lowerRoman"/>
      <w:lvlText w:val="%4)"/>
      <w:lvlJc w:val="left"/>
      <w:pPr>
        <w:ind w:left="1134" w:hanging="283"/>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0E075906"/>
    <w:multiLevelType w:val="hybridMultilevel"/>
    <w:tmpl w:val="DA963D2E"/>
    <w:lvl w:ilvl="0" w:tplc="9E3AC32C">
      <w:start w:val="1"/>
      <w:numFmt w:val="bullet"/>
      <w:pStyle w:val="references0"/>
      <w:lvlText w:val=""/>
      <w:lvlJc w:val="left"/>
      <w:pPr>
        <w:tabs>
          <w:tab w:val="num" w:pos="720"/>
        </w:tabs>
        <w:ind w:left="720" w:hanging="360"/>
      </w:pPr>
      <w:rPr>
        <w:rFonts w:ascii="Symbol" w:hAnsi="Symbol" w:hint="default"/>
      </w:rPr>
    </w:lvl>
    <w:lvl w:ilvl="1" w:tplc="3334C14E" w:tentative="1">
      <w:start w:val="1"/>
      <w:numFmt w:val="bullet"/>
      <w:lvlText w:val="o"/>
      <w:lvlJc w:val="left"/>
      <w:pPr>
        <w:tabs>
          <w:tab w:val="num" w:pos="1440"/>
        </w:tabs>
        <w:ind w:left="1440" w:hanging="360"/>
      </w:pPr>
      <w:rPr>
        <w:rFonts w:ascii="Courier New" w:hAnsi="Courier New" w:hint="default"/>
        <w:sz w:val="20"/>
      </w:rPr>
    </w:lvl>
    <w:lvl w:ilvl="2" w:tplc="4EA6C42E" w:tentative="1">
      <w:start w:val="1"/>
      <w:numFmt w:val="bullet"/>
      <w:lvlText w:val=""/>
      <w:lvlJc w:val="left"/>
      <w:pPr>
        <w:tabs>
          <w:tab w:val="num" w:pos="2160"/>
        </w:tabs>
        <w:ind w:left="2160" w:hanging="360"/>
      </w:pPr>
      <w:rPr>
        <w:rFonts w:ascii="Wingdings" w:hAnsi="Wingdings" w:hint="default"/>
        <w:sz w:val="20"/>
      </w:rPr>
    </w:lvl>
    <w:lvl w:ilvl="3" w:tplc="D3A26C42" w:tentative="1">
      <w:start w:val="1"/>
      <w:numFmt w:val="bullet"/>
      <w:lvlText w:val=""/>
      <w:lvlJc w:val="left"/>
      <w:pPr>
        <w:tabs>
          <w:tab w:val="num" w:pos="2880"/>
        </w:tabs>
        <w:ind w:left="2880" w:hanging="360"/>
      </w:pPr>
      <w:rPr>
        <w:rFonts w:ascii="Wingdings" w:hAnsi="Wingdings" w:hint="default"/>
        <w:sz w:val="20"/>
      </w:rPr>
    </w:lvl>
    <w:lvl w:ilvl="4" w:tplc="BCDE071A" w:tentative="1">
      <w:start w:val="1"/>
      <w:numFmt w:val="bullet"/>
      <w:lvlText w:val=""/>
      <w:lvlJc w:val="left"/>
      <w:pPr>
        <w:tabs>
          <w:tab w:val="num" w:pos="3600"/>
        </w:tabs>
        <w:ind w:left="3600" w:hanging="360"/>
      </w:pPr>
      <w:rPr>
        <w:rFonts w:ascii="Wingdings" w:hAnsi="Wingdings" w:hint="default"/>
        <w:sz w:val="20"/>
      </w:rPr>
    </w:lvl>
    <w:lvl w:ilvl="5" w:tplc="F2DC77BC" w:tentative="1">
      <w:start w:val="1"/>
      <w:numFmt w:val="bullet"/>
      <w:lvlText w:val=""/>
      <w:lvlJc w:val="left"/>
      <w:pPr>
        <w:tabs>
          <w:tab w:val="num" w:pos="4320"/>
        </w:tabs>
        <w:ind w:left="4320" w:hanging="360"/>
      </w:pPr>
      <w:rPr>
        <w:rFonts w:ascii="Wingdings" w:hAnsi="Wingdings" w:hint="default"/>
        <w:sz w:val="20"/>
      </w:rPr>
    </w:lvl>
    <w:lvl w:ilvl="6" w:tplc="0BAE4F24" w:tentative="1">
      <w:start w:val="1"/>
      <w:numFmt w:val="bullet"/>
      <w:lvlText w:val=""/>
      <w:lvlJc w:val="left"/>
      <w:pPr>
        <w:tabs>
          <w:tab w:val="num" w:pos="5040"/>
        </w:tabs>
        <w:ind w:left="5040" w:hanging="360"/>
      </w:pPr>
      <w:rPr>
        <w:rFonts w:ascii="Wingdings" w:hAnsi="Wingdings" w:hint="default"/>
        <w:sz w:val="20"/>
      </w:rPr>
    </w:lvl>
    <w:lvl w:ilvl="7" w:tplc="65E8063A" w:tentative="1">
      <w:start w:val="1"/>
      <w:numFmt w:val="bullet"/>
      <w:lvlText w:val=""/>
      <w:lvlJc w:val="left"/>
      <w:pPr>
        <w:tabs>
          <w:tab w:val="num" w:pos="5760"/>
        </w:tabs>
        <w:ind w:left="5760" w:hanging="360"/>
      </w:pPr>
      <w:rPr>
        <w:rFonts w:ascii="Wingdings" w:hAnsi="Wingdings" w:hint="default"/>
        <w:sz w:val="20"/>
      </w:rPr>
    </w:lvl>
    <w:lvl w:ilvl="8" w:tplc="39583222"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0C221F"/>
    <w:multiLevelType w:val="hybridMultilevel"/>
    <w:tmpl w:val="78A82598"/>
    <w:lvl w:ilvl="0" w:tplc="DCBE2958">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4">
    <w:nsid w:val="0E53415A"/>
    <w:multiLevelType w:val="hybridMultilevel"/>
    <w:tmpl w:val="B31815F4"/>
    <w:lvl w:ilvl="0" w:tplc="A360433E">
      <w:start w:val="1"/>
      <w:numFmt w:val="bullet"/>
      <w:lvlText w:val=""/>
      <w:lvlJc w:val="left"/>
      <w:pPr>
        <w:ind w:left="720" w:hanging="360"/>
      </w:pPr>
      <w:rPr>
        <w:rFonts w:ascii="Symbol" w:hAnsi="Symbol" w:hint="default"/>
        <w:color w:val="317C6F"/>
        <w:sz w:val="22"/>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0F11436F"/>
    <w:multiLevelType w:val="hybridMultilevel"/>
    <w:tmpl w:val="E874305E"/>
    <w:lvl w:ilvl="0" w:tplc="F1840F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049060E"/>
    <w:multiLevelType w:val="hybridMultilevel"/>
    <w:tmpl w:val="CFE2C2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nsid w:val="13443D82"/>
    <w:multiLevelType w:val="hybridMultilevel"/>
    <w:tmpl w:val="EF60B8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A6010F6"/>
    <w:multiLevelType w:val="hybridMultilevel"/>
    <w:tmpl w:val="0838A7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nsid w:val="1AD5187E"/>
    <w:multiLevelType w:val="hybridMultilevel"/>
    <w:tmpl w:val="DC6A7A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1DC308EC"/>
    <w:multiLevelType w:val="hybridMultilevel"/>
    <w:tmpl w:val="EF60B8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1F44201D"/>
    <w:multiLevelType w:val="hybridMultilevel"/>
    <w:tmpl w:val="3E9A2750"/>
    <w:lvl w:ilvl="0" w:tplc="A360433E">
      <w:start w:val="1"/>
      <w:numFmt w:val="bullet"/>
      <w:lvlText w:val=""/>
      <w:lvlJc w:val="left"/>
      <w:pPr>
        <w:ind w:left="720" w:hanging="360"/>
      </w:pPr>
      <w:rPr>
        <w:rFonts w:ascii="Symbol" w:hAnsi="Symbol" w:hint="default"/>
        <w:color w:val="317C6F"/>
        <w:sz w:val="22"/>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0E4151C"/>
    <w:multiLevelType w:val="hybridMultilevel"/>
    <w:tmpl w:val="1F16F9D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239D6F88"/>
    <w:multiLevelType w:val="hybridMultilevel"/>
    <w:tmpl w:val="A7E209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nsid w:val="24B617D7"/>
    <w:multiLevelType w:val="multilevel"/>
    <w:tmpl w:val="A0822620"/>
    <w:numStyleLink w:val="ListNumbering"/>
  </w:abstractNum>
  <w:abstractNum w:abstractNumId="25">
    <w:nsid w:val="267A3DD6"/>
    <w:multiLevelType w:val="multilevel"/>
    <w:tmpl w:val="557AB556"/>
    <w:styleLink w:val="Style1"/>
    <w:lvl w:ilvl="0">
      <w:start w:val="1"/>
      <w:numFmt w:val="decimal"/>
      <w:pStyle w:val="ECVHeadingBullet"/>
      <w:lvlText w:val="%1."/>
      <w:lvlJc w:val="left"/>
      <w:pPr>
        <w:ind w:left="720" w:hanging="360"/>
      </w:pPr>
      <w:rPr>
        <w:rFonts w:hint="default"/>
        <w:color w:val="auto"/>
      </w:rPr>
    </w:lvl>
    <w:lvl w:ilvl="1">
      <w:start w:val="1"/>
      <w:numFmt w:val="decimal"/>
      <w:lvlText w:val="%2."/>
      <w:lvlJc w:val="left"/>
      <w:pPr>
        <w:ind w:left="108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8E74EA3"/>
    <w:multiLevelType w:val="hybridMultilevel"/>
    <w:tmpl w:val="2B105734"/>
    <w:lvl w:ilvl="0" w:tplc="A360433E">
      <w:start w:val="1"/>
      <w:numFmt w:val="bullet"/>
      <w:lvlText w:val=""/>
      <w:lvlJc w:val="left"/>
      <w:pPr>
        <w:ind w:left="720" w:hanging="360"/>
      </w:pPr>
      <w:rPr>
        <w:rFonts w:ascii="Symbol" w:hAnsi="Symbol" w:hint="default"/>
        <w:color w:val="317C6F"/>
        <w:sz w:val="22"/>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AE4199B"/>
    <w:multiLevelType w:val="hybridMultilevel"/>
    <w:tmpl w:val="19C0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BB90563"/>
    <w:multiLevelType w:val="hybridMultilevel"/>
    <w:tmpl w:val="AD7267C2"/>
    <w:lvl w:ilvl="0" w:tplc="86CA8004">
      <w:numFmt w:val="bullet"/>
      <w:lvlText w:val="-"/>
      <w:lvlJc w:val="left"/>
      <w:pPr>
        <w:ind w:left="720" w:hanging="360"/>
      </w:pPr>
      <w:rPr>
        <w:rFonts w:ascii="Calibri" w:eastAsia="Times New Roman"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nsid w:val="2C7E1846"/>
    <w:multiLevelType w:val="multilevel"/>
    <w:tmpl w:val="529810F4"/>
    <w:lvl w:ilvl="0">
      <w:start w:val="1"/>
      <w:numFmt w:val="upperRoman"/>
      <w:pStyle w:val="Annexlevel1"/>
      <w:lvlText w:val="Annex %1."/>
      <w:lvlJc w:val="left"/>
      <w:pPr>
        <w:ind w:left="11625"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nsid w:val="2D4026DF"/>
    <w:multiLevelType w:val="hybridMultilevel"/>
    <w:tmpl w:val="88465DCC"/>
    <w:lvl w:ilvl="0" w:tplc="3AE85A66">
      <w:start w:val="1"/>
      <w:numFmt w:val="decimal"/>
      <w:lvlText w:val="JC%1:"/>
      <w:lvlJc w:val="left"/>
      <w:pPr>
        <w:ind w:left="851" w:hanging="738"/>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30741F6A"/>
    <w:multiLevelType w:val="hybridMultilevel"/>
    <w:tmpl w:val="88465DCC"/>
    <w:lvl w:ilvl="0" w:tplc="3AE85A66">
      <w:start w:val="1"/>
      <w:numFmt w:val="decimal"/>
      <w:lvlText w:val="JC%1:"/>
      <w:lvlJc w:val="left"/>
      <w:pPr>
        <w:ind w:left="851" w:hanging="738"/>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3806AE4"/>
    <w:multiLevelType w:val="hybridMultilevel"/>
    <w:tmpl w:val="EA14B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4665ACC"/>
    <w:multiLevelType w:val="hybridMultilevel"/>
    <w:tmpl w:val="88465DCC"/>
    <w:lvl w:ilvl="0" w:tplc="3AE85A66">
      <w:start w:val="1"/>
      <w:numFmt w:val="decimal"/>
      <w:lvlText w:val="JC%1:"/>
      <w:lvlJc w:val="left"/>
      <w:pPr>
        <w:ind w:left="851" w:hanging="738"/>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80847B7"/>
    <w:multiLevelType w:val="multilevel"/>
    <w:tmpl w:val="DD4A129C"/>
    <w:styleLink w:val="TabEinzuegeListe"/>
    <w:lvl w:ilvl="0">
      <w:start w:val="1"/>
      <w:numFmt w:val="bullet"/>
      <w:pStyle w:val="TabE1Standardeinzug"/>
      <w:lvlText w:val=""/>
      <w:lvlJc w:val="left"/>
      <w:pPr>
        <w:tabs>
          <w:tab w:val="num" w:pos="170"/>
        </w:tabs>
        <w:ind w:left="170" w:hanging="170"/>
      </w:pPr>
      <w:rPr>
        <w:rFonts w:ascii="Symbol" w:hAnsi="Symbol" w:hint="default"/>
        <w:sz w:val="20"/>
        <w:szCs w:val="20"/>
      </w:rPr>
    </w:lvl>
    <w:lvl w:ilvl="1">
      <w:start w:val="1"/>
      <w:numFmt w:val="none"/>
      <w:pStyle w:val="TabE1oStandardeinzug"/>
      <w:lvlText w:val=""/>
      <w:lvlJc w:val="left"/>
      <w:pPr>
        <w:tabs>
          <w:tab w:val="num" w:pos="170"/>
        </w:tabs>
        <w:ind w:left="170" w:firstLine="0"/>
      </w:pPr>
      <w:rPr>
        <w:rFonts w:hint="default"/>
      </w:rPr>
    </w:lvl>
    <w:lvl w:ilvl="2">
      <w:start w:val="1"/>
      <w:numFmt w:val="bullet"/>
      <w:pStyle w:val="TabE2Standardeinzug"/>
      <w:lvlText w:val=""/>
      <w:lvlJc w:val="left"/>
      <w:pPr>
        <w:tabs>
          <w:tab w:val="num" w:pos="340"/>
        </w:tabs>
        <w:ind w:left="340" w:hanging="170"/>
      </w:pPr>
      <w:rPr>
        <w:rFonts w:ascii="Symbol" w:hAnsi="Symbol" w:hint="default"/>
      </w:rPr>
    </w:lvl>
    <w:lvl w:ilvl="3">
      <w:start w:val="1"/>
      <w:numFmt w:val="none"/>
      <w:pStyle w:val="TabE2oStandardeinzug"/>
      <w:lvlText w:val=""/>
      <w:lvlJc w:val="left"/>
      <w:pPr>
        <w:tabs>
          <w:tab w:val="num" w:pos="340"/>
        </w:tabs>
        <w:ind w:left="340" w:firstLine="0"/>
      </w:pPr>
      <w:rPr>
        <w:rFonts w:hint="default"/>
      </w:rPr>
    </w:lvl>
    <w:lvl w:ilvl="4">
      <w:start w:val="1"/>
      <w:numFmt w:val="bullet"/>
      <w:pStyle w:val="TabE3Standardeinzug"/>
      <w:lvlText w:val="-"/>
      <w:lvlJc w:val="left"/>
      <w:pPr>
        <w:tabs>
          <w:tab w:val="num" w:pos="510"/>
        </w:tabs>
        <w:ind w:left="510" w:hanging="170"/>
      </w:pPr>
      <w:rPr>
        <w:rFonts w:ascii="Arial" w:hAnsi="Arial" w:hint="default"/>
      </w:rPr>
    </w:lvl>
    <w:lvl w:ilvl="5">
      <w:start w:val="1"/>
      <w:numFmt w:val="none"/>
      <w:pStyle w:val="TabE3oStandardeinzug"/>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ascii="Arial" w:hAnsi="Arial" w:hint="default"/>
        <w:sz w:val="20"/>
        <w:szCs w:val="20"/>
      </w:rPr>
    </w:lvl>
    <w:lvl w:ilvl="7">
      <w:start w:val="1"/>
      <w:numFmt w:val="none"/>
      <w:lvlText w:val=""/>
      <w:lvlJc w:val="left"/>
      <w:pPr>
        <w:tabs>
          <w:tab w:val="num" w:pos="510"/>
        </w:tabs>
        <w:ind w:left="510" w:firstLine="0"/>
      </w:pPr>
      <w:rPr>
        <w:rFonts w:hint="default"/>
      </w:rPr>
    </w:lvl>
    <w:lvl w:ilvl="8">
      <w:start w:val="1"/>
      <w:numFmt w:val="none"/>
      <w:lvlText w:val=""/>
      <w:lvlJc w:val="left"/>
      <w:pPr>
        <w:tabs>
          <w:tab w:val="num" w:pos="510"/>
        </w:tabs>
        <w:ind w:left="510" w:firstLine="0"/>
      </w:pPr>
      <w:rPr>
        <w:rFonts w:hint="default"/>
      </w:rPr>
    </w:lvl>
  </w:abstractNum>
  <w:abstractNum w:abstractNumId="35">
    <w:nsid w:val="39FD5FE4"/>
    <w:multiLevelType w:val="hybridMultilevel"/>
    <w:tmpl w:val="28E2DF16"/>
    <w:lvl w:ilvl="0" w:tplc="D42A0D9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3AA46D6D"/>
    <w:multiLevelType w:val="hybridMultilevel"/>
    <w:tmpl w:val="88465DCC"/>
    <w:lvl w:ilvl="0" w:tplc="3AE85A66">
      <w:start w:val="1"/>
      <w:numFmt w:val="decimal"/>
      <w:lvlText w:val="JC%1:"/>
      <w:lvlJc w:val="left"/>
      <w:pPr>
        <w:ind w:left="851" w:hanging="738"/>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3B08623D"/>
    <w:multiLevelType w:val="multilevel"/>
    <w:tmpl w:val="DB9C7134"/>
    <w:name w:val="list-number-color"/>
    <w:lvl w:ilvl="0">
      <w:start w:val="1"/>
      <w:numFmt w:val="decimal"/>
      <w:pStyle w:val="list-number-color"/>
      <w:lvlText w:val="%1."/>
      <w:lvlJc w:val="left"/>
      <w:pPr>
        <w:ind w:left="284" w:hanging="284"/>
      </w:pPr>
      <w:rPr>
        <w:rFonts w:ascii="Arial" w:hAnsi="Arial" w:cs="Times New Roman" w:hint="default"/>
        <w:b w:val="0"/>
        <w:i w:val="0"/>
        <w:color w:val="006DB6"/>
        <w:sz w:val="18"/>
      </w:rPr>
    </w:lvl>
    <w:lvl w:ilvl="1">
      <w:start w:val="1"/>
      <w:numFmt w:val="lowerLetter"/>
      <w:lvlText w:val="%2."/>
      <w:lvlJc w:val="left"/>
      <w:pPr>
        <w:ind w:left="568" w:hanging="284"/>
      </w:pPr>
      <w:rPr>
        <w:rFonts w:ascii="Arial" w:hAnsi="Arial" w:cs="Times New Roman" w:hint="default"/>
        <w:b w:val="0"/>
        <w:i w:val="0"/>
        <w:color w:val="006DB6"/>
        <w:sz w:val="18"/>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8">
    <w:nsid w:val="3BDA5001"/>
    <w:multiLevelType w:val="multilevel"/>
    <w:tmpl w:val="F88CB87E"/>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0">
    <w:nsid w:val="3D204789"/>
    <w:multiLevelType w:val="multilevel"/>
    <w:tmpl w:val="A18AA0B2"/>
    <w:name w:val="list-number-black"/>
    <w:lvl w:ilvl="0">
      <w:start w:val="1"/>
      <w:numFmt w:val="decimal"/>
      <w:pStyle w:val="list-number-black"/>
      <w:lvlText w:val="%1."/>
      <w:lvlJc w:val="left"/>
      <w:pPr>
        <w:ind w:left="284" w:hanging="284"/>
      </w:pPr>
      <w:rPr>
        <w:rFonts w:ascii="Arial" w:hAnsi="Arial" w:cs="Times New Roman" w:hint="default"/>
        <w:b w:val="0"/>
        <w:i w:val="0"/>
        <w:sz w:val="18"/>
      </w:rPr>
    </w:lvl>
    <w:lvl w:ilvl="1">
      <w:start w:val="1"/>
      <w:numFmt w:val="lowerLetter"/>
      <w:lvlText w:val="%2."/>
      <w:lvlJc w:val="left"/>
      <w:pPr>
        <w:ind w:left="568" w:hanging="284"/>
      </w:pPr>
      <w:rPr>
        <w:rFonts w:ascii="Arial" w:hAnsi="Arial" w:cs="Times New Roman" w:hint="default"/>
        <w:b w:val="0"/>
        <w:i w:val="0"/>
        <w:sz w:val="18"/>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000000" w:themeColor="text1"/>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000000" w:themeColor="text1"/>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000000" w:themeColor="text1"/>
      </w:rPr>
    </w:lvl>
  </w:abstractNum>
  <w:abstractNum w:abstractNumId="41">
    <w:nsid w:val="3EAE6B65"/>
    <w:multiLevelType w:val="multilevel"/>
    <w:tmpl w:val="038A024A"/>
    <w:name w:val="list-bullet-color-table2"/>
    <w:lvl w:ilvl="0">
      <w:start w:val="1"/>
      <w:numFmt w:val="bullet"/>
      <w:lvlRestart w:val="0"/>
      <w:pStyle w:val="list-bullet-color-table"/>
      <w:lvlText w:val=""/>
      <w:lvlJc w:val="left"/>
      <w:pPr>
        <w:ind w:left="284" w:hanging="284"/>
      </w:pPr>
      <w:rPr>
        <w:rFonts w:ascii="Symbol" w:hAnsi="Symbol" w:hint="default"/>
        <w:color w:val="006DB6"/>
        <w:sz w:val="16"/>
      </w:rPr>
    </w:lvl>
    <w:lvl w:ilvl="1">
      <w:start w:val="1"/>
      <w:numFmt w:val="bullet"/>
      <w:lvlText w:val="-"/>
      <w:lvlJc w:val="left"/>
      <w:pPr>
        <w:ind w:left="568" w:hanging="284"/>
      </w:pPr>
      <w:rPr>
        <w:rFonts w:ascii="Arial" w:hAnsi="Arial" w:cs="Arial"/>
        <w:color w:val="006DB6"/>
        <w:sz w:val="16"/>
      </w:rPr>
    </w:lvl>
    <w:lvl w:ilvl="2">
      <w:start w:val="1"/>
      <w:numFmt w:val="bullet"/>
      <w:lvlText w:val=""/>
      <w:lvlJc w:val="left"/>
      <w:pPr>
        <w:ind w:left="852" w:hanging="284"/>
      </w:pPr>
      <w:rPr>
        <w:rFonts w:ascii="Symbol" w:hAnsi="Symbol" w:hint="default"/>
        <w:color w:val="006DB6"/>
        <w:sz w:val="16"/>
      </w:rPr>
    </w:lvl>
    <w:lvl w:ilvl="3">
      <w:start w:val="1"/>
      <w:numFmt w:val="bullet"/>
      <w:lvlText w:val="-"/>
      <w:lvlJc w:val="left"/>
      <w:pPr>
        <w:ind w:left="1136" w:hanging="284"/>
      </w:pPr>
      <w:rPr>
        <w:rFonts w:ascii="Arial" w:hAnsi="Arial" w:cs="Arial"/>
        <w:color w:val="006DB6"/>
        <w:sz w:val="16"/>
      </w:rPr>
    </w:lvl>
    <w:lvl w:ilvl="4">
      <w:start w:val="1"/>
      <w:numFmt w:val="bullet"/>
      <w:lvlText w:val=""/>
      <w:lvlJc w:val="left"/>
      <w:pPr>
        <w:ind w:left="1420" w:hanging="284"/>
      </w:pPr>
      <w:rPr>
        <w:rFonts w:ascii="Symbol" w:hAnsi="Symbol" w:hint="default"/>
        <w:color w:val="006DB6"/>
        <w:sz w:val="16"/>
      </w:rPr>
    </w:lvl>
    <w:lvl w:ilvl="5">
      <w:start w:val="1"/>
      <w:numFmt w:val="bullet"/>
      <w:lvlText w:val="-"/>
      <w:lvlJc w:val="left"/>
      <w:pPr>
        <w:ind w:left="1704" w:hanging="284"/>
      </w:pPr>
      <w:rPr>
        <w:rFonts w:ascii="Arial" w:hAnsi="Arial" w:cs="Arial"/>
        <w:color w:val="006DB6"/>
        <w:sz w:val="16"/>
      </w:rPr>
    </w:lvl>
    <w:lvl w:ilvl="6">
      <w:start w:val="1"/>
      <w:numFmt w:val="bullet"/>
      <w:lvlText w:val=""/>
      <w:lvlJc w:val="left"/>
      <w:pPr>
        <w:ind w:left="1988" w:hanging="284"/>
      </w:pPr>
      <w:rPr>
        <w:rFonts w:ascii="Symbol" w:hAnsi="Symbol" w:hint="default"/>
        <w:color w:val="006DB6"/>
        <w:sz w:val="16"/>
      </w:rPr>
    </w:lvl>
    <w:lvl w:ilvl="7">
      <w:start w:val="1"/>
      <w:numFmt w:val="bullet"/>
      <w:lvlText w:val="-"/>
      <w:lvlJc w:val="left"/>
      <w:pPr>
        <w:ind w:left="2272" w:hanging="284"/>
      </w:pPr>
      <w:rPr>
        <w:rFonts w:ascii="Arial" w:hAnsi="Arial" w:cs="Arial"/>
        <w:color w:val="006DB6"/>
        <w:sz w:val="16"/>
      </w:rPr>
    </w:lvl>
    <w:lvl w:ilvl="8">
      <w:start w:val="1"/>
      <w:numFmt w:val="bullet"/>
      <w:lvlText w:val=""/>
      <w:lvlJc w:val="left"/>
      <w:pPr>
        <w:ind w:left="2556" w:hanging="284"/>
      </w:pPr>
      <w:rPr>
        <w:rFonts w:ascii="Symbol" w:hAnsi="Symbol" w:hint="default"/>
        <w:color w:val="006DB6"/>
        <w:sz w:val="16"/>
      </w:rPr>
    </w:lvl>
  </w:abstractNum>
  <w:abstractNum w:abstractNumId="42">
    <w:nsid w:val="45883425"/>
    <w:multiLevelType w:val="hybridMultilevel"/>
    <w:tmpl w:val="88D6E326"/>
    <w:lvl w:ilvl="0" w:tplc="C936BB10">
      <w:start w:val="1"/>
      <w:numFmt w:val="bullet"/>
      <w:pStyle w:val="FirstlevellistLA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64A5729"/>
    <w:multiLevelType w:val="multilevel"/>
    <w:tmpl w:val="8DB4BF6A"/>
    <w:styleLink w:val="StandardEinzuegeListe"/>
    <w:lvl w:ilvl="0">
      <w:start w:val="1"/>
      <w:numFmt w:val="bullet"/>
      <w:lvlText w:val=""/>
      <w:lvlJc w:val="left"/>
      <w:pPr>
        <w:tabs>
          <w:tab w:val="num" w:pos="284"/>
        </w:tabs>
        <w:ind w:left="284" w:hanging="284"/>
      </w:pPr>
      <w:rPr>
        <w:rFonts w:ascii="Symbol" w:hAnsi="Symbol" w:hint="default"/>
        <w:sz w:val="22"/>
        <w:szCs w:val="22"/>
      </w:rPr>
    </w:lvl>
    <w:lvl w:ilvl="1">
      <w:start w:val="1"/>
      <w:numFmt w:val="none"/>
      <w:lvlText w:val=""/>
      <w:lvlJc w:val="left"/>
      <w:pPr>
        <w:tabs>
          <w:tab w:val="num" w:pos="284"/>
        </w:tabs>
        <w:ind w:left="284" w:firstLine="0"/>
      </w:pPr>
      <w:rPr>
        <w:rFonts w:hint="default"/>
      </w:rPr>
    </w:lvl>
    <w:lvl w:ilvl="2">
      <w:start w:val="1"/>
      <w:numFmt w:val="bullet"/>
      <w:lvlText w:val=""/>
      <w:lvlJc w:val="left"/>
      <w:pPr>
        <w:tabs>
          <w:tab w:val="num" w:pos="567"/>
        </w:tabs>
        <w:ind w:left="567" w:hanging="283"/>
      </w:pPr>
      <w:rPr>
        <w:rFonts w:ascii="Symbol" w:hAnsi="Symbol" w:hint="default"/>
        <w:sz w:val="22"/>
        <w:szCs w:val="22"/>
      </w:rPr>
    </w:lvl>
    <w:lvl w:ilvl="3">
      <w:start w:val="1"/>
      <w:numFmt w:val="none"/>
      <w:lvlText w:val=""/>
      <w:lvlJc w:val="left"/>
      <w:pPr>
        <w:tabs>
          <w:tab w:val="num" w:pos="567"/>
        </w:tabs>
        <w:ind w:left="567" w:firstLine="0"/>
      </w:pPr>
      <w:rPr>
        <w:rFonts w:hint="default"/>
      </w:rPr>
    </w:lvl>
    <w:lvl w:ilvl="4">
      <w:start w:val="1"/>
      <w:numFmt w:val="bullet"/>
      <w:lvlText w:val="-"/>
      <w:lvlJc w:val="left"/>
      <w:pPr>
        <w:tabs>
          <w:tab w:val="num" w:pos="851"/>
        </w:tabs>
        <w:ind w:left="851" w:hanging="284"/>
      </w:pPr>
      <w:rPr>
        <w:rFonts w:ascii="Arial" w:hAnsi="Arial" w:hint="default"/>
        <w:sz w:val="22"/>
      </w:rPr>
    </w:lvl>
    <w:lvl w:ilvl="5">
      <w:start w:val="1"/>
      <w:numFmt w:val="none"/>
      <w:lvlText w:val=""/>
      <w:lvlJc w:val="left"/>
      <w:pPr>
        <w:tabs>
          <w:tab w:val="num" w:pos="851"/>
        </w:tabs>
        <w:ind w:left="851" w:firstLine="0"/>
      </w:pPr>
      <w:rPr>
        <w:rFonts w:hint="default"/>
      </w:rPr>
    </w:lvl>
    <w:lvl w:ilvl="6">
      <w:start w:val="1"/>
      <w:numFmt w:val="none"/>
      <w:lvlText w:val=""/>
      <w:lvlJc w:val="left"/>
      <w:pPr>
        <w:tabs>
          <w:tab w:val="num" w:pos="851"/>
        </w:tabs>
        <w:ind w:left="851" w:firstLine="0"/>
      </w:pPr>
      <w:rPr>
        <w:rFonts w:ascii="Arial" w:hAnsi="Arial" w:hint="default"/>
        <w:sz w:val="20"/>
        <w:szCs w:val="20"/>
      </w:rPr>
    </w:lvl>
    <w:lvl w:ilvl="7">
      <w:start w:val="1"/>
      <w:numFmt w:val="none"/>
      <w:lvlText w:val=""/>
      <w:lvlJc w:val="left"/>
      <w:pPr>
        <w:tabs>
          <w:tab w:val="num" w:pos="851"/>
        </w:tabs>
        <w:ind w:left="851" w:firstLine="0"/>
      </w:pPr>
      <w:rPr>
        <w:rFonts w:hint="default"/>
      </w:rPr>
    </w:lvl>
    <w:lvl w:ilvl="8">
      <w:start w:val="1"/>
      <w:numFmt w:val="none"/>
      <w:lvlText w:val=""/>
      <w:lvlJc w:val="left"/>
      <w:pPr>
        <w:tabs>
          <w:tab w:val="num" w:pos="851"/>
        </w:tabs>
        <w:ind w:left="851" w:firstLine="0"/>
      </w:pPr>
      <w:rPr>
        <w:rFonts w:hint="default"/>
      </w:rPr>
    </w:lvl>
  </w:abstractNum>
  <w:abstractNum w:abstractNumId="44">
    <w:nsid w:val="484B2F73"/>
    <w:multiLevelType w:val="hybridMultilevel"/>
    <w:tmpl w:val="F0C452BA"/>
    <w:lvl w:ilvl="0" w:tplc="20B882EC">
      <w:start w:val="1"/>
      <w:numFmt w:val="bullet"/>
      <w:lvlText w:val=""/>
      <w:lvlJc w:val="left"/>
      <w:pPr>
        <w:ind w:left="1305" w:hanging="738"/>
      </w:pPr>
      <w:rPr>
        <w:rFonts w:ascii="Symbol" w:hAnsi="Symbol" w:hint="default"/>
      </w:rPr>
    </w:lvl>
    <w:lvl w:ilvl="1" w:tplc="20B882EC">
      <w:start w:val="1"/>
      <w:numFmt w:val="bullet"/>
      <w:lvlText w:val=""/>
      <w:lvlJc w:val="left"/>
      <w:pPr>
        <w:ind w:left="1534" w:hanging="360"/>
      </w:pPr>
      <w:rPr>
        <w:rFonts w:ascii="Symbol" w:hAnsi="Symbol" w:hint="default"/>
      </w:r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45">
    <w:nsid w:val="490F022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AF5515F"/>
    <w:multiLevelType w:val="hybridMultilevel"/>
    <w:tmpl w:val="EB1C33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4C466365"/>
    <w:multiLevelType w:val="hybridMultilevel"/>
    <w:tmpl w:val="F05A62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9">
    <w:nsid w:val="4D3832E6"/>
    <w:multiLevelType w:val="hybridMultilevel"/>
    <w:tmpl w:val="AE34AEF6"/>
    <w:lvl w:ilvl="0" w:tplc="A360433E">
      <w:start w:val="1"/>
      <w:numFmt w:val="bullet"/>
      <w:lvlText w:val=""/>
      <w:lvlJc w:val="left"/>
      <w:pPr>
        <w:ind w:left="720" w:hanging="360"/>
      </w:pPr>
      <w:rPr>
        <w:rFonts w:ascii="Symbol" w:hAnsi="Symbol" w:hint="default"/>
        <w:color w:val="317C6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4DC42288"/>
    <w:multiLevelType w:val="hybridMultilevel"/>
    <w:tmpl w:val="88465DCC"/>
    <w:lvl w:ilvl="0" w:tplc="3AE85A66">
      <w:start w:val="1"/>
      <w:numFmt w:val="decimal"/>
      <w:lvlText w:val="JC%1:"/>
      <w:lvlJc w:val="left"/>
      <w:pPr>
        <w:ind w:left="851" w:hanging="738"/>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5085566D"/>
    <w:multiLevelType w:val="multilevel"/>
    <w:tmpl w:val="0874B668"/>
    <w:name w:val="list-bullet-black"/>
    <w:lvl w:ilvl="0">
      <w:start w:val="1"/>
      <w:numFmt w:val="bullet"/>
      <w:pStyle w:val="list-bullet-black"/>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Arial" w:hAnsi="Arial" w:hint="default"/>
        <w:color w:val="000000" w:themeColor="text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000000" w:themeColor="text1"/>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000000" w:themeColor="text1"/>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000000" w:themeColor="text1"/>
      </w:rPr>
    </w:lvl>
  </w:abstractNum>
  <w:abstractNum w:abstractNumId="52">
    <w:nsid w:val="51612F87"/>
    <w:multiLevelType w:val="hybridMultilevel"/>
    <w:tmpl w:val="21AC46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nsid w:val="56177FBE"/>
    <w:multiLevelType w:val="hybridMultilevel"/>
    <w:tmpl w:val="8AB60094"/>
    <w:lvl w:ilvl="0" w:tplc="958E08A8">
      <w:start w:val="2"/>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56D452DB"/>
    <w:multiLevelType w:val="hybridMultilevel"/>
    <w:tmpl w:val="9FE826A0"/>
    <w:lvl w:ilvl="0" w:tplc="08090001">
      <w:start w:val="1"/>
      <w:numFmt w:val="bullet"/>
      <w:pStyle w:val="TextBo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77C69AC"/>
    <w:multiLevelType w:val="hybridMultilevel"/>
    <w:tmpl w:val="3828DFA0"/>
    <w:lvl w:ilvl="0" w:tplc="A360433E">
      <w:start w:val="1"/>
      <w:numFmt w:val="bullet"/>
      <w:lvlText w:val=""/>
      <w:lvlJc w:val="left"/>
      <w:pPr>
        <w:ind w:left="720" w:hanging="360"/>
      </w:pPr>
      <w:rPr>
        <w:rFonts w:ascii="Symbol" w:hAnsi="Symbol" w:hint="default"/>
        <w:color w:val="317C6F"/>
        <w:sz w:val="22"/>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584403D3"/>
    <w:multiLevelType w:val="hybridMultilevel"/>
    <w:tmpl w:val="DAAEC6D2"/>
    <w:lvl w:ilvl="0" w:tplc="0A68BC0A">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9C8103E"/>
    <w:multiLevelType w:val="hybridMultilevel"/>
    <w:tmpl w:val="E24C141E"/>
    <w:lvl w:ilvl="0" w:tplc="3E6619DA">
      <w:start w:val="1"/>
      <w:numFmt w:val="bullet"/>
      <w:pStyle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B0E7D6E"/>
    <w:multiLevelType w:val="hybridMultilevel"/>
    <w:tmpl w:val="72AE08E8"/>
    <w:lvl w:ilvl="0" w:tplc="3D3C93E6">
      <w:start w:val="1"/>
      <w:numFmt w:val="decimal"/>
      <w:lvlText w:val="EQ%1:"/>
      <w:lvlJc w:val="left"/>
      <w:pPr>
        <w:tabs>
          <w:tab w:val="num" w:pos="1077"/>
        </w:tabs>
        <w:ind w:left="964" w:hanging="73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B982154"/>
    <w:multiLevelType w:val="multilevel"/>
    <w:tmpl w:val="865CF104"/>
    <w:styleLink w:val="berschriftenliste"/>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upperLetter"/>
      <w:lvlText w:val="%6"/>
      <w:lvlJc w:val="left"/>
      <w:pPr>
        <w:tabs>
          <w:tab w:val="num" w:pos="0"/>
        </w:tabs>
        <w:ind w:left="0" w:firstLine="0"/>
      </w:pPr>
      <w:rPr>
        <w:rFonts w:hint="default"/>
      </w:rPr>
    </w:lvl>
    <w:lvl w:ilvl="6">
      <w:start w:val="1"/>
      <w:numFmt w:val="decimal"/>
      <w:lvlText w:val="%6.%7"/>
      <w:lvlJc w:val="left"/>
      <w:pPr>
        <w:tabs>
          <w:tab w:val="num" w:pos="1134"/>
        </w:tabs>
        <w:ind w:left="1134" w:hanging="1134"/>
      </w:pPr>
      <w:rPr>
        <w:rFonts w:hint="default"/>
      </w:rPr>
    </w:lvl>
    <w:lvl w:ilvl="7">
      <w:start w:val="1"/>
      <w:numFmt w:val="decimal"/>
      <w:lvlText w:val="%6.%7.%8"/>
      <w:lvlJc w:val="left"/>
      <w:pPr>
        <w:tabs>
          <w:tab w:val="num" w:pos="1134"/>
        </w:tabs>
        <w:ind w:left="1134" w:hanging="1134"/>
      </w:pPr>
      <w:rPr>
        <w:rFonts w:hint="default"/>
      </w:rPr>
    </w:lvl>
    <w:lvl w:ilvl="8">
      <w:start w:val="1"/>
      <w:numFmt w:val="decimal"/>
      <w:lvlText w:val="%6.%7.%8.%9"/>
      <w:lvlJc w:val="left"/>
      <w:pPr>
        <w:tabs>
          <w:tab w:val="num" w:pos="1134"/>
        </w:tabs>
        <w:ind w:left="1134" w:hanging="1134"/>
      </w:pPr>
      <w:rPr>
        <w:rFonts w:hint="default"/>
      </w:rPr>
    </w:lvl>
  </w:abstractNum>
  <w:abstractNum w:abstractNumId="60">
    <w:nsid w:val="5D8C0217"/>
    <w:multiLevelType w:val="hybridMultilevel"/>
    <w:tmpl w:val="CE9A7F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5DFD014F"/>
    <w:multiLevelType w:val="singleLevel"/>
    <w:tmpl w:val="03C29486"/>
    <w:lvl w:ilvl="0">
      <w:start w:val="1"/>
      <w:numFmt w:val="bullet"/>
      <w:pStyle w:val="Tiret1"/>
      <w:lvlText w:val="-"/>
      <w:lvlJc w:val="left"/>
      <w:pPr>
        <w:tabs>
          <w:tab w:val="num" w:pos="360"/>
        </w:tabs>
        <w:ind w:left="284" w:hanging="284"/>
      </w:pPr>
      <w:rPr>
        <w:rFonts w:ascii="Times New Roman" w:hAnsi="Times New Roman" w:hint="default"/>
      </w:rPr>
    </w:lvl>
  </w:abstractNum>
  <w:abstractNum w:abstractNumId="62">
    <w:nsid w:val="5F1F782E"/>
    <w:multiLevelType w:val="hybridMultilevel"/>
    <w:tmpl w:val="3E4C5674"/>
    <w:lvl w:ilvl="0" w:tplc="0809000F">
      <w:start w:val="1"/>
      <w:numFmt w:val="decimal"/>
      <w:lvlText w:val="%1."/>
      <w:lvlJc w:val="left"/>
      <w:pPr>
        <w:ind w:left="360" w:hanging="360"/>
      </w:p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63">
    <w:nsid w:val="5F633045"/>
    <w:multiLevelType w:val="hybridMultilevel"/>
    <w:tmpl w:val="36F24AB2"/>
    <w:lvl w:ilvl="0" w:tplc="0F9E6B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FAC18E8"/>
    <w:multiLevelType w:val="hybridMultilevel"/>
    <w:tmpl w:val="89A043A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65">
    <w:nsid w:val="65263CB1"/>
    <w:multiLevelType w:val="multilevel"/>
    <w:tmpl w:val="7A5EC86A"/>
    <w:lvl w:ilvl="0">
      <w:start w:val="1"/>
      <w:numFmt w:val="decimal"/>
      <w:pStyle w:val="Heading1"/>
      <w:lvlText w:val="%1."/>
      <w:lvlJc w:val="left"/>
      <w:pPr>
        <w:ind w:left="454" w:hanging="454"/>
      </w:pPr>
      <w:rPr>
        <w:rFonts w:hint="default"/>
      </w:rPr>
    </w:lvl>
    <w:lvl w:ilvl="1">
      <w:start w:val="1"/>
      <w:numFmt w:val="decimal"/>
      <w:pStyle w:val="Heading2"/>
      <w:lvlText w:val="%1.%2."/>
      <w:lvlJc w:val="left"/>
      <w:pPr>
        <w:ind w:left="45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99007F2"/>
    <w:multiLevelType w:val="hybridMultilevel"/>
    <w:tmpl w:val="0DEC7E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67">
    <w:nsid w:val="6AC136AC"/>
    <w:multiLevelType w:val="hybridMultilevel"/>
    <w:tmpl w:val="2CAAF7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8">
    <w:nsid w:val="6D5E77F3"/>
    <w:multiLevelType w:val="hybridMultilevel"/>
    <w:tmpl w:val="47DE9346"/>
    <w:lvl w:ilvl="0" w:tplc="A360433E">
      <w:start w:val="1"/>
      <w:numFmt w:val="bullet"/>
      <w:lvlText w:val=""/>
      <w:lvlJc w:val="left"/>
      <w:pPr>
        <w:ind w:left="720" w:hanging="360"/>
      </w:pPr>
      <w:rPr>
        <w:rFonts w:ascii="Symbol" w:hAnsi="Symbol" w:hint="default"/>
        <w:color w:val="317C6F"/>
        <w:sz w:val="22"/>
        <w:szCs w:val="16"/>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29E6BD1"/>
    <w:multiLevelType w:val="multilevel"/>
    <w:tmpl w:val="CF8E241A"/>
    <w:styleLink w:val="ListBullets"/>
    <w:lvl w:ilvl="0">
      <w:start w:val="1"/>
      <w:numFmt w:val="bullet"/>
      <w:lvlText w:val="⁄"/>
      <w:lvlJc w:val="left"/>
      <w:pPr>
        <w:ind w:left="284" w:hanging="284"/>
      </w:pPr>
      <w:rPr>
        <w:rFonts w:ascii="Tahoma" w:hAnsi="Tahoma" w:hint="default"/>
        <w:color w:val="F4F3F0"/>
      </w:rPr>
    </w:lvl>
    <w:lvl w:ilvl="1">
      <w:start w:val="1"/>
      <w:numFmt w:val="bullet"/>
      <w:lvlText w:val="‒"/>
      <w:lvlJc w:val="left"/>
      <w:pPr>
        <w:ind w:left="567" w:hanging="283"/>
      </w:pPr>
      <w:rPr>
        <w:rFonts w:ascii="Calibri" w:hAnsi="Calibri" w:hint="default"/>
        <w:color w:val="5F5F5F"/>
      </w:rPr>
    </w:lvl>
    <w:lvl w:ilvl="2">
      <w:start w:val="1"/>
      <w:numFmt w:val="bullet"/>
      <w:lvlText w:val="‒"/>
      <w:lvlJc w:val="left"/>
      <w:pPr>
        <w:ind w:left="851" w:hanging="284"/>
      </w:pPr>
      <w:rPr>
        <w:rFonts w:ascii="Calibri" w:hAnsi="Calibri" w:hint="default"/>
        <w:color w:val="5F5F5F"/>
      </w:rPr>
    </w:lvl>
    <w:lvl w:ilvl="3">
      <w:start w:val="1"/>
      <w:numFmt w:val="bullet"/>
      <w:lvlText w:val="»"/>
      <w:lvlJc w:val="left"/>
      <w:pPr>
        <w:ind w:left="1134" w:hanging="283"/>
      </w:pPr>
      <w:rPr>
        <w:rFonts w:ascii="Calibri" w:hAnsi="Calibri" w:hint="default"/>
        <w:color w:val="F4F3F0"/>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0">
    <w:nsid w:val="737767A8"/>
    <w:multiLevelType w:val="hybridMultilevel"/>
    <w:tmpl w:val="88465DCC"/>
    <w:lvl w:ilvl="0" w:tplc="3AE85A66">
      <w:start w:val="1"/>
      <w:numFmt w:val="decimal"/>
      <w:lvlText w:val="JC%1:"/>
      <w:lvlJc w:val="left"/>
      <w:pPr>
        <w:ind w:left="851" w:hanging="738"/>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73CE72AD"/>
    <w:multiLevelType w:val="multilevel"/>
    <w:tmpl w:val="1464A40A"/>
    <w:name w:val="list-bullet-color"/>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72">
    <w:nsid w:val="77AD6EA1"/>
    <w:multiLevelType w:val="multilevel"/>
    <w:tmpl w:val="E244D0F8"/>
    <w:styleLink w:val="TabNummerierungenListe"/>
    <w:lvl w:ilvl="0">
      <w:start w:val="1"/>
      <w:numFmt w:val="decimal"/>
      <w:pStyle w:val="TabNr1Standardnummer"/>
      <w:lvlText w:val="%1."/>
      <w:lvlJc w:val="left"/>
      <w:pPr>
        <w:tabs>
          <w:tab w:val="num" w:pos="397"/>
        </w:tabs>
        <w:ind w:left="397" w:hanging="397"/>
      </w:pPr>
      <w:rPr>
        <w:rFonts w:ascii="Arial" w:hAnsi="Arial" w:hint="default"/>
        <w:sz w:val="20"/>
        <w:szCs w:val="20"/>
      </w:rPr>
    </w:lvl>
    <w:lvl w:ilvl="1">
      <w:start w:val="1"/>
      <w:numFmt w:val="none"/>
      <w:pStyle w:val="TabNr1oStandardnummer"/>
      <w:lvlText w:val=""/>
      <w:lvlJc w:val="left"/>
      <w:pPr>
        <w:tabs>
          <w:tab w:val="num" w:pos="397"/>
        </w:tabs>
        <w:ind w:left="397" w:firstLine="0"/>
      </w:pPr>
      <w:rPr>
        <w:rFonts w:hint="default"/>
      </w:rPr>
    </w:lvl>
    <w:lvl w:ilvl="2">
      <w:start w:val="1"/>
      <w:numFmt w:val="bullet"/>
      <w:pStyle w:val="TabNr2Standardnummer"/>
      <w:lvlText w:val=""/>
      <w:lvlJc w:val="left"/>
      <w:pPr>
        <w:tabs>
          <w:tab w:val="num" w:pos="567"/>
        </w:tabs>
        <w:ind w:left="567" w:hanging="170"/>
      </w:pPr>
      <w:rPr>
        <w:rFonts w:ascii="Symbol" w:hAnsi="Symbol" w:hint="default"/>
        <w:sz w:val="20"/>
      </w:rPr>
    </w:lvl>
    <w:lvl w:ilvl="3">
      <w:start w:val="1"/>
      <w:numFmt w:val="none"/>
      <w:pStyle w:val="TabNr2oStandardnummer"/>
      <w:lvlText w:val=""/>
      <w:lvlJc w:val="left"/>
      <w:pPr>
        <w:tabs>
          <w:tab w:val="num" w:pos="567"/>
        </w:tabs>
        <w:ind w:left="567" w:firstLine="0"/>
      </w:pPr>
      <w:rPr>
        <w:rFonts w:hint="default"/>
      </w:rPr>
    </w:lvl>
    <w:lvl w:ilvl="4">
      <w:start w:val="1"/>
      <w:numFmt w:val="bullet"/>
      <w:pStyle w:val="TabNr3Standardnummer"/>
      <w:lvlText w:val=""/>
      <w:lvlJc w:val="left"/>
      <w:pPr>
        <w:tabs>
          <w:tab w:val="num" w:pos="737"/>
        </w:tabs>
        <w:ind w:left="737" w:hanging="170"/>
      </w:pPr>
      <w:rPr>
        <w:rFonts w:ascii="Symbol" w:hAnsi="Symbol" w:hint="default"/>
        <w:sz w:val="20"/>
      </w:rPr>
    </w:lvl>
    <w:lvl w:ilvl="5">
      <w:start w:val="1"/>
      <w:numFmt w:val="none"/>
      <w:pStyle w:val="TabNr3oStandardnummer"/>
      <w:lvlText w:val=""/>
      <w:lvlJc w:val="left"/>
      <w:pPr>
        <w:tabs>
          <w:tab w:val="num" w:pos="737"/>
        </w:tabs>
        <w:ind w:left="737" w:firstLine="0"/>
      </w:pPr>
      <w:rPr>
        <w:rFonts w:hint="default"/>
      </w:rPr>
    </w:lvl>
    <w:lvl w:ilvl="6">
      <w:start w:val="1"/>
      <w:numFmt w:val="bullet"/>
      <w:pStyle w:val="TabNr4Standardnummer"/>
      <w:lvlText w:val="-"/>
      <w:lvlJc w:val="left"/>
      <w:pPr>
        <w:tabs>
          <w:tab w:val="num" w:pos="907"/>
        </w:tabs>
        <w:ind w:left="907" w:hanging="170"/>
      </w:pPr>
      <w:rPr>
        <w:rFonts w:ascii="Arial" w:hAnsi="Arial" w:hint="default"/>
        <w:sz w:val="20"/>
        <w:szCs w:val="20"/>
      </w:rPr>
    </w:lvl>
    <w:lvl w:ilvl="7">
      <w:start w:val="1"/>
      <w:numFmt w:val="none"/>
      <w:pStyle w:val="TabNr4oStandardnummer"/>
      <w:lvlText w:val=""/>
      <w:lvlJc w:val="left"/>
      <w:pPr>
        <w:tabs>
          <w:tab w:val="num" w:pos="907"/>
        </w:tabs>
        <w:ind w:left="907" w:firstLine="0"/>
      </w:pPr>
      <w:rPr>
        <w:rFonts w:hint="default"/>
      </w:rPr>
    </w:lvl>
    <w:lvl w:ilvl="8">
      <w:start w:val="1"/>
      <w:numFmt w:val="none"/>
      <w:lvlText w:val=""/>
      <w:lvlJc w:val="left"/>
      <w:pPr>
        <w:tabs>
          <w:tab w:val="num" w:pos="907"/>
        </w:tabs>
        <w:ind w:left="907" w:firstLine="0"/>
      </w:pPr>
      <w:rPr>
        <w:rFonts w:hint="default"/>
      </w:rPr>
    </w:lvl>
  </w:abstractNum>
  <w:abstractNum w:abstractNumId="73">
    <w:nsid w:val="7BD038B2"/>
    <w:multiLevelType w:val="hybridMultilevel"/>
    <w:tmpl w:val="F8E27D1A"/>
    <w:lvl w:ilvl="0" w:tplc="CE960EAA">
      <w:start w:val="1"/>
      <w:numFmt w:val="bullet"/>
      <w:pStyle w:val="Bulletpoint1"/>
      <w:lvlText w:val=""/>
      <w:lvlJc w:val="left"/>
      <w:pPr>
        <w:ind w:left="717" w:hanging="360"/>
      </w:pPr>
      <w:rPr>
        <w:rFonts w:ascii="Symbol" w:hAnsi="Symbol" w:hint="default"/>
        <w:color w:val="0023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DFA3711"/>
    <w:multiLevelType w:val="hybridMultilevel"/>
    <w:tmpl w:val="E8549498"/>
    <w:lvl w:ilvl="0" w:tplc="A664DF3E">
      <w:start w:val="1"/>
      <w:numFmt w:val="decimal"/>
      <w:pStyle w:val="EQStyle"/>
      <w:lvlText w:val="EQ%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7E456712"/>
    <w:multiLevelType w:val="hybridMultilevel"/>
    <w:tmpl w:val="8D5C6DCC"/>
    <w:lvl w:ilvl="0" w:tplc="A5D442F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nsid w:val="7F7F755B"/>
    <w:multiLevelType w:val="multilevel"/>
    <w:tmpl w:val="EB14003A"/>
    <w:lvl w:ilvl="0">
      <w:start w:val="1"/>
      <w:numFmt w:val="bullet"/>
      <w:pStyle w:val="Bullet1"/>
      <w:lvlText w:val=""/>
      <w:lvlJc w:val="left"/>
      <w:pPr>
        <w:ind w:left="717" w:hanging="360"/>
      </w:pPr>
      <w:rPr>
        <w:rFonts w:ascii="Wingdings" w:hAnsi="Wingdings" w:hint="default"/>
        <w:color w:val="16622E"/>
      </w:rPr>
    </w:lvl>
    <w:lvl w:ilvl="1">
      <w:start w:val="1"/>
      <w:numFmt w:val="bullet"/>
      <w:lvlText w:val="o"/>
      <w:lvlJc w:val="left"/>
      <w:pPr>
        <w:ind w:left="1440" w:hanging="360"/>
      </w:pPr>
      <w:rPr>
        <w:rFonts w:ascii="Courier New" w:hAnsi="Courier New" w:cs="Times New Roman" w:hint="default"/>
      </w:rPr>
    </w:lvl>
    <w:lvl w:ilvl="2">
      <w:start w:val="1"/>
      <w:numFmt w:val="bullet"/>
      <w:pStyle w:val="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9"/>
  </w:num>
  <w:num w:numId="2">
    <w:abstractNumId w:val="46"/>
  </w:num>
  <w:num w:numId="3">
    <w:abstractNumId w:val="53"/>
  </w:num>
  <w:num w:numId="4">
    <w:abstractNumId w:val="49"/>
  </w:num>
  <w:num w:numId="5">
    <w:abstractNumId w:val="75"/>
  </w:num>
  <w:num w:numId="6">
    <w:abstractNumId w:val="42"/>
  </w:num>
  <w:num w:numId="7">
    <w:abstractNumId w:val="23"/>
  </w:num>
  <w:num w:numId="8">
    <w:abstractNumId w:val="6"/>
  </w:num>
  <w:num w:numId="9">
    <w:abstractNumId w:val="67"/>
  </w:num>
  <w:num w:numId="10">
    <w:abstractNumId w:val="19"/>
  </w:num>
  <w:num w:numId="11">
    <w:abstractNumId w:val="18"/>
  </w:num>
  <w:num w:numId="12">
    <w:abstractNumId w:val="16"/>
  </w:num>
  <w:num w:numId="13">
    <w:abstractNumId w:val="48"/>
  </w:num>
  <w:num w:numId="14">
    <w:abstractNumId w:val="52"/>
  </w:num>
  <w:num w:numId="15">
    <w:abstractNumId w:val="62"/>
    <w:lvlOverride w:ilvl="0">
      <w:startOverride w:val="1"/>
    </w:lvlOverride>
    <w:lvlOverride w:ilvl="1"/>
    <w:lvlOverride w:ilvl="2"/>
    <w:lvlOverride w:ilvl="3"/>
    <w:lvlOverride w:ilvl="4"/>
    <w:lvlOverride w:ilvl="5"/>
    <w:lvlOverride w:ilvl="6"/>
    <w:lvlOverride w:ilvl="7"/>
    <w:lvlOverride w:ilvl="8"/>
  </w:num>
  <w:num w:numId="16">
    <w:abstractNumId w:val="66"/>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num>
  <w:num w:numId="19">
    <w:abstractNumId w:val="27"/>
  </w:num>
  <w:num w:numId="20">
    <w:abstractNumId w:val="65"/>
  </w:num>
  <w:num w:numId="21">
    <w:abstractNumId w:val="58"/>
  </w:num>
  <w:num w:numId="22">
    <w:abstractNumId w:val="9"/>
  </w:num>
  <w:num w:numId="23">
    <w:abstractNumId w:val="20"/>
  </w:num>
  <w:num w:numId="24">
    <w:abstractNumId w:val="17"/>
  </w:num>
  <w:num w:numId="25">
    <w:abstractNumId w:val="31"/>
  </w:num>
  <w:num w:numId="26">
    <w:abstractNumId w:val="30"/>
  </w:num>
  <w:num w:numId="27">
    <w:abstractNumId w:val="70"/>
  </w:num>
  <w:num w:numId="28">
    <w:abstractNumId w:val="44"/>
  </w:num>
  <w:num w:numId="29">
    <w:abstractNumId w:val="50"/>
  </w:num>
  <w:num w:numId="30">
    <w:abstractNumId w:val="36"/>
  </w:num>
  <w:num w:numId="31">
    <w:abstractNumId w:val="33"/>
  </w:num>
  <w:num w:numId="32">
    <w:abstractNumId w:val="7"/>
    <w:lvlOverride w:ilvl="0">
      <w:startOverride w:val="1"/>
    </w:lvlOverride>
  </w:num>
  <w:num w:numId="33">
    <w:abstractNumId w:val="8"/>
  </w:num>
  <w:num w:numId="34">
    <w:abstractNumId w:val="71"/>
  </w:num>
  <w:num w:numId="35">
    <w:abstractNumId w:val="51"/>
  </w:num>
  <w:num w:numId="36">
    <w:abstractNumId w:val="40"/>
  </w:num>
  <w:num w:numId="37">
    <w:abstractNumId w:val="37"/>
  </w:num>
  <w:num w:numId="38">
    <w:abstractNumId w:val="10"/>
  </w:num>
  <w:num w:numId="39">
    <w:abstractNumId w:val="47"/>
  </w:num>
  <w:num w:numId="40">
    <w:abstractNumId w:val="73"/>
  </w:num>
  <w:num w:numId="41">
    <w:abstractNumId w:val="2"/>
  </w:num>
  <w:num w:numId="42">
    <w:abstractNumId w:val="43"/>
  </w:num>
  <w:num w:numId="43">
    <w:abstractNumId w:val="34"/>
  </w:num>
  <w:num w:numId="44">
    <w:abstractNumId w:val="72"/>
  </w:num>
  <w:num w:numId="45">
    <w:abstractNumId w:val="59"/>
  </w:num>
  <w:num w:numId="46">
    <w:abstractNumId w:val="61"/>
  </w:num>
  <w:num w:numId="47">
    <w:abstractNumId w:val="0"/>
  </w:num>
  <w:num w:numId="48">
    <w:abstractNumId w:val="11"/>
  </w:num>
  <w:num w:numId="49">
    <w:abstractNumId w:val="38"/>
  </w:num>
  <w:num w:numId="50">
    <w:abstractNumId w:val="24"/>
  </w:num>
  <w:num w:numId="51">
    <w:abstractNumId w:val="29"/>
  </w:num>
  <w:num w:numId="52">
    <w:abstractNumId w:val="76"/>
  </w:num>
  <w:num w:numId="53">
    <w:abstractNumId w:val="25"/>
  </w:num>
  <w:num w:numId="54">
    <w:abstractNumId w:val="74"/>
  </w:num>
  <w:num w:numId="55">
    <w:abstractNumId w:val="54"/>
  </w:num>
  <w:num w:numId="56">
    <w:abstractNumId w:val="3"/>
  </w:num>
  <w:num w:numId="57">
    <w:abstractNumId w:val="1"/>
  </w:num>
  <w:num w:numId="58">
    <w:abstractNumId w:val="57"/>
  </w:num>
  <w:num w:numId="59">
    <w:abstractNumId w:val="41"/>
  </w:num>
  <w:num w:numId="60">
    <w:abstractNumId w:val="12"/>
  </w:num>
  <w:num w:numId="61">
    <w:abstractNumId w:val="4"/>
  </w:num>
  <w:num w:numId="62">
    <w:abstractNumId w:val="69"/>
  </w:num>
  <w:num w:numId="63">
    <w:abstractNumId w:val="15"/>
  </w:num>
  <w:num w:numId="64">
    <w:abstractNumId w:val="63"/>
  </w:num>
  <w:num w:numId="65">
    <w:abstractNumId w:val="35"/>
  </w:num>
  <w:num w:numId="6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num>
  <w:num w:numId="68">
    <w:abstractNumId w:val="14"/>
  </w:num>
  <w:num w:numId="69">
    <w:abstractNumId w:val="21"/>
  </w:num>
  <w:num w:numId="70">
    <w:abstractNumId w:val="5"/>
  </w:num>
  <w:num w:numId="71">
    <w:abstractNumId w:val="32"/>
  </w:num>
  <w:num w:numId="72">
    <w:abstractNumId w:val="68"/>
  </w:num>
  <w:num w:numId="73">
    <w:abstractNumId w:val="26"/>
  </w:num>
  <w:num w:numId="74">
    <w:abstractNumId w:val="55"/>
  </w:num>
  <w:num w:numId="75">
    <w:abstractNumId w:val="28"/>
  </w:num>
  <w:num w:numId="76">
    <w:abstractNumId w:val="64"/>
  </w:num>
  <w:num w:numId="77">
    <w:abstractNumId w:val="1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284"/>
  <w:hyphenationZone w:val="425"/>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F88A730-184B-4FE2-B83C-CEB6A8492BAA"/>
    <w:docVar w:name="LW_COVERPAGE_TYPE" w:val="1"/>
    <w:docVar w:name="LW_CROSSREFERENCE" w:val="{COM(2019) 615 final}"/>
    <w:docVar w:name="LW_DocType" w:val="NORMAL"/>
    <w:docVar w:name="LW_EMISSION" w:val="23.9.2019"/>
    <w:docVar w:name="LW_EMISSION_ISODATE" w:val="2019-09-2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Results of the interim evaluation of the ISA² programme"/>
    <w:docVar w:name="LW_PART_NBR" w:val="1"/>
    <w:docVar w:name="LW_PART_NBR_TOTAL" w:val="1"/>
    <w:docVar w:name="LW_REF.INST.NEW" w:val="SWD"/>
    <w:docVar w:name="LW_REF.INST.NEW_ADOPTED" w:val="final"/>
    <w:docVar w:name="LW_REF.INST.NEW_TEXT" w:val="(2019) 161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Interim evaluation of the ISA² programme"/>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qFormat="1"/>
    <w:lsdException w:name="toc 7" w:uiPriority="39"/>
    <w:lsdException w:name="toc 8" w:uiPriority="39"/>
    <w:lsdException w:name="toc 9" w:uiPriority="39"/>
    <w:lsdException w:name="footnote text" w:qFormat="1"/>
    <w:lsdException w:name="index heading" w:uiPriority="0"/>
    <w:lsdException w:name="caption" w:qFormat="1"/>
    <w:lsdException w:name="footnote reference" w:uiPriority="0" w:qFormat="1"/>
    <w:lsdException w:name="line number" w:uiPriority="0"/>
    <w:lsdException w:name="table of authorities" w:uiPriority="0"/>
    <w:lsdException w:name="macro" w:uiPriority="0"/>
    <w:lsdException w:name="toa heading" w:uiPriority="0"/>
    <w:lsdException w:name="List Bullet" w:qFormat="1"/>
    <w:lsdException w:name="Title" w:semiHidden="0" w:unhideWhenUsed="0" w:qFormat="1"/>
    <w:lsdException w:name="Signature" w:uiPriority="0"/>
    <w:lsdException w:name="Default Paragraph Font" w:uiPriority="1"/>
    <w:lsdException w:name="Subtitle" w:semiHidden="0" w:uiPriority="48" w:unhideWhenUsed="0" w:qFormat="1"/>
    <w:lsdException w:name="Body Text 2" w:qFormat="1"/>
    <w:lsdException w:name="Strong" w:semiHidden="0" w:uiPriority="22" w:unhideWhenUsed="0" w:qFormat="1"/>
    <w:lsdException w:name="Emphasis" w:semiHidden="0" w:unhideWhenUsed="0" w:qFormat="1"/>
    <w:lsdException w:name="Plain Text" w:uiPriority="0"/>
    <w:lsdException w:name="Table Classic 2" w:uiPriority="0"/>
    <w:lsdException w:name="Table Classic 3" w:uiPriority="0"/>
    <w:lsdException w:name="Table List 1" w:uiPriority="0"/>
    <w:lsdException w:name="Table Contemporary"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17" w:unhideWhenUsed="0" w:qFormat="1"/>
    <w:lsdException w:name="Subtle Reference" w:semiHidden="0" w:uiPriority="31"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aliases w:val="Title Number 1,H1,Titre1"/>
    <w:basedOn w:val="Normal"/>
    <w:next w:val="Text1"/>
    <w:link w:val="Heading1Char"/>
    <w:uiPriority w:val="99"/>
    <w:qFormat/>
    <w:pPr>
      <w:keepNext/>
      <w:numPr>
        <w:numId w:val="20"/>
      </w:numPr>
      <w:spacing w:before="240" w:after="240" w:line="240" w:lineRule="auto"/>
      <w:jc w:val="both"/>
      <w:outlineLvl w:val="0"/>
    </w:pPr>
    <w:rPr>
      <w:rFonts w:eastAsia="Times New Roman" w:cs="Times New Roman"/>
      <w:b/>
      <w:smallCaps/>
      <w:szCs w:val="20"/>
      <w:lang w:val="en-GB"/>
    </w:rPr>
  </w:style>
  <w:style w:type="paragraph" w:styleId="Heading2">
    <w:name w:val="heading 2"/>
    <w:aliases w:val="Title Number 2,H2,Titre2,T2"/>
    <w:basedOn w:val="Heading1"/>
    <w:next w:val="Normal"/>
    <w:link w:val="Heading2Char"/>
    <w:uiPriority w:val="99"/>
    <w:qFormat/>
    <w:pPr>
      <w:numPr>
        <w:ilvl w:val="1"/>
      </w:numPr>
      <w:spacing w:before="0" w:after="200"/>
      <w:outlineLvl w:val="1"/>
    </w:pPr>
    <w:rPr>
      <w:smallCaps w:val="0"/>
    </w:rPr>
  </w:style>
  <w:style w:type="paragraph" w:styleId="Heading3">
    <w:name w:val="heading 3"/>
    <w:aliases w:val="Title Number 3"/>
    <w:basedOn w:val="Normal"/>
    <w:next w:val="Normal"/>
    <w:link w:val="Heading3Char"/>
    <w:uiPriority w:val="99"/>
    <w:unhideWhenUsed/>
    <w:qFormat/>
    <w:pPr>
      <w:keepNext/>
      <w:keepLines/>
      <w:spacing w:line="240" w:lineRule="auto"/>
      <w:ind w:left="454" w:hanging="341"/>
      <w:outlineLvl w:val="2"/>
    </w:pPr>
    <w:rPr>
      <w:rFonts w:eastAsiaTheme="majorEastAsia" w:cs="Times New Roman"/>
      <w:i/>
      <w:szCs w:val="24"/>
      <w:u w:val="single"/>
    </w:rPr>
  </w:style>
  <w:style w:type="paragraph" w:styleId="Heading4">
    <w:name w:val="heading 4"/>
    <w:aliases w:val="Title Number 4,Titre alinéa"/>
    <w:basedOn w:val="Normal"/>
    <w:next w:val="Normal"/>
    <w:link w:val="Heading4Char"/>
    <w:uiPriority w:val="99"/>
    <w:unhideWhenUsed/>
    <w:qFormat/>
    <w:pPr>
      <w:keepNext/>
      <w:ind w:left="113"/>
      <w:jc w:val="both"/>
      <w:outlineLvl w:val="3"/>
    </w:pPr>
    <w:rPr>
      <w:rFonts w:cs="Times New Roman"/>
      <w:b/>
      <w:iCs/>
      <w:u w:val="single"/>
      <w:lang w:val="en-GB"/>
    </w:rPr>
  </w:style>
  <w:style w:type="paragraph" w:styleId="Heading5">
    <w:name w:val="heading 5"/>
    <w:aliases w:val="Title No Number 1"/>
    <w:basedOn w:val="Heading4"/>
    <w:next w:val="Normal"/>
    <w:link w:val="Heading5Char"/>
    <w:uiPriority w:val="99"/>
    <w:unhideWhenUsed/>
    <w:qFormat/>
    <w:pPr>
      <w:keepLines/>
      <w:numPr>
        <w:ilvl w:val="3"/>
      </w:numPr>
      <w:spacing w:before="240" w:after="240"/>
      <w:ind w:left="1134" w:hanging="1134"/>
      <w:jc w:val="left"/>
      <w:outlineLvl w:val="4"/>
    </w:pPr>
    <w:rPr>
      <w:rFonts w:ascii="Verdana" w:eastAsiaTheme="majorEastAsia" w:hAnsi="Verdana" w:cstheme="majorBidi"/>
      <w:b w:val="0"/>
      <w:i/>
      <w:snapToGrid w:val="0"/>
      <w:color w:val="000000" w:themeColor="text1"/>
      <w:sz w:val="20"/>
      <w:szCs w:val="20"/>
      <w:u w:val="none"/>
      <w:lang w:val="de-DE" w:eastAsia="de-DE"/>
    </w:rPr>
  </w:style>
  <w:style w:type="paragraph" w:styleId="Heading6">
    <w:name w:val="heading 6"/>
    <w:aliases w:val="Title No Number 2"/>
    <w:basedOn w:val="Heading5"/>
    <w:next w:val="Normal"/>
    <w:link w:val="Heading6Char"/>
    <w:uiPriority w:val="99"/>
    <w:unhideWhenUsed/>
    <w:qFormat/>
    <w:pPr>
      <w:numPr>
        <w:ilvl w:val="0"/>
      </w:numPr>
      <w:ind w:left="1134" w:hanging="1134"/>
      <w:outlineLvl w:val="5"/>
    </w:pPr>
  </w:style>
  <w:style w:type="paragraph" w:styleId="Heading7">
    <w:name w:val="heading 7"/>
    <w:aliases w:val="Title No Number 3"/>
    <w:basedOn w:val="Normal"/>
    <w:next w:val="Normal"/>
    <w:link w:val="Heading7Char"/>
    <w:uiPriority w:val="99"/>
    <w:unhideWhenUsed/>
    <w:qFormat/>
    <w:pPr>
      <w:keepNext/>
      <w:keepLines/>
      <w:spacing w:before="40" w:after="0" w:line="259" w:lineRule="auto"/>
      <w:ind w:left="-684" w:hanging="1296"/>
      <w:jc w:val="both"/>
      <w:outlineLvl w:val="6"/>
    </w:pPr>
    <w:rPr>
      <w:rFonts w:asciiTheme="majorHAnsi" w:eastAsiaTheme="majorEastAsia" w:hAnsiTheme="majorHAnsi" w:cstheme="majorBidi"/>
      <w:i/>
      <w:iCs/>
      <w:snapToGrid w:val="0"/>
      <w:color w:val="243F60" w:themeColor="accent1" w:themeShade="7F"/>
      <w:sz w:val="20"/>
      <w:szCs w:val="20"/>
      <w:lang w:val="de-DE" w:eastAsia="de-DE"/>
    </w:rPr>
  </w:style>
  <w:style w:type="paragraph" w:styleId="Heading8">
    <w:name w:val="heading 8"/>
    <w:aliases w:val="WS H4 No Numbers Set"/>
    <w:basedOn w:val="Normal"/>
    <w:next w:val="Normal"/>
    <w:link w:val="Heading8Char"/>
    <w:uiPriority w:val="99"/>
    <w:unhideWhenUsed/>
    <w:qFormat/>
    <w:pPr>
      <w:keepNext/>
      <w:keepLines/>
      <w:spacing w:before="40" w:after="0" w:line="259" w:lineRule="auto"/>
      <w:ind w:left="-540" w:hanging="1440"/>
      <w:jc w:val="both"/>
      <w:outlineLvl w:val="7"/>
    </w:pPr>
    <w:rPr>
      <w:rFonts w:asciiTheme="majorHAnsi" w:eastAsiaTheme="majorEastAsia" w:hAnsiTheme="majorHAnsi" w:cs="Times New Roman"/>
      <w:color w:val="272727" w:themeColor="text1" w:themeTint="D8"/>
      <w:sz w:val="21"/>
      <w:szCs w:val="21"/>
      <w:lang w:val="en-US"/>
    </w:rPr>
  </w:style>
  <w:style w:type="paragraph" w:styleId="Heading9">
    <w:name w:val="heading 9"/>
    <w:basedOn w:val="Normal"/>
    <w:next w:val="Normal"/>
    <w:link w:val="Heading9Char"/>
    <w:uiPriority w:val="99"/>
    <w:unhideWhenUsed/>
    <w:qFormat/>
    <w:pPr>
      <w:keepNext/>
      <w:keepLines/>
      <w:spacing w:before="40" w:after="0" w:line="259" w:lineRule="auto"/>
      <w:jc w:val="both"/>
      <w:outlineLvl w:val="8"/>
    </w:pPr>
    <w:rPr>
      <w:rFonts w:asciiTheme="majorHAnsi" w:eastAsiaTheme="majorEastAsia" w:hAnsiTheme="majorHAnsi" w:cs="Times New Roman"/>
      <w:i/>
      <w:iCs/>
      <w:color w:val="272727" w:themeColor="text1" w:themeTint="D8"/>
      <w:sz w:val="21"/>
      <w:szCs w:val="21"/>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Title Number 1 Char,H1 Char,Titre1 Char"/>
    <w:basedOn w:val="DefaultParagraphFont"/>
    <w:link w:val="Heading1"/>
    <w:uiPriority w:val="99"/>
    <w:rPr>
      <w:rFonts w:ascii="Times New Roman" w:eastAsia="Times New Roman" w:hAnsi="Times New Roman" w:cs="Times New Roman"/>
      <w:b/>
      <w:smallCaps/>
      <w:sz w:val="24"/>
      <w:szCs w:val="20"/>
      <w:lang w:val="en-GB"/>
    </w:rPr>
  </w:style>
  <w:style w:type="character" w:customStyle="1" w:styleId="Heading2Char">
    <w:name w:val="Heading 2 Char"/>
    <w:aliases w:val="Title Number 2 Char,H2 Char,Titre2 Char,T2 Char"/>
    <w:basedOn w:val="DefaultParagraphFont"/>
    <w:link w:val="Heading2"/>
    <w:uiPriority w:val="99"/>
    <w:rPr>
      <w:rFonts w:ascii="Times New Roman" w:eastAsia="Times New Roman" w:hAnsi="Times New Roman" w:cs="Times New Roman"/>
      <w:b/>
      <w:sz w:val="24"/>
      <w:szCs w:val="20"/>
      <w:lang w:val="en-GB"/>
    </w:rPr>
  </w:style>
  <w:style w:type="paragraph" w:customStyle="1" w:styleId="Text1">
    <w:name w:val="Text 1"/>
    <w:basedOn w:val="Normal"/>
    <w:link w:val="Text1Char"/>
    <w:pPr>
      <w:spacing w:after="240" w:line="240" w:lineRule="auto"/>
      <w:ind w:left="482"/>
      <w:jc w:val="both"/>
    </w:pPr>
    <w:rPr>
      <w:rFonts w:eastAsia="Times New Roman" w:cs="Times New Roman"/>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60" w:line="240" w:lineRule="auto"/>
      <w:ind w:left="357" w:hanging="357"/>
      <w:jc w:val="both"/>
    </w:pPr>
    <w:rPr>
      <w:rFonts w:eastAsia="Times New Roman"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lang w:val="en-GB"/>
    </w:rPr>
  </w:style>
  <w:style w:type="paragraph" w:styleId="ListBullet">
    <w:name w:val="List Bullet"/>
    <w:aliases w:val="List 1,Enum1,KS List Bullet Level 1,BULLET,*List Bullet,IPA Bullet"/>
    <w:basedOn w:val="Normal"/>
    <w:uiPriority w:val="99"/>
    <w:qFormat/>
    <w:pPr>
      <w:numPr>
        <w:numId w:val="1"/>
      </w:numPr>
      <w:spacing w:after="240" w:line="240" w:lineRule="auto"/>
      <w:jc w:val="both"/>
    </w:pPr>
    <w:rPr>
      <w:rFonts w:eastAsia="Times New Roman" w:cs="Times New Roman"/>
      <w:szCs w:val="20"/>
      <w:lang w:val="en-GB"/>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eastAsia="Times New Roman" w:cs="Times New Roman"/>
      <w:b/>
      <w:sz w:val="40"/>
      <w:szCs w:val="20"/>
      <w:lang w:val="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eastAsia="Times New Roman" w:cs="Times New Roman"/>
      <w:caps/>
      <w:sz w:val="22"/>
      <w:szCs w:val="20"/>
      <w:lang w:val="en-GB"/>
    </w:rPr>
  </w:style>
  <w:style w:type="paragraph" w:customStyle="1" w:styleId="ListDash1">
    <w:name w:val="List Dash 1"/>
    <w:basedOn w:val="Text1"/>
    <w:link w:val="ListDash1Char"/>
    <w:pPr>
      <w:ind w:left="0"/>
    </w:p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lang w:val="en-GB"/>
    </w:rPr>
  </w:style>
  <w:style w:type="table" w:styleId="TableGrid">
    <w:name w:val="Table Grid"/>
    <w:aliases w:val="Document Table,CV1,Table Grid IDEA,TabelEcorys,Tabellengitternetz,Deloitte"/>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lang w:val="en-GB"/>
    </w:rPr>
  </w:style>
  <w:style w:type="character" w:styleId="Hyperlink">
    <w:name w:val="Hyperlink"/>
    <w:basedOn w:val="DefaultParagraphFont"/>
    <w:uiPriority w:val="99"/>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
    <w:basedOn w:val="Normal"/>
    <w:link w:val="ListParagraphChar"/>
    <w:uiPriority w:val="34"/>
    <w:qFormat/>
    <w:pPr>
      <w:spacing w:after="240" w:line="240" w:lineRule="auto"/>
      <w:ind w:left="720"/>
      <w:contextualSpacing/>
      <w:jc w:val="both"/>
    </w:pPr>
    <w:rPr>
      <w:rFonts w:eastAsia="Times New Roman" w:cs="Times New Roman"/>
      <w:szCs w:val="20"/>
      <w:lang w:val="en-GB"/>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WS Bold,KS Bold"/>
    <w:basedOn w:val="DefaultParagraphFont"/>
    <w:uiPriority w:val="22"/>
    <w:qFormat/>
    <w:rPr>
      <w:b/>
      <w:bCs/>
    </w:r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Footnote reference numbe,callout"/>
    <w:basedOn w:val="DefaultParagraphFont"/>
    <w:unhideWhenUsed/>
    <w:qFormat/>
    <w:rPr>
      <w:rFonts w:ascii="Times New Roman" w:hAnsi="Times New Roman" w:cs="Times New Roman"/>
      <w:vertAlign w:val="superscript"/>
    </w:rPr>
  </w:style>
  <w:style w:type="character" w:styleId="CommentReference">
    <w:name w:val="annotation reference"/>
    <w:basedOn w:val="DefaultParagraphFont"/>
    <w:uiPriority w:val="99"/>
    <w:unhideWhenUsed/>
    <w:rPr>
      <w:rFonts w:ascii="Times New Roman" w:hAnsi="Times New Roman" w:cs="Times New Roman" w:hint="default"/>
      <w:sz w:val="16"/>
      <w:szCs w:val="16"/>
    </w:rPr>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styleId="FollowedHyperlink">
    <w:name w:val="FollowedHyperlink"/>
    <w:basedOn w:val="DefaultParagraphFont"/>
    <w:uiPriority w:val="99"/>
    <w:unhideWhenUsed/>
    <w:rPr>
      <w:color w:val="800080" w:themeColor="followedHyperlink"/>
      <w:u w:val="single"/>
    </w:r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TableNormal"/>
    <w:uiPriority w:val="5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5">
    <w:name w:val="Grid Table 2 Accent 5"/>
    <w:basedOn w:val="TableNormal"/>
    <w:uiPriority w:val="4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1">
    <w:name w:val="List Table 6 Colorful Accent 1"/>
    <w:basedOn w:val="TableNormal"/>
    <w:uiPriority w:val="51"/>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4">
    <w:name w:val="Grid Table 5 Dark - Accent 14"/>
    <w:basedOn w:val="TableNormal"/>
    <w:uiPriority w:val="50"/>
    <w:pPr>
      <w:spacing w:after="0" w:line="240" w:lineRule="auto"/>
    </w:pPr>
    <w:rPr>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EB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17C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17C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17C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17C6F"/>
      </w:tcPr>
    </w:tblStylePr>
    <w:tblStylePr w:type="band1Vert">
      <w:tblPr/>
      <w:tcPr>
        <w:shd w:val="clear" w:color="auto" w:fill="9ED8CE"/>
      </w:tcPr>
    </w:tblStylePr>
    <w:tblStylePr w:type="band1Horz">
      <w:tblPr/>
      <w:tcPr>
        <w:shd w:val="clear" w:color="auto" w:fill="9ED8CE"/>
      </w:tcPr>
    </w:tblStylePr>
  </w:style>
  <w:style w:type="table" w:customStyle="1" w:styleId="GridTable2Accent1">
    <w:name w:val="Grid Table 2 Accent 1"/>
    <w:basedOn w:val="TableNormal"/>
    <w:uiPriority w:val="4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1LightAccent1">
    <w:name w:val="List Table 1 Light Accent 1"/>
    <w:basedOn w:val="TableNormal"/>
    <w:uiPriority w:val="4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imes New Roman" w:eastAsia="Times New Roman" w:hAnsi="Times New Roman" w:cs="Times New Roman"/>
      <w:sz w:val="24"/>
      <w:szCs w:val="20"/>
      <w:lang w:val="en-GB"/>
    </w:rPr>
  </w:style>
  <w:style w:type="character" w:customStyle="1" w:styleId="Heading3Char">
    <w:name w:val="Heading 3 Char"/>
    <w:aliases w:val="Title Number 3 Char"/>
    <w:basedOn w:val="DefaultParagraphFont"/>
    <w:link w:val="Heading3"/>
    <w:uiPriority w:val="99"/>
    <w:rPr>
      <w:rFonts w:ascii="Times New Roman" w:eastAsiaTheme="majorEastAsia" w:hAnsi="Times New Roman" w:cs="Times New Roman"/>
      <w:i/>
      <w:sz w:val="24"/>
      <w:szCs w:val="24"/>
      <w:u w:val="single"/>
    </w:rPr>
  </w:style>
  <w:style w:type="character" w:customStyle="1" w:styleId="Heading4Char">
    <w:name w:val="Heading 4 Char"/>
    <w:aliases w:val="Title Number 4 Char,Titre alinéa Char"/>
    <w:basedOn w:val="DefaultParagraphFont"/>
    <w:link w:val="Heading4"/>
    <w:uiPriority w:val="99"/>
    <w:rPr>
      <w:rFonts w:ascii="Times New Roman" w:hAnsi="Times New Roman" w:cs="Times New Roman"/>
      <w:b/>
      <w:iCs/>
      <w:sz w:val="24"/>
      <w:u w:val="single"/>
      <w:lang w:val="en-GB"/>
    </w:rPr>
  </w:style>
  <w:style w:type="table" w:customStyle="1" w:styleId="GridTable7ColorfulAccent1">
    <w:name w:val="Grid Table 7 Colorful Accent 1"/>
    <w:basedOn w:val="TableNormal"/>
    <w:uiPriority w:val="5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7ColorfulAccent1">
    <w:name w:val="List Table 7 Colorful Accent 1"/>
    <w:basedOn w:val="TableNormal"/>
    <w:uiPriority w:val="52"/>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2">
    <w:name w:val="toc 2"/>
    <w:basedOn w:val="Normal"/>
    <w:next w:val="Normal"/>
    <w:autoRedefine/>
    <w:uiPriority w:val="39"/>
    <w:unhideWhenUsed/>
    <w:pPr>
      <w:tabs>
        <w:tab w:val="left" w:pos="880"/>
        <w:tab w:val="right" w:leader="dot" w:pos="8608"/>
      </w:tabs>
      <w:spacing w:after="100"/>
      <w:ind w:left="220"/>
    </w:pPr>
    <w:rPr>
      <w:noProof/>
      <w:sz w:val="22"/>
    </w:rPr>
  </w:style>
  <w:style w:type="paragraph" w:customStyle="1" w:styleId="caption2">
    <w:name w:val="caption2"/>
    <w:aliases w:val="Title table,Tabelkop,Caption-tables,Table legend,Tab_Überschrift,Figure reference,TR-Caption,Inscription,Beschriftung,Caption1"/>
    <w:basedOn w:val="Normal"/>
    <w:next w:val="Normal"/>
    <w:uiPriority w:val="99"/>
    <w:unhideWhenUsed/>
    <w:qFormat/>
    <w:pPr>
      <w:keepNext/>
      <w:keepLines/>
      <w:spacing w:after="120" w:line="240" w:lineRule="auto"/>
    </w:pPr>
    <w:rPr>
      <w:b/>
      <w:iCs/>
      <w:szCs w:val="18"/>
      <w:lang w:val="en-GB"/>
    </w:rPr>
  </w:style>
  <w:style w:type="paragraph" w:customStyle="1" w:styleId="Firstlevellist">
    <w:name w:val="First_level_list"/>
    <w:basedOn w:val="FirstlevellistLAST"/>
    <w:link w:val="FirstlevellistChar"/>
    <w:qFormat/>
    <w:pPr>
      <w:spacing w:after="120"/>
    </w:pPr>
  </w:style>
  <w:style w:type="paragraph" w:customStyle="1" w:styleId="FirstlevellistLAST">
    <w:name w:val="First level list LAST"/>
    <w:basedOn w:val="ListDash1"/>
    <w:link w:val="FirstlevellistLASTChar"/>
    <w:qFormat/>
    <w:pPr>
      <w:numPr>
        <w:numId w:val="6"/>
      </w:numPr>
      <w:spacing w:line="276" w:lineRule="auto"/>
    </w:pPr>
  </w:style>
  <w:style w:type="character" w:customStyle="1" w:styleId="Text1Char">
    <w:name w:val="Text 1 Char"/>
    <w:basedOn w:val="DefaultParagraphFont"/>
    <w:link w:val="Text1"/>
    <w:rPr>
      <w:rFonts w:ascii="Times New Roman" w:eastAsia="Times New Roman" w:hAnsi="Times New Roman" w:cs="Times New Roman"/>
      <w:sz w:val="24"/>
      <w:szCs w:val="20"/>
      <w:lang w:val="en-GB"/>
    </w:rPr>
  </w:style>
  <w:style w:type="character" w:customStyle="1" w:styleId="ListDash1Char">
    <w:name w:val="List Dash 1 Char"/>
    <w:basedOn w:val="Text1Char"/>
    <w:link w:val="ListDash1"/>
    <w:rPr>
      <w:rFonts w:ascii="Times New Roman" w:eastAsia="Times New Roman" w:hAnsi="Times New Roman" w:cs="Times New Roman"/>
      <w:sz w:val="24"/>
      <w:szCs w:val="20"/>
      <w:lang w:val="en-GB"/>
    </w:rPr>
  </w:style>
  <w:style w:type="character" w:customStyle="1" w:styleId="FirstlevellistChar">
    <w:name w:val="First_level_list Char"/>
    <w:basedOn w:val="ListDash1Char"/>
    <w:link w:val="Firstlevellist"/>
    <w:rPr>
      <w:rFonts w:ascii="Times New Roman" w:eastAsia="Times New Roman" w:hAnsi="Times New Roman" w:cs="Times New Roman"/>
      <w:sz w:val="24"/>
      <w:szCs w:val="20"/>
      <w:lang w:val="en-GB"/>
    </w:rPr>
  </w:style>
  <w:style w:type="paragraph" w:customStyle="1" w:styleId="TableNormal0">
    <w:name w:val="Table_Normal"/>
    <w:basedOn w:val="Normal"/>
    <w:qFormat/>
    <w:pPr>
      <w:spacing w:before="60" w:after="60" w:line="240" w:lineRule="auto"/>
      <w:jc w:val="both"/>
    </w:pPr>
    <w:rPr>
      <w:rFonts w:cs="Times New Roman"/>
      <w:sz w:val="22"/>
      <w:szCs w:val="24"/>
      <w:lang w:val="en-GB"/>
    </w:rPr>
  </w:style>
  <w:style w:type="character" w:customStyle="1" w:styleId="FirstlevellistLASTChar">
    <w:name w:val="First level list LAST Char"/>
    <w:basedOn w:val="ListDash1Char"/>
    <w:link w:val="FirstlevellistLAST"/>
    <w:rPr>
      <w:rFonts w:ascii="Times New Roman" w:eastAsia="Times New Roman" w:hAnsi="Times New Roman" w:cs="Times New Roman"/>
      <w:sz w:val="24"/>
      <w:szCs w:val="20"/>
      <w:lang w:val="en-GB"/>
    </w:rPr>
  </w:style>
  <w:style w:type="table" w:customStyle="1" w:styleId="ListTable4Accent1">
    <w:name w:val="List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otnote1">
    <w:name w:val="Footnote1"/>
    <w:basedOn w:val="Normal"/>
    <w:next w:val="FootnoteText"/>
    <w:autoRedefine/>
    <w:uiPriority w:val="99"/>
    <w:qFormat/>
    <w:pPr>
      <w:spacing w:after="0" w:line="264" w:lineRule="auto"/>
      <w:jc w:val="both"/>
    </w:pPr>
    <w:rPr>
      <w:rFonts w:ascii="Georgia" w:hAnsi="Georgia"/>
      <w:color w:val="000000"/>
      <w:sz w:val="16"/>
      <w:szCs w:val="20"/>
      <w:lang w:val="en-US"/>
    </w:rPr>
  </w:style>
  <w:style w:type="table" w:customStyle="1" w:styleId="GridTable5Dark-Accent211">
    <w:name w:val="Grid Table 5 Dark - Accent 211"/>
    <w:basedOn w:val="TableNormal"/>
    <w:uiPriority w:val="50"/>
    <w:pPr>
      <w:spacing w:after="0" w:line="240" w:lineRule="auto"/>
    </w:pPr>
    <w:rPr>
      <w:rFonts w:eastAsia="Times New Roman"/>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EB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17C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17C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17C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17C6F"/>
      </w:tcPr>
    </w:tblStylePr>
    <w:tblStylePr w:type="band1Vert">
      <w:tblPr/>
      <w:tcPr>
        <w:shd w:val="clear" w:color="auto" w:fill="9ED8CE"/>
      </w:tcPr>
    </w:tblStylePr>
    <w:tblStylePr w:type="band1Horz">
      <w:tblPr/>
      <w:tcPr>
        <w:shd w:val="clear" w:color="auto" w:fill="9ED8CE"/>
      </w:tcPr>
    </w:tblStylePr>
  </w:style>
  <w:style w:type="paragraph" w:styleId="TOC3">
    <w:name w:val="toc 3"/>
    <w:basedOn w:val="Normal"/>
    <w:next w:val="Normal"/>
    <w:autoRedefine/>
    <w:uiPriority w:val="39"/>
    <w:unhideWhenUsed/>
    <w:qFormat/>
    <w:pPr>
      <w:tabs>
        <w:tab w:val="left" w:pos="880"/>
        <w:tab w:val="right" w:leader="dot" w:pos="8608"/>
      </w:tabs>
      <w:spacing w:after="100"/>
      <w:ind w:left="482"/>
    </w:pPr>
    <w:rPr>
      <w:sz w:val="22"/>
    </w:rPr>
  </w:style>
  <w:style w:type="numbering" w:styleId="111111">
    <w:name w:val="Outline List 2"/>
    <w:basedOn w:val="NoList"/>
    <w:uiPriority w:val="99"/>
    <w:semiHidden/>
    <w:unhideWhenUsed/>
    <w:pPr>
      <w:numPr>
        <w:numId w:val="18"/>
      </w:numPr>
    </w:pPr>
  </w:style>
  <w:style w:type="paragraph" w:customStyle="1" w:styleId="Note">
    <w:name w:val="Note"/>
    <w:basedOn w:val="Normal"/>
    <w:link w:val="NoteChar"/>
    <w:qFormat/>
    <w:pPr>
      <w:spacing w:after="0" w:line="259" w:lineRule="auto"/>
      <w:jc w:val="center"/>
    </w:pPr>
    <w:rPr>
      <w:rFonts w:ascii="Verdana" w:eastAsia="Times New Roman" w:hAnsi="Verdana" w:cs="Times New Roman"/>
      <w:i/>
      <w:sz w:val="16"/>
      <w:szCs w:val="20"/>
      <w:lang w:val="en-GB"/>
    </w:rPr>
  </w:style>
  <w:style w:type="character" w:customStyle="1" w:styleId="NoteChar">
    <w:name w:val="Note Char"/>
    <w:basedOn w:val="DefaultParagraphFont"/>
    <w:link w:val="Note"/>
    <w:rPr>
      <w:rFonts w:ascii="Verdana" w:eastAsia="Times New Roman" w:hAnsi="Verdana" w:cs="Times New Roman"/>
      <w:i/>
      <w:sz w:val="16"/>
      <w:szCs w:val="20"/>
      <w:lang w:val="en-GB"/>
    </w:rPr>
  </w:style>
  <w:style w:type="table" w:customStyle="1" w:styleId="GridTable5Dark-Accent11">
    <w:name w:val="Grid Table 5 Dark - Accent 11"/>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b/>
      <w:bCs/>
      <w:sz w:val="20"/>
      <w:szCs w:val="20"/>
    </w:rPr>
  </w:style>
  <w:style w:type="character" w:customStyle="1" w:styleId="Heading5Char">
    <w:name w:val="Heading 5 Char"/>
    <w:aliases w:val="Title No Number 1 Char"/>
    <w:basedOn w:val="DefaultParagraphFont"/>
    <w:link w:val="Heading5"/>
    <w:uiPriority w:val="99"/>
    <w:rPr>
      <w:rFonts w:ascii="Verdana" w:eastAsiaTheme="majorEastAsia" w:hAnsi="Verdana" w:cstheme="majorBidi"/>
      <w:i/>
      <w:iCs/>
      <w:snapToGrid w:val="0"/>
      <w:color w:val="000000" w:themeColor="text1"/>
      <w:sz w:val="20"/>
      <w:szCs w:val="20"/>
      <w:lang w:val="de-DE" w:eastAsia="de-DE"/>
    </w:rPr>
  </w:style>
  <w:style w:type="character" w:customStyle="1" w:styleId="Heading6Char">
    <w:name w:val="Heading 6 Char"/>
    <w:aliases w:val="Title No Number 2 Char"/>
    <w:basedOn w:val="DefaultParagraphFont"/>
    <w:link w:val="Heading6"/>
    <w:uiPriority w:val="99"/>
    <w:rPr>
      <w:rFonts w:ascii="Verdana" w:eastAsiaTheme="majorEastAsia" w:hAnsi="Verdana" w:cstheme="majorBidi"/>
      <w:i/>
      <w:iCs/>
      <w:snapToGrid w:val="0"/>
      <w:color w:val="000000" w:themeColor="text1"/>
      <w:sz w:val="20"/>
      <w:szCs w:val="20"/>
      <w:lang w:val="de-DE" w:eastAsia="de-DE"/>
    </w:rPr>
  </w:style>
  <w:style w:type="character" w:customStyle="1" w:styleId="Heading7Char">
    <w:name w:val="Heading 7 Char"/>
    <w:aliases w:val="Title No Number 3 Char"/>
    <w:basedOn w:val="DefaultParagraphFont"/>
    <w:link w:val="Heading7"/>
    <w:uiPriority w:val="99"/>
    <w:rPr>
      <w:rFonts w:asciiTheme="majorHAnsi" w:eastAsiaTheme="majorEastAsia" w:hAnsiTheme="majorHAnsi" w:cstheme="majorBidi"/>
      <w:i/>
      <w:iCs/>
      <w:snapToGrid w:val="0"/>
      <w:color w:val="243F60" w:themeColor="accent1" w:themeShade="7F"/>
      <w:sz w:val="20"/>
      <w:szCs w:val="20"/>
      <w:lang w:val="de-DE" w:eastAsia="de-DE"/>
    </w:rPr>
  </w:style>
  <w:style w:type="character" w:customStyle="1" w:styleId="Heading8Char">
    <w:name w:val="Heading 8 Char"/>
    <w:aliases w:val="WS H4 No Numbers Set Char"/>
    <w:basedOn w:val="DefaultParagraphFont"/>
    <w:link w:val="Heading8"/>
    <w:uiPriority w:val="99"/>
    <w:rPr>
      <w:rFonts w:asciiTheme="majorHAnsi" w:eastAsiaTheme="majorEastAsia" w:hAnsiTheme="majorHAnsi" w:cs="Times New Roman"/>
      <w:color w:val="272727" w:themeColor="text1" w:themeTint="D8"/>
      <w:sz w:val="21"/>
      <w:szCs w:val="21"/>
      <w:lang w:val="en-US"/>
    </w:rPr>
  </w:style>
  <w:style w:type="character" w:customStyle="1" w:styleId="Heading9Char">
    <w:name w:val="Heading 9 Char"/>
    <w:basedOn w:val="DefaultParagraphFont"/>
    <w:link w:val="Heading9"/>
    <w:uiPriority w:val="99"/>
    <w:rPr>
      <w:rFonts w:asciiTheme="majorHAnsi" w:eastAsiaTheme="majorEastAsia" w:hAnsiTheme="majorHAnsi" w:cs="Times New Roman"/>
      <w:i/>
      <w:iCs/>
      <w:color w:val="272727" w:themeColor="text1" w:themeTint="D8"/>
      <w:sz w:val="21"/>
      <w:szCs w:val="21"/>
      <w:lang w:val="en-US"/>
    </w:rPr>
  </w:style>
  <w:style w:type="paragraph" w:customStyle="1" w:styleId="DefaultText">
    <w:name w:val="Default Text"/>
    <w:basedOn w:val="Normal"/>
    <w:link w:val="DefaultTextChar"/>
    <w:qFormat/>
    <w:pPr>
      <w:spacing w:after="0" w:line="280" w:lineRule="atLeast"/>
    </w:pPr>
    <w:rPr>
      <w:rFonts w:ascii="Arial" w:eastAsia="Times New Roman" w:hAnsi="Arial" w:cs="Times New Roman"/>
      <w:sz w:val="21"/>
      <w:szCs w:val="24"/>
      <w:lang w:val="en-US" w:eastAsia="nl-NL"/>
    </w:rPr>
  </w:style>
  <w:style w:type="character" w:customStyle="1" w:styleId="DefaultTextChar">
    <w:name w:val="Default Text Char"/>
    <w:basedOn w:val="DefaultParagraphFont"/>
    <w:link w:val="DefaultText"/>
    <w:locked/>
    <w:rPr>
      <w:rFonts w:ascii="Arial" w:eastAsia="Times New Roman" w:hAnsi="Arial" w:cs="Times New Roman"/>
      <w:sz w:val="21"/>
      <w:szCs w:val="24"/>
      <w:lang w:val="en-US" w:eastAsia="nl-NL"/>
    </w:rPr>
  </w:style>
  <w:style w:type="paragraph" w:styleId="Title">
    <w:name w:val="Title"/>
    <w:aliases w:val="WS Title"/>
    <w:basedOn w:val="Normal"/>
    <w:link w:val="TitleChar"/>
    <w:uiPriority w:val="99"/>
    <w:qFormat/>
    <w:pPr>
      <w:spacing w:after="0" w:line="259" w:lineRule="auto"/>
      <w:jc w:val="center"/>
    </w:pPr>
    <w:rPr>
      <w:rFonts w:ascii="Verdana" w:eastAsia="Times New Roman" w:hAnsi="Verdana"/>
      <w:b/>
      <w:sz w:val="44"/>
      <w:szCs w:val="24"/>
      <w:lang w:eastAsia="fr-BE"/>
    </w:rPr>
  </w:style>
  <w:style w:type="character" w:customStyle="1" w:styleId="TitleChar">
    <w:name w:val="Title Char"/>
    <w:aliases w:val="WS Title Char"/>
    <w:basedOn w:val="DefaultParagraphFont"/>
    <w:link w:val="Title"/>
    <w:uiPriority w:val="99"/>
    <w:rPr>
      <w:rFonts w:ascii="Verdana" w:eastAsia="Times New Roman" w:hAnsi="Verdana"/>
      <w:b/>
      <w:sz w:val="44"/>
      <w:szCs w:val="24"/>
      <w:lang w:eastAsia="fr-BE"/>
    </w:rPr>
  </w:style>
  <w:style w:type="paragraph" w:styleId="NoSpacing">
    <w:name w:val="No Spacing"/>
    <w:aliases w:val="WS No Spacing After"/>
    <w:link w:val="NoSpacingChar"/>
    <w:uiPriority w:val="1"/>
    <w:qFormat/>
    <w:pPr>
      <w:spacing w:after="0" w:line="240" w:lineRule="auto"/>
      <w:jc w:val="both"/>
    </w:pPr>
    <w:rPr>
      <w:rFonts w:ascii="Georgia" w:eastAsia="Times New Roman" w:hAnsi="Georgia" w:cs="Times New Roman"/>
      <w:lang w:val="en-US"/>
    </w:rPr>
  </w:style>
  <w:style w:type="character" w:styleId="SubtleEmphasis">
    <w:name w:val="Subtle Emphasis"/>
    <w:aliases w:val="WS Italic"/>
    <w:basedOn w:val="DefaultParagraphFont"/>
    <w:uiPriority w:val="19"/>
    <w:qFormat/>
    <w:rPr>
      <w:rFonts w:cs="Times New Roman"/>
      <w:i/>
      <w:iCs/>
      <w:color w:val="404040" w:themeColor="text1" w:themeTint="BF"/>
    </w:rPr>
  </w:style>
  <w:style w:type="character" w:styleId="SubtleReference">
    <w:name w:val="Subtle Reference"/>
    <w:basedOn w:val="DefaultParagraphFont"/>
    <w:uiPriority w:val="31"/>
    <w:qFormat/>
    <w:rPr>
      <w:rFonts w:cs="Times New Roman"/>
      <w:i/>
      <w:sz w:val="20"/>
    </w:rPr>
  </w:style>
  <w:style w:type="table" w:customStyle="1" w:styleId="GridTable5Dark-Accent21">
    <w:name w:val="Grid Table 5 Dark - Accent 21"/>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paragraph" w:styleId="TOC4">
    <w:name w:val="toc 4"/>
    <w:basedOn w:val="Normal"/>
    <w:next w:val="Normal"/>
    <w:uiPriority w:val="99"/>
    <w:pPr>
      <w:tabs>
        <w:tab w:val="right" w:leader="dot" w:pos="8641"/>
      </w:tabs>
      <w:spacing w:before="60" w:after="60" w:line="259" w:lineRule="auto"/>
      <w:ind w:left="2880" w:right="720" w:hanging="964"/>
      <w:jc w:val="both"/>
    </w:pPr>
    <w:rPr>
      <w:rFonts w:ascii="Verdana" w:eastAsia="Times New Roman" w:hAnsi="Verdana" w:cs="Times New Roman"/>
      <w:sz w:val="18"/>
      <w:szCs w:val="20"/>
      <w:lang w:val="fr-FR"/>
    </w:rPr>
  </w:style>
  <w:style w:type="table" w:customStyle="1" w:styleId="GridTable5Dark-Accent115">
    <w:name w:val="Grid Table 5 Dark - Accent 115"/>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paragraph" w:styleId="NormalWeb">
    <w:name w:val="Normal (Web)"/>
    <w:basedOn w:val="Normal"/>
    <w:uiPriority w:val="99"/>
    <w:unhideWhenUsed/>
    <w:pPr>
      <w:spacing w:before="100" w:beforeAutospacing="1" w:after="100" w:afterAutospacing="1" w:line="259" w:lineRule="auto"/>
    </w:pPr>
    <w:rPr>
      <w:rFonts w:eastAsiaTheme="minorEastAsia" w:cs="Times New Roman"/>
      <w:szCs w:val="24"/>
      <w:lang w:val="nl-NL" w:eastAsia="nl-NL"/>
    </w:rPr>
  </w:style>
  <w:style w:type="character" w:customStyle="1" w:styleId="CommentSubjectChar1">
    <w:name w:val="Comment Subject Char1"/>
    <w:basedOn w:val="CommentTextChar"/>
    <w:uiPriority w:val="99"/>
    <w:semiHidden/>
    <w:rPr>
      <w:rFonts w:ascii="Georgia" w:hAnsi="Georgia" w:cs="Times New Roman"/>
      <w:b/>
      <w:bCs/>
      <w:sz w:val="20"/>
      <w:szCs w:val="20"/>
    </w:rPr>
  </w:style>
  <w:style w:type="table" w:styleId="MediumGrid1-Accent3">
    <w:name w:val="Medium Grid 1 Accent 3"/>
    <w:basedOn w:val="TableNormal"/>
    <w:uiPriority w:val="67"/>
    <w:pPr>
      <w:spacing w:after="0" w:line="240" w:lineRule="auto"/>
    </w:pPr>
    <w:rPr>
      <w:rFonts w:eastAsia="Times New Roman" w:cs="Times New Roman"/>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rFonts w:cs="Times New Roman"/>
        <w:b/>
        <w:bCs/>
      </w:rPr>
    </w:tblStylePr>
    <w:tblStylePr w:type="lastRow">
      <w:rPr>
        <w:rFonts w:cs="Times New Roman"/>
        <w:b/>
        <w:bCs/>
      </w:rPr>
      <w:tblPr/>
      <w:tcPr>
        <w:tcBorders>
          <w:top w:val="single" w:sz="18" w:space="0" w:color="B3CC82"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hemeFill="accent3" w:themeFillTint="7F"/>
      </w:tcPr>
    </w:tblStylePr>
    <w:tblStylePr w:type="band1Horz">
      <w:rPr>
        <w:rFonts w:cs="Times New Roman"/>
      </w:rPr>
      <w:tblPr/>
      <w:tcPr>
        <w:shd w:val="clear" w:color="auto" w:fill="CDDDAC" w:themeFill="accent3" w:themeFillTint="7F"/>
      </w:tcPr>
    </w:tblStylePr>
  </w:style>
  <w:style w:type="table" w:styleId="LightList-Accent5">
    <w:name w:val="Light List Accent 5"/>
    <w:basedOn w:val="TableNormal"/>
    <w:uiPriority w:val="61"/>
    <w:pPr>
      <w:spacing w:after="0" w:line="240" w:lineRule="auto"/>
    </w:pPr>
    <w:rPr>
      <w:rFonts w:eastAsia="Times New Roman" w:cs="Times New Roman"/>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PS">
    <w:name w:val="EPS"/>
    <w:basedOn w:val="TableNormal"/>
    <w:uiPriority w:val="63"/>
    <w:pPr>
      <w:spacing w:after="0" w:line="240" w:lineRule="auto"/>
    </w:pPr>
    <w:rPr>
      <w:rFonts w:ascii="Cambria" w:eastAsia="Times New Roman" w:hAnsi="Cambria" w:cs="Times New Roman"/>
      <w:sz w:val="24"/>
      <w:szCs w:val="24"/>
      <w:lang w:val="it-I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pPr>
      <w:rPr>
        <w:rFonts w:cs="Times New Roman"/>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pPr>
      <w:rPr>
        <w:rFonts w:cs="Times New Roman"/>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hemeFill="text1" w:themeFillTint="3F"/>
      </w:tcPr>
    </w:tblStylePr>
    <w:tblStylePr w:type="band1Horz">
      <w:rPr>
        <w:rFonts w:cs="Times New Roman"/>
      </w:rPr>
      <w:tblPr/>
      <w:tcPr>
        <w:tcBorders>
          <w:insideH w:val="nil"/>
          <w:insideV w:val="nil"/>
        </w:tcBorders>
        <w:shd w:val="clear" w:color="auto" w:fill="C0C0C0" w:themeFill="text1" w:themeFillTint="3F"/>
      </w:tcPr>
    </w:tblStylePr>
    <w:tblStylePr w:type="band2Horz">
      <w:rPr>
        <w:rFonts w:cs="Times New Roman"/>
      </w:rPr>
      <w:tblPr/>
      <w:tcPr>
        <w:tcBorders>
          <w:insideH w:val="nil"/>
          <w:insideV w:val="nil"/>
        </w:tcBorders>
      </w:tcPr>
    </w:tblStylePr>
  </w:style>
  <w:style w:type="table" w:customStyle="1" w:styleId="GridTable4-Accent21">
    <w:name w:val="Grid Table 4 - Accent 2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Default">
    <w:name w:val="Default"/>
    <w:pPr>
      <w:autoSpaceDE w:val="0"/>
      <w:autoSpaceDN w:val="0"/>
      <w:adjustRightInd w:val="0"/>
      <w:spacing w:after="0" w:line="240" w:lineRule="auto"/>
    </w:pPr>
    <w:rPr>
      <w:rFonts w:ascii="Georgia" w:eastAsia="Times New Roman" w:hAnsi="Georgia" w:cs="Georgia"/>
      <w:color w:val="000000"/>
      <w:sz w:val="24"/>
      <w:szCs w:val="24"/>
      <w:lang w:val="nl-NL"/>
    </w:rPr>
  </w:style>
  <w:style w:type="paragraph" w:customStyle="1" w:styleId="aanhef">
    <w:name w:val="aanhef"/>
    <w:basedOn w:val="DefaultText"/>
    <w:pPr>
      <w:spacing w:after="280"/>
    </w:pPr>
    <w:rPr>
      <w:sz w:val="18"/>
      <w:lang w:val="nl-NL"/>
    </w:rPr>
  </w:style>
  <w:style w:type="paragraph" w:customStyle="1" w:styleId="aboutecorys">
    <w:name w:val="aboutecorys"/>
    <w:basedOn w:val="DefaultText"/>
    <w:next w:val="DefaultText"/>
    <w:pPr>
      <w:spacing w:after="840"/>
    </w:pPr>
    <w:rPr>
      <w:color w:val="006DB6"/>
      <w:sz w:val="36"/>
      <w:lang w:val="nl-NL"/>
    </w:rPr>
  </w:style>
  <w:style w:type="paragraph" w:customStyle="1" w:styleId="adres">
    <w:name w:val="adres"/>
    <w:basedOn w:val="DefaultText"/>
    <w:rPr>
      <w:sz w:val="18"/>
      <w:lang w:val="nl-NL"/>
    </w:rPr>
  </w:style>
  <w:style w:type="paragraph" w:customStyle="1" w:styleId="afzendgegevens">
    <w:name w:val="afzendgegevens"/>
    <w:basedOn w:val="DefaultText"/>
    <w:pPr>
      <w:spacing w:line="220" w:lineRule="atLeast"/>
    </w:pPr>
    <w:rPr>
      <w:sz w:val="14"/>
      <w:lang w:val="nl-NL"/>
    </w:rPr>
  </w:style>
  <w:style w:type="paragraph" w:customStyle="1" w:styleId="afzendgegevensachter">
    <w:name w:val="afzendgegevensachter"/>
    <w:basedOn w:val="DefaultText"/>
    <w:rPr>
      <w:color w:val="003C64"/>
      <w:sz w:val="16"/>
      <w:lang w:val="nl-NL"/>
    </w:rPr>
  </w:style>
  <w:style w:type="paragraph" w:customStyle="1" w:styleId="afzendgegevensachter-vet">
    <w:name w:val="afzendgegevensachter-vet"/>
    <w:basedOn w:val="afzendgegevensachter"/>
    <w:rPr>
      <w:b/>
    </w:rPr>
  </w:style>
  <w:style w:type="paragraph" w:customStyle="1" w:styleId="bronvermelding">
    <w:name w:val="bronvermelding"/>
    <w:basedOn w:val="DefaultText"/>
    <w:next w:val="DefaultText"/>
    <w:rPr>
      <w:sz w:val="14"/>
      <w:lang w:val="nl-NL"/>
    </w:rPr>
  </w:style>
  <w:style w:type="paragraph" w:customStyle="1" w:styleId="DefaultTextBold">
    <w:name w:val="Default Text Bold"/>
    <w:basedOn w:val="DefaultText"/>
    <w:next w:val="DefaultText"/>
    <w:rPr>
      <w:b/>
      <w:sz w:val="18"/>
      <w:lang w:val="nl-NL"/>
    </w:rPr>
  </w:style>
  <w:style w:type="paragraph" w:customStyle="1" w:styleId="doctype">
    <w:name w:val="doctype"/>
    <w:basedOn w:val="Normal"/>
    <w:pPr>
      <w:spacing w:after="0" w:line="280" w:lineRule="atLeast"/>
    </w:pPr>
    <w:rPr>
      <w:rFonts w:ascii="Arial" w:eastAsia="Times New Roman" w:hAnsi="Arial" w:cs="Times New Roman"/>
      <w:b/>
      <w:caps/>
      <w:sz w:val="32"/>
      <w:szCs w:val="24"/>
      <w:lang w:val="nl-NL" w:eastAsia="nl-NL"/>
    </w:rPr>
  </w:style>
  <w:style w:type="paragraph" w:styleId="DocumentMap">
    <w:name w:val="Document Map"/>
    <w:basedOn w:val="Normal"/>
    <w:link w:val="DocumentMapChar"/>
    <w:uiPriority w:val="99"/>
    <w:pPr>
      <w:shd w:val="clear" w:color="auto" w:fill="000080"/>
      <w:spacing w:after="0" w:line="280" w:lineRule="atLeast"/>
    </w:pPr>
    <w:rPr>
      <w:rFonts w:ascii="Tahoma" w:eastAsia="Times New Roman" w:hAnsi="Tahoma" w:cs="Tahoma"/>
      <w:sz w:val="20"/>
      <w:szCs w:val="20"/>
      <w:lang w:val="nl-NL" w:eastAsia="nl-NL"/>
    </w:rPr>
  </w:style>
  <w:style w:type="character" w:customStyle="1" w:styleId="DocumentMapChar">
    <w:name w:val="Document Map Char"/>
    <w:basedOn w:val="DefaultParagraphFont"/>
    <w:link w:val="DocumentMap"/>
    <w:uiPriority w:val="99"/>
    <w:rPr>
      <w:rFonts w:ascii="Tahoma" w:eastAsia="Times New Roman" w:hAnsi="Tahoma" w:cs="Tahoma"/>
      <w:sz w:val="20"/>
      <w:szCs w:val="20"/>
      <w:shd w:val="clear" w:color="auto" w:fill="000080"/>
      <w:lang w:val="nl-NL" w:eastAsia="nl-NL"/>
    </w:rPr>
  </w:style>
  <w:style w:type="character" w:styleId="EndnoteReference">
    <w:name w:val="endnote reference"/>
    <w:basedOn w:val="DefaultParagraphFont"/>
    <w:uiPriority w:val="99"/>
    <w:rPr>
      <w:vertAlign w:val="superscript"/>
    </w:rPr>
  </w:style>
  <w:style w:type="paragraph" w:styleId="EndnoteText">
    <w:name w:val="endnote text"/>
    <w:basedOn w:val="Normal"/>
    <w:link w:val="EndnoteTextChar"/>
    <w:uiPriority w:val="99"/>
    <w:pPr>
      <w:spacing w:after="0" w:line="280" w:lineRule="atLeast"/>
    </w:pPr>
    <w:rPr>
      <w:rFonts w:ascii="Arial" w:eastAsia="Times New Roman" w:hAnsi="Arial" w:cs="Times New Roman"/>
      <w:sz w:val="20"/>
      <w:szCs w:val="20"/>
      <w:lang w:val="nl-NL" w:eastAsia="nl-NL"/>
    </w:rPr>
  </w:style>
  <w:style w:type="character" w:customStyle="1" w:styleId="EndnoteTextChar">
    <w:name w:val="Endnote Text Char"/>
    <w:basedOn w:val="DefaultParagraphFont"/>
    <w:link w:val="EndnoteText"/>
    <w:uiPriority w:val="99"/>
    <w:rPr>
      <w:rFonts w:ascii="Arial" w:eastAsia="Times New Roman" w:hAnsi="Arial" w:cs="Times New Roman"/>
      <w:sz w:val="20"/>
      <w:szCs w:val="20"/>
      <w:lang w:val="nl-NL" w:eastAsia="nl-NL"/>
    </w:rPr>
  </w:style>
  <w:style w:type="paragraph" w:customStyle="1" w:styleId="filename">
    <w:name w:val="filename"/>
    <w:basedOn w:val="DefaultText"/>
    <w:rPr>
      <w:noProof/>
      <w:color w:val="000000"/>
      <w:sz w:val="16"/>
      <w:lang w:val="nl-NL"/>
    </w:rPr>
  </w:style>
  <w:style w:type="paragraph" w:customStyle="1" w:styleId="front-inbetween">
    <w:name w:val="front-inbetween"/>
    <w:basedOn w:val="DefaultText"/>
    <w:next w:val="Normal"/>
    <w:pPr>
      <w:spacing w:line="320" w:lineRule="atLeast"/>
    </w:pPr>
    <w:rPr>
      <w:sz w:val="18"/>
      <w:lang w:val="nl-NL"/>
    </w:rPr>
  </w:style>
  <w:style w:type="paragraph" w:customStyle="1" w:styleId="groetregel">
    <w:name w:val="groetregel"/>
    <w:basedOn w:val="DefaultText"/>
    <w:pPr>
      <w:spacing w:before="560" w:after="840"/>
    </w:pPr>
    <w:rPr>
      <w:sz w:val="18"/>
      <w:lang w:val="nl-NL"/>
    </w:rPr>
  </w:style>
  <w:style w:type="paragraph" w:customStyle="1" w:styleId="heading-blue-1">
    <w:name w:val="heading-blue-1"/>
    <w:basedOn w:val="DefaultText"/>
    <w:next w:val="DefaultText"/>
    <w:pPr>
      <w:keepNext/>
      <w:keepLines/>
      <w:spacing w:after="840"/>
      <w:outlineLvl w:val="0"/>
    </w:pPr>
    <w:rPr>
      <w:b/>
      <w:color w:val="006DB6"/>
      <w:sz w:val="36"/>
      <w:lang w:val="nl-NL"/>
    </w:rPr>
  </w:style>
  <w:style w:type="paragraph" w:customStyle="1" w:styleId="heading-blue-2">
    <w:name w:val="heading-blue-2"/>
    <w:basedOn w:val="DefaultText"/>
    <w:next w:val="DefaultText"/>
    <w:pPr>
      <w:keepNext/>
      <w:keepLines/>
      <w:spacing w:after="280"/>
      <w:outlineLvl w:val="1"/>
    </w:pPr>
    <w:rPr>
      <w:color w:val="006DB6"/>
      <w:sz w:val="22"/>
      <w:lang w:val="nl-NL"/>
    </w:rPr>
  </w:style>
  <w:style w:type="paragraph" w:customStyle="1" w:styleId="heading-blue-3">
    <w:name w:val="heading-blue-3"/>
    <w:basedOn w:val="DefaultText"/>
    <w:next w:val="DefaultText"/>
    <w:pPr>
      <w:keepNext/>
      <w:keepLines/>
      <w:outlineLvl w:val="2"/>
    </w:pPr>
    <w:rPr>
      <w:i/>
      <w:color w:val="006DB6"/>
      <w:sz w:val="18"/>
      <w:lang w:val="nl-NL"/>
    </w:rPr>
  </w:style>
  <w:style w:type="paragraph" w:customStyle="1" w:styleId="heading-blue-4">
    <w:name w:val="heading-blue-4"/>
    <w:basedOn w:val="DefaultText"/>
    <w:next w:val="DefaultText"/>
    <w:pPr>
      <w:keepNext/>
      <w:keepLines/>
      <w:outlineLvl w:val="3"/>
    </w:pPr>
    <w:rPr>
      <w:i/>
      <w:color w:val="006DB6"/>
      <w:sz w:val="18"/>
      <w:lang w:val="nl-NL"/>
    </w:rPr>
  </w:style>
  <w:style w:type="paragraph" w:customStyle="1" w:styleId="heading-blue-5">
    <w:name w:val="heading-blue-5"/>
    <w:basedOn w:val="DefaultText"/>
    <w:next w:val="DefaultText"/>
    <w:pPr>
      <w:keepNext/>
      <w:keepLines/>
      <w:outlineLvl w:val="4"/>
    </w:pPr>
    <w:rPr>
      <w:b/>
      <w:color w:val="006DB6"/>
      <w:sz w:val="18"/>
      <w:lang w:val="nl-NL"/>
    </w:rPr>
  </w:style>
  <w:style w:type="paragraph" w:customStyle="1" w:styleId="heading-blue-6">
    <w:name w:val="heading-blue-6"/>
    <w:basedOn w:val="DefaultText"/>
    <w:next w:val="DefaultText"/>
    <w:pPr>
      <w:keepNext/>
      <w:keepLines/>
      <w:outlineLvl w:val="5"/>
    </w:pPr>
    <w:rPr>
      <w:color w:val="006DB6"/>
      <w:sz w:val="18"/>
      <w:lang w:val="nl-NL"/>
    </w:rPr>
  </w:style>
  <w:style w:type="paragraph" w:styleId="Index1">
    <w:name w:val="index 1"/>
    <w:basedOn w:val="Normal"/>
    <w:next w:val="Normal"/>
    <w:autoRedefine/>
    <w:pPr>
      <w:spacing w:after="0" w:line="280" w:lineRule="atLeast"/>
      <w:ind w:left="190" w:hanging="190"/>
    </w:pPr>
    <w:rPr>
      <w:rFonts w:ascii="Arial" w:eastAsia="Times New Roman" w:hAnsi="Arial" w:cs="Times New Roman"/>
      <w:sz w:val="18"/>
      <w:szCs w:val="24"/>
      <w:lang w:val="nl-NL" w:eastAsia="nl-NL"/>
    </w:rPr>
  </w:style>
  <w:style w:type="paragraph" w:styleId="Index2">
    <w:name w:val="index 2"/>
    <w:basedOn w:val="Normal"/>
    <w:next w:val="Normal"/>
    <w:autoRedefine/>
    <w:uiPriority w:val="99"/>
    <w:pPr>
      <w:spacing w:after="0" w:line="280" w:lineRule="atLeast"/>
      <w:ind w:left="380" w:hanging="190"/>
    </w:pPr>
    <w:rPr>
      <w:rFonts w:ascii="Arial" w:eastAsia="Times New Roman" w:hAnsi="Arial" w:cs="Times New Roman"/>
      <w:sz w:val="18"/>
      <w:szCs w:val="24"/>
      <w:lang w:val="nl-NL" w:eastAsia="nl-NL"/>
    </w:rPr>
  </w:style>
  <w:style w:type="paragraph" w:styleId="Index3">
    <w:name w:val="index 3"/>
    <w:basedOn w:val="Normal"/>
    <w:next w:val="Normal"/>
    <w:autoRedefine/>
    <w:uiPriority w:val="99"/>
    <w:pPr>
      <w:spacing w:after="0" w:line="280" w:lineRule="atLeast"/>
      <w:ind w:left="570" w:hanging="190"/>
    </w:pPr>
    <w:rPr>
      <w:rFonts w:ascii="Arial" w:eastAsia="Times New Roman" w:hAnsi="Arial" w:cs="Times New Roman"/>
      <w:sz w:val="18"/>
      <w:szCs w:val="24"/>
      <w:lang w:val="nl-NL" w:eastAsia="nl-NL"/>
    </w:rPr>
  </w:style>
  <w:style w:type="paragraph" w:styleId="Index4">
    <w:name w:val="index 4"/>
    <w:basedOn w:val="Normal"/>
    <w:next w:val="Normal"/>
    <w:autoRedefine/>
    <w:uiPriority w:val="99"/>
    <w:pPr>
      <w:spacing w:after="0" w:line="280" w:lineRule="atLeast"/>
      <w:ind w:left="760" w:hanging="190"/>
    </w:pPr>
    <w:rPr>
      <w:rFonts w:ascii="Arial" w:eastAsia="Times New Roman" w:hAnsi="Arial" w:cs="Times New Roman"/>
      <w:sz w:val="18"/>
      <w:szCs w:val="24"/>
      <w:lang w:val="nl-NL" w:eastAsia="nl-NL"/>
    </w:rPr>
  </w:style>
  <w:style w:type="paragraph" w:styleId="Index5">
    <w:name w:val="index 5"/>
    <w:basedOn w:val="Normal"/>
    <w:next w:val="Normal"/>
    <w:autoRedefine/>
    <w:uiPriority w:val="99"/>
    <w:pPr>
      <w:spacing w:after="0" w:line="280" w:lineRule="atLeast"/>
      <w:ind w:left="950" w:hanging="190"/>
    </w:pPr>
    <w:rPr>
      <w:rFonts w:ascii="Arial" w:eastAsia="Times New Roman" w:hAnsi="Arial" w:cs="Times New Roman"/>
      <w:sz w:val="18"/>
      <w:szCs w:val="24"/>
      <w:lang w:val="nl-NL" w:eastAsia="nl-NL"/>
    </w:rPr>
  </w:style>
  <w:style w:type="paragraph" w:styleId="Index6">
    <w:name w:val="index 6"/>
    <w:basedOn w:val="Normal"/>
    <w:next w:val="Normal"/>
    <w:autoRedefine/>
    <w:uiPriority w:val="99"/>
    <w:pPr>
      <w:spacing w:after="0" w:line="280" w:lineRule="atLeast"/>
      <w:ind w:left="1140" w:hanging="190"/>
    </w:pPr>
    <w:rPr>
      <w:rFonts w:ascii="Arial" w:eastAsia="Times New Roman" w:hAnsi="Arial" w:cs="Times New Roman"/>
      <w:sz w:val="18"/>
      <w:szCs w:val="24"/>
      <w:lang w:val="nl-NL" w:eastAsia="nl-NL"/>
    </w:rPr>
  </w:style>
  <w:style w:type="paragraph" w:styleId="Index7">
    <w:name w:val="index 7"/>
    <w:basedOn w:val="Normal"/>
    <w:next w:val="Normal"/>
    <w:autoRedefine/>
    <w:uiPriority w:val="99"/>
    <w:pPr>
      <w:spacing w:after="0" w:line="280" w:lineRule="atLeast"/>
      <w:ind w:left="1330" w:hanging="190"/>
    </w:pPr>
    <w:rPr>
      <w:rFonts w:ascii="Arial" w:eastAsia="Times New Roman" w:hAnsi="Arial" w:cs="Times New Roman"/>
      <w:sz w:val="18"/>
      <w:szCs w:val="24"/>
      <w:lang w:val="nl-NL" w:eastAsia="nl-NL"/>
    </w:rPr>
  </w:style>
  <w:style w:type="paragraph" w:styleId="Index8">
    <w:name w:val="index 8"/>
    <w:basedOn w:val="Normal"/>
    <w:next w:val="Normal"/>
    <w:autoRedefine/>
    <w:uiPriority w:val="99"/>
    <w:pPr>
      <w:spacing w:after="0" w:line="280" w:lineRule="atLeast"/>
      <w:ind w:left="1520" w:hanging="190"/>
    </w:pPr>
    <w:rPr>
      <w:rFonts w:ascii="Arial" w:eastAsia="Times New Roman" w:hAnsi="Arial" w:cs="Times New Roman"/>
      <w:sz w:val="18"/>
      <w:szCs w:val="24"/>
      <w:lang w:val="nl-NL" w:eastAsia="nl-NL"/>
    </w:rPr>
  </w:style>
  <w:style w:type="paragraph" w:styleId="Index9">
    <w:name w:val="index 9"/>
    <w:basedOn w:val="Normal"/>
    <w:next w:val="Normal"/>
    <w:autoRedefine/>
    <w:uiPriority w:val="99"/>
    <w:pPr>
      <w:spacing w:after="0" w:line="280" w:lineRule="atLeast"/>
      <w:ind w:left="1710" w:hanging="190"/>
    </w:pPr>
    <w:rPr>
      <w:rFonts w:ascii="Arial" w:eastAsia="Times New Roman" w:hAnsi="Arial" w:cs="Times New Roman"/>
      <w:sz w:val="18"/>
      <w:szCs w:val="24"/>
      <w:lang w:val="nl-NL" w:eastAsia="nl-NL"/>
    </w:rPr>
  </w:style>
  <w:style w:type="paragraph" w:styleId="IndexHeading">
    <w:name w:val="index heading"/>
    <w:basedOn w:val="Normal"/>
    <w:next w:val="Index1"/>
    <w:pPr>
      <w:spacing w:after="0" w:line="280" w:lineRule="atLeast"/>
    </w:pPr>
    <w:rPr>
      <w:rFonts w:ascii="Arial" w:eastAsia="Times New Roman" w:hAnsi="Arial" w:cs="Arial"/>
      <w:b/>
      <w:bCs/>
      <w:sz w:val="18"/>
      <w:szCs w:val="24"/>
      <w:lang w:val="nl-NL" w:eastAsia="nl-NL"/>
    </w:rPr>
  </w:style>
  <w:style w:type="paragraph" w:customStyle="1" w:styleId="kaderkop">
    <w:name w:val="kaderkop"/>
    <w:basedOn w:val="DefaultText"/>
    <w:pPr>
      <w:ind w:left="340"/>
    </w:pPr>
    <w:rPr>
      <w:b/>
      <w:color w:val="006DB6"/>
      <w:sz w:val="16"/>
      <w:lang w:val="nl-NL"/>
    </w:rPr>
  </w:style>
  <w:style w:type="paragraph" w:customStyle="1" w:styleId="kadertekst">
    <w:name w:val="kadertekst"/>
    <w:basedOn w:val="DefaultText"/>
    <w:pPr>
      <w:ind w:left="346"/>
    </w:pPr>
    <w:rPr>
      <w:color w:val="006DB6"/>
      <w:sz w:val="16"/>
      <w:lang w:val="nl-NL"/>
    </w:rPr>
  </w:style>
  <w:style w:type="paragraph" w:customStyle="1" w:styleId="landnamen">
    <w:name w:val="landnamen"/>
    <w:basedOn w:val="DefaultText"/>
    <w:pPr>
      <w:spacing w:line="144" w:lineRule="atLeast"/>
      <w:jc w:val="center"/>
    </w:pPr>
    <w:rPr>
      <w:b/>
      <w:smallCaps/>
      <w:color w:val="9C9D9F"/>
      <w:spacing w:val="-2"/>
      <w:sz w:val="11"/>
      <w:lang w:val="nl-NL"/>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urier New" w:eastAsia="Times New Roman" w:hAnsi="Courier New" w:cs="Courier New"/>
      <w:sz w:val="20"/>
      <w:szCs w:val="20"/>
      <w:lang w:val="nl-NL" w:eastAsia="nl-NL"/>
    </w:rPr>
  </w:style>
  <w:style w:type="character" w:customStyle="1" w:styleId="MacroTextChar">
    <w:name w:val="Macro Text Char"/>
    <w:basedOn w:val="DefaultParagraphFont"/>
    <w:link w:val="MacroText"/>
    <w:rPr>
      <w:rFonts w:ascii="Courier New" w:eastAsia="Times New Roman" w:hAnsi="Courier New" w:cs="Courier New"/>
      <w:sz w:val="20"/>
      <w:szCs w:val="20"/>
      <w:lang w:val="nl-NL" w:eastAsia="nl-NL"/>
    </w:rPr>
  </w:style>
  <w:style w:type="paragraph" w:customStyle="1" w:styleId="no-heading-blue-1">
    <w:name w:val="no-heading-blue-1"/>
    <w:basedOn w:val="DefaultText"/>
    <w:next w:val="DefaultText"/>
    <w:pPr>
      <w:keepNext/>
      <w:keepLines/>
      <w:pageBreakBefore/>
      <w:spacing w:after="840"/>
      <w:outlineLvl w:val="0"/>
    </w:pPr>
    <w:rPr>
      <w:b/>
      <w:color w:val="006DB6"/>
      <w:sz w:val="36"/>
      <w:lang w:val="nl-NL"/>
    </w:rPr>
  </w:style>
  <w:style w:type="paragraph" w:customStyle="1" w:styleId="no-heading-blue-2">
    <w:name w:val="no-heading-blue-2"/>
    <w:basedOn w:val="DefaultText"/>
    <w:next w:val="DefaultText"/>
    <w:pPr>
      <w:keepNext/>
      <w:keepLines/>
      <w:spacing w:after="280"/>
      <w:outlineLvl w:val="1"/>
    </w:pPr>
    <w:rPr>
      <w:color w:val="006DB6"/>
      <w:sz w:val="22"/>
      <w:lang w:val="nl-NL"/>
    </w:rPr>
  </w:style>
  <w:style w:type="paragraph" w:customStyle="1" w:styleId="no-heading-blue-3">
    <w:name w:val="no-heading-blue-3"/>
    <w:basedOn w:val="DefaultText"/>
    <w:next w:val="DefaultText"/>
    <w:pPr>
      <w:keepNext/>
      <w:keepLines/>
      <w:outlineLvl w:val="2"/>
    </w:pPr>
    <w:rPr>
      <w:b/>
      <w:color w:val="006DB6"/>
      <w:sz w:val="18"/>
      <w:lang w:val="nl-NL"/>
    </w:rPr>
  </w:style>
  <w:style w:type="paragraph" w:customStyle="1" w:styleId="no-heading-blue-4">
    <w:name w:val="no-heading-blue-4"/>
    <w:basedOn w:val="DefaultText"/>
    <w:next w:val="DefaultText"/>
    <w:pPr>
      <w:keepNext/>
      <w:keepLines/>
      <w:outlineLvl w:val="3"/>
    </w:pPr>
    <w:rPr>
      <w:i/>
      <w:color w:val="006DB6"/>
      <w:sz w:val="18"/>
      <w:lang w:val="nl-NL"/>
    </w:rPr>
  </w:style>
  <w:style w:type="character" w:styleId="PageNumber">
    <w:name w:val="page number"/>
    <w:basedOn w:val="DefaultParagraphFont"/>
    <w:uiPriority w:val="99"/>
    <w:rPr>
      <w:rFonts w:cs="Times New Roman"/>
    </w:rPr>
  </w:style>
  <w:style w:type="paragraph" w:customStyle="1" w:styleId="paginanummer">
    <w:name w:val="paginanummer"/>
    <w:basedOn w:val="DefaultText"/>
    <w:pPr>
      <w:spacing w:after="142" w:line="200" w:lineRule="atLeast"/>
      <w:jc w:val="center"/>
    </w:pPr>
    <w:rPr>
      <w:sz w:val="14"/>
      <w:lang w:val="nl-NL"/>
    </w:rPr>
  </w:style>
  <w:style w:type="paragraph" w:customStyle="1" w:styleId="paginanummering">
    <w:name w:val="paginanummering"/>
    <w:basedOn w:val="DefaultText"/>
    <w:pPr>
      <w:jc w:val="right"/>
    </w:pPr>
    <w:rPr>
      <w:sz w:val="14"/>
      <w:lang w:val="nl-NL"/>
    </w:rPr>
  </w:style>
  <w:style w:type="paragraph" w:customStyle="1" w:styleId="refdata-frontpage">
    <w:name w:val="refdata-frontpage"/>
    <w:basedOn w:val="DefaultText"/>
    <w:pPr>
      <w:spacing w:line="560" w:lineRule="atLeast"/>
    </w:pPr>
    <w:rPr>
      <w:color w:val="003C64"/>
      <w:sz w:val="22"/>
      <w:lang w:val="nl-NL"/>
    </w:rPr>
  </w:style>
  <w:style w:type="paragraph" w:customStyle="1" w:styleId="referentiegegevens">
    <w:name w:val="referentiegegevens"/>
    <w:basedOn w:val="DefaultText"/>
    <w:rPr>
      <w:sz w:val="18"/>
      <w:lang w:val="nl-NL"/>
    </w:rPr>
  </w:style>
  <w:style w:type="paragraph" w:customStyle="1" w:styleId="referentiekopjes">
    <w:name w:val="referentiekopjes"/>
    <w:basedOn w:val="DefaultText"/>
    <w:rPr>
      <w:sz w:val="14"/>
      <w:lang w:val="nl-NL"/>
    </w:rPr>
  </w:style>
  <w:style w:type="paragraph" w:customStyle="1" w:styleId="rubricering">
    <w:name w:val="rubricering"/>
    <w:basedOn w:val="DefaultText"/>
    <w:rPr>
      <w:color w:val="A0A5A5"/>
      <w:sz w:val="144"/>
      <w:lang w:val="nl-NL"/>
    </w:rPr>
  </w:style>
  <w:style w:type="paragraph" w:customStyle="1" w:styleId="slogan">
    <w:name w:val="slogan"/>
    <w:basedOn w:val="DefaultText"/>
    <w:rPr>
      <w:b/>
      <w:i/>
      <w:color w:val="006DB6"/>
      <w:sz w:val="22"/>
      <w:lang w:val="nl-NL"/>
    </w:rPr>
  </w:style>
  <w:style w:type="paragraph" w:customStyle="1" w:styleId="subtitle-inside">
    <w:name w:val="subtitle-inside"/>
    <w:basedOn w:val="DefaultText"/>
    <w:rPr>
      <w:sz w:val="24"/>
      <w:lang w:val="nl-NL"/>
    </w:rPr>
  </w:style>
  <w:style w:type="paragraph" w:customStyle="1" w:styleId="spacingtitleinside">
    <w:name w:val="spacingtitleinside"/>
    <w:basedOn w:val="subtitle-inside"/>
    <w:pPr>
      <w:spacing w:after="360" w:line="380" w:lineRule="atLeast"/>
    </w:pPr>
    <w:rPr>
      <w:sz w:val="72"/>
    </w:rPr>
  </w:style>
  <w:style w:type="paragraph" w:customStyle="1" w:styleId="subtitle-frontpage">
    <w:name w:val="subtitle-frontpage"/>
    <w:basedOn w:val="DefaultText"/>
    <w:next w:val="front-inbetween"/>
    <w:pPr>
      <w:spacing w:line="720" w:lineRule="atLeast"/>
    </w:pPr>
    <w:rPr>
      <w:color w:val="A0A5A5"/>
      <w:sz w:val="44"/>
      <w:lang w:val="nl-NL"/>
    </w:rPr>
  </w:style>
  <w:style w:type="paragraph" w:customStyle="1" w:styleId="tabelkop">
    <w:name w:val="tabelkop"/>
    <w:basedOn w:val="DefaultText"/>
    <w:pPr>
      <w:keepNext/>
      <w:keepLines/>
    </w:pPr>
    <w:rPr>
      <w:b/>
      <w:color w:val="FFFFFF"/>
      <w:sz w:val="16"/>
      <w:lang w:val="nl-NL"/>
    </w:rPr>
  </w:style>
  <w:style w:type="paragraph" w:customStyle="1" w:styleId="tabeltekst">
    <w:name w:val="tabeltekst"/>
    <w:basedOn w:val="DefaultText"/>
    <w:rPr>
      <w:color w:val="000000"/>
      <w:sz w:val="16"/>
      <w:lang w:val="nl-NL"/>
    </w:rPr>
  </w:style>
  <w:style w:type="paragraph" w:styleId="TableofAuthorities">
    <w:name w:val="table of authorities"/>
    <w:basedOn w:val="Normal"/>
    <w:next w:val="Normal"/>
    <w:pPr>
      <w:spacing w:after="0" w:line="280" w:lineRule="atLeast"/>
      <w:ind w:left="190" w:hanging="190"/>
    </w:pPr>
    <w:rPr>
      <w:rFonts w:ascii="Arial" w:eastAsia="Times New Roman" w:hAnsi="Arial" w:cs="Times New Roman"/>
      <w:sz w:val="18"/>
      <w:szCs w:val="24"/>
      <w:lang w:val="nl-NL" w:eastAsia="nl-NL"/>
    </w:rPr>
  </w:style>
  <w:style w:type="paragraph" w:styleId="TableofFigures">
    <w:name w:val="table of figures"/>
    <w:aliases w:val="List of of Figures"/>
    <w:basedOn w:val="Normal"/>
    <w:next w:val="DefaultText"/>
    <w:uiPriority w:val="99"/>
    <w:pPr>
      <w:spacing w:after="0" w:line="259" w:lineRule="auto"/>
      <w:ind w:left="400" w:hanging="400"/>
    </w:pPr>
    <w:rPr>
      <w:rFonts w:asciiTheme="minorHAnsi" w:eastAsia="Times New Roman" w:hAnsiTheme="minorHAnsi" w:cs="Times New Roman"/>
      <w:smallCaps/>
      <w:sz w:val="20"/>
      <w:szCs w:val="20"/>
      <w:lang w:val="en-US"/>
    </w:rPr>
  </w:style>
  <w:style w:type="paragraph" w:customStyle="1" w:styleId="table-header-zwart">
    <w:name w:val="table-header-zwart"/>
    <w:basedOn w:val="DefaultText"/>
    <w:pPr>
      <w:keepNext/>
      <w:keepLines/>
    </w:pPr>
    <w:rPr>
      <w:b/>
      <w:sz w:val="16"/>
      <w:lang w:val="nl-NL"/>
    </w:rPr>
  </w:style>
  <w:style w:type="paragraph" w:customStyle="1" w:styleId="table-header-blauw">
    <w:name w:val="table-header-blauw"/>
    <w:basedOn w:val="table-header-zwart"/>
    <w:rPr>
      <w:color w:val="006DB6"/>
    </w:rPr>
  </w:style>
  <w:style w:type="paragraph" w:customStyle="1" w:styleId="table-header-blauwgroen">
    <w:name w:val="table-header-blauwgroen"/>
    <w:basedOn w:val="table-header-zwart"/>
    <w:rPr>
      <w:color w:val="009696"/>
    </w:rPr>
  </w:style>
  <w:style w:type="paragraph" w:customStyle="1" w:styleId="table-header-donkerblauw">
    <w:name w:val="table-header-donkerblauw"/>
    <w:basedOn w:val="table-header-zwart"/>
    <w:rPr>
      <w:color w:val="003C64"/>
    </w:rPr>
  </w:style>
  <w:style w:type="paragraph" w:customStyle="1" w:styleId="table-header-grijs">
    <w:name w:val="table-header-grijs"/>
    <w:basedOn w:val="table-header-zwart"/>
    <w:rPr>
      <w:color w:val="A0A5A5"/>
    </w:rPr>
  </w:style>
  <w:style w:type="paragraph" w:customStyle="1" w:styleId="table-header-groen">
    <w:name w:val="table-header-groen"/>
    <w:basedOn w:val="table-header-zwart"/>
    <w:rPr>
      <w:color w:val="A0BE00"/>
    </w:rPr>
  </w:style>
  <w:style w:type="paragraph" w:customStyle="1" w:styleId="table-header-oranje">
    <w:name w:val="table-header-oranje"/>
    <w:basedOn w:val="table-header-zwart"/>
    <w:rPr>
      <w:color w:val="F49A00"/>
    </w:rPr>
  </w:style>
  <w:style w:type="paragraph" w:customStyle="1" w:styleId="table-header-paars">
    <w:name w:val="table-header-paars"/>
    <w:basedOn w:val="table-header-zwart"/>
    <w:rPr>
      <w:color w:val="980D7D"/>
    </w:rPr>
  </w:style>
  <w:style w:type="paragraph" w:customStyle="1" w:styleId="table-header-roze">
    <w:name w:val="table-header-roze"/>
    <w:basedOn w:val="table-header-zwart"/>
    <w:rPr>
      <w:color w:val="E30052"/>
    </w:rPr>
  </w:style>
  <w:style w:type="paragraph" w:customStyle="1" w:styleId="table-header-wit">
    <w:name w:val="table-header-wit"/>
    <w:basedOn w:val="table-header-zwart"/>
    <w:rPr>
      <w:color w:val="FFFFFF"/>
    </w:rPr>
  </w:style>
  <w:style w:type="paragraph" w:customStyle="1" w:styleId="tableofcontents">
    <w:name w:val="tableofcontents"/>
    <w:basedOn w:val="DefaultText"/>
    <w:next w:val="DefaultText"/>
    <w:rPr>
      <w:color w:val="006DB6"/>
      <w:sz w:val="36"/>
      <w:lang w:val="nl-NL"/>
    </w:rPr>
  </w:style>
  <w:style w:type="table" w:customStyle="1" w:styleId="table-style-zwart-000-outline">
    <w:name w:val="table-style-zwart-0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StyleCol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keepLines/>
      </w:pPr>
      <w:rPr>
        <w:rFonts w:ascii="Arial" w:hAnsi="Arial" w:cs="Times New Roman"/>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00-outline">
    <w:name w:val="table-style-blauw-0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pPr>
      <w:rPr>
        <w:rFonts w:ascii="Arial" w:hAnsi="Arial" w:cs="Times New Roman"/>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00-none">
    <w:name w:val="table-style-blauw-000-none"/>
    <w:basedOn w:val="table-style-blauw-000-outline"/>
    <w:tblPr>
      <w:tblStyleColBandSize w:val="1"/>
    </w:tblPr>
    <w:tblStylePr w:type="firstRow">
      <w:pPr>
        <w:keepNext/>
        <w:keepLines/>
      </w:pPr>
      <w:rPr>
        <w:rFonts w:ascii="Arial" w:hAnsi="Arial" w:cs="Times New Roman"/>
        <w:b/>
        <w:i w:val="0"/>
        <w:color w:val="006DB6"/>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40-outline">
    <w:name w:val="table-style-blauw-040-outline"/>
    <w:basedOn w:val="table-style-blauw-000-outline"/>
    <w:tblPr/>
    <w:tblStylePr w:type="firstRow">
      <w:pPr>
        <w:keepNext/>
        <w:keepLines/>
      </w:pPr>
      <w:rPr>
        <w:rFonts w:ascii="Arial" w:hAnsi="Arial" w:cs="Times New Roman"/>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40" w:color="A4BFE1" w:fill="A4BFE1"/>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40-none">
    <w:name w:val="table-style-blauw-040-none"/>
    <w:basedOn w:val="table-style-blauw-040-outline"/>
    <w:tblPr/>
    <w:tblStylePr w:type="firstRow">
      <w:pPr>
        <w:keepNext/>
        <w:keepLines/>
      </w:pPr>
      <w:rPr>
        <w:rFonts w:ascii="Arial" w:hAnsi="Arial" w:cs="Times New Roman"/>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70-outline">
    <w:name w:val="table-style-blauw-070-outline"/>
    <w:basedOn w:val="table-style-blauw-000-outline"/>
    <w:tblPr/>
    <w:tblStylePr w:type="firstRow">
      <w:pPr>
        <w:keepNext/>
        <w:keepLines/>
      </w:pPr>
      <w:rPr>
        <w:rFonts w:ascii="Arial" w:hAnsi="Arial" w:cs="Times New Roman"/>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70" w:color="4E93CA" w:fill="4E93C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70-none">
    <w:name w:val="table-style-blauw-070-none"/>
    <w:basedOn w:val="table-style-blauw-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100-outline">
    <w:name w:val="table-style-blauw-100-outline"/>
    <w:basedOn w:val="table-style-blauw-000-outline"/>
    <w:tblPr/>
    <w:tblStylePr w:type="firstRow">
      <w:pPr>
        <w:keepNext/>
        <w:keepLines/>
      </w:pPr>
      <w:rPr>
        <w:rFonts w:ascii="Arial" w:hAnsi="Arial" w:cs="Times New Roman"/>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rPr>
        <w:rFonts w:cs="Times New Roman"/>
      </w:rPr>
      <w:tblPr/>
      <w:tcPr>
        <w:tcBorders>
          <w:top w:val="single" w:sz="4" w:space="0" w:color="A6A6A6" w:themeColor="background1" w:themeShade="A6"/>
        </w:tcBorders>
      </w:tcPr>
    </w:tblStylePr>
    <w:tblStylePr w:type="band2Horz">
      <w:rPr>
        <w:rFonts w:cs="Times New Roman"/>
      </w:rPr>
      <w:tblPr/>
      <w:tcPr>
        <w:tcBorders>
          <w:top w:val="single" w:sz="4" w:space="0" w:color="A6A6A6" w:themeColor="background1" w:themeShade="A6"/>
        </w:tcBorders>
      </w:tcPr>
    </w:tblStylePr>
  </w:style>
  <w:style w:type="table" w:customStyle="1" w:styleId="table-style-blauw-100-none">
    <w:name w:val="table-style-blauw-100-none"/>
    <w:basedOn w:val="table-style-blauw-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6DB6" w:fill="006DB6"/>
      </w:tcPr>
    </w:tblStylePr>
    <w:tblStylePr w:type="band1Horz">
      <w:rPr>
        <w:rFonts w:cs="Times New Roman"/>
      </w:rPr>
      <w:tblPr/>
      <w:tcPr>
        <w:tcBorders>
          <w:top w:val="single" w:sz="4" w:space="0" w:color="A6A6A6" w:themeColor="background1" w:themeShade="A6"/>
        </w:tcBorders>
      </w:tcPr>
    </w:tblStylePr>
    <w:tblStylePr w:type="band2Horz">
      <w:rPr>
        <w:rFonts w:cs="Times New Roman"/>
      </w:rPr>
      <w:tblPr/>
      <w:tcPr>
        <w:tcBorders>
          <w:top w:val="single" w:sz="4" w:space="0" w:color="A6A6A6" w:themeColor="background1" w:themeShade="A6"/>
        </w:tcBorders>
      </w:tcPr>
    </w:tblStylePr>
  </w:style>
  <w:style w:type="table" w:customStyle="1" w:styleId="table-style-blauwgroen-000-outline">
    <w:name w:val="table-style-blauwgroen-0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9696"/>
        <w:left w:val="single" w:sz="6" w:space="0" w:color="009696"/>
        <w:bottom w:val="single" w:sz="6" w:space="0" w:color="009696"/>
        <w:right w:val="single" w:sz="6" w:space="0" w:color="009696"/>
        <w:insideV w:val="single" w:sz="6" w:space="0" w:color="009696"/>
      </w:tblBorders>
    </w:tblPr>
    <w:tblStylePr w:type="firstRow">
      <w:pPr>
        <w:keepNext/>
        <w:keepLines/>
      </w:pPr>
      <w:rPr>
        <w:rFonts w:ascii="Arial" w:hAnsi="Arial" w:cs="Times New Roman"/>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00-none">
    <w:name w:val="table-style-blauwgroen-000-none"/>
    <w:basedOn w:val="table-style-blauwgroen-000-outline"/>
    <w:tblPr>
      <w:tblStyleColBandSize w:val="1"/>
    </w:tblPr>
    <w:tblStylePr w:type="firstRow">
      <w:pPr>
        <w:keepNext/>
        <w:keepLines/>
      </w:pPr>
      <w:rPr>
        <w:rFonts w:ascii="Arial" w:hAnsi="Arial" w:cs="Times New Roman"/>
        <w:b/>
        <w:i w:val="0"/>
        <w:color w:val="009696"/>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40-outline">
    <w:name w:val="table-style-blauwgroen-040-outline"/>
    <w:basedOn w:val="table-style-blauwgroen-000-outline"/>
    <w:tblPr/>
    <w:tblStylePr w:type="firstRow">
      <w:pPr>
        <w:keepNext/>
        <w:keepLines/>
      </w:pPr>
      <w:rPr>
        <w:rFonts w:ascii="Arial" w:hAnsi="Arial" w:cs="Times New Roman"/>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40-none">
    <w:name w:val="table-style-blauwgroen-040-none"/>
    <w:basedOn w:val="table-style-blauwgroen-040-outline"/>
    <w:tblPr/>
    <w:tblStylePr w:type="firstRow">
      <w:pPr>
        <w:keepNext/>
        <w:keepLines/>
      </w:pPr>
      <w:rPr>
        <w:rFonts w:ascii="Arial" w:hAnsi="Arial" w:cs="Times New Roman"/>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70-outline">
    <w:name w:val="table-style-blauwgroen-070-outline"/>
    <w:basedOn w:val="table-style-blauwgroen-000-outline"/>
    <w:tblPr/>
    <w:tblStylePr w:type="firstRow">
      <w:pPr>
        <w:keepNext/>
        <w:keepLines/>
      </w:pPr>
      <w:rPr>
        <w:rFonts w:ascii="Arial" w:hAnsi="Arial" w:cs="Times New Roman"/>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70-none">
    <w:name w:val="table-style-blauwgroen-070-none"/>
    <w:basedOn w:val="table-style-blauwgroen-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100-outline">
    <w:name w:val="table-style-blauwgroen-100-outline"/>
    <w:basedOn w:val="table-style-blauwgroen-000-outline"/>
    <w:tblPr/>
    <w:tblStylePr w:type="firstRow">
      <w:pPr>
        <w:keepNext/>
        <w:keepLines/>
      </w:pPr>
      <w:rPr>
        <w:rFonts w:ascii="Arial" w:hAnsi="Arial" w:cs="Times New Roman"/>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100-none">
    <w:name w:val="table-style-blauwgroen-100-none"/>
    <w:basedOn w:val="table-style-blauwgroen-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00-outline">
    <w:name w:val="table-style-donkerblauw-0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3C64"/>
        <w:left w:val="single" w:sz="6" w:space="0" w:color="003C64"/>
        <w:bottom w:val="single" w:sz="6" w:space="0" w:color="003C64"/>
        <w:right w:val="single" w:sz="6" w:space="0" w:color="003C64"/>
        <w:insideV w:val="single" w:sz="6" w:space="0" w:color="003C64"/>
      </w:tblBorders>
    </w:tblPr>
    <w:tblStylePr w:type="firstRow">
      <w:pPr>
        <w:keepNext/>
        <w:keepLines/>
      </w:pPr>
      <w:rPr>
        <w:rFonts w:ascii="Arial" w:hAnsi="Arial" w:cs="Times New Roman"/>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00-none">
    <w:name w:val="table-style-donkerblauw-000-none"/>
    <w:basedOn w:val="table-style-donkerblauw-000-outline"/>
    <w:tblPr>
      <w:tblStyleColBandSize w:val="1"/>
    </w:tblPr>
    <w:tblStylePr w:type="firstRow">
      <w:pPr>
        <w:keepNext/>
        <w:keepLines/>
      </w:pPr>
      <w:rPr>
        <w:rFonts w:ascii="Arial" w:hAnsi="Arial" w:cs="Times New Roman"/>
        <w:b/>
        <w:i w:val="0"/>
        <w:color w:val="003C64"/>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40-outline">
    <w:name w:val="table-style-donkerblauw-040-outline"/>
    <w:basedOn w:val="table-style-donkerblauw-000-outline"/>
    <w:tblPr/>
    <w:tblStylePr w:type="firstRow">
      <w:pPr>
        <w:keepNext/>
        <w:keepLines/>
      </w:pPr>
      <w:rPr>
        <w:rFonts w:ascii="Arial" w:hAnsi="Arial" w:cs="Times New Roman"/>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40-none">
    <w:name w:val="table-style-donkerblauw-040-none"/>
    <w:basedOn w:val="table-style-donkerblauw-040-outline"/>
    <w:tblPr/>
    <w:tblStylePr w:type="firstRow">
      <w:pPr>
        <w:keepNext/>
        <w:keepLines/>
      </w:pPr>
      <w:rPr>
        <w:rFonts w:ascii="Arial" w:hAnsi="Arial" w:cs="Times New Roman"/>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70-outline">
    <w:name w:val="table-style-donkerblauw-070-outline"/>
    <w:basedOn w:val="table-style-donkerblauw-000-outline"/>
    <w:tblPr/>
    <w:tblStylePr w:type="firstRow">
      <w:pPr>
        <w:keepNext/>
        <w:keepLines/>
      </w:pPr>
      <w:rPr>
        <w:rFonts w:ascii="Arial" w:hAnsi="Arial" w:cs="Times New Roman"/>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70-none">
    <w:name w:val="table-style-donkerblauw-070-none"/>
    <w:basedOn w:val="table-style-donkerblauw-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100-outline">
    <w:name w:val="table-style-donkerblauw-100-outline"/>
    <w:basedOn w:val="table-style-donkerblauw-000-outline"/>
    <w:tblPr/>
    <w:tblStylePr w:type="firstRow">
      <w:pPr>
        <w:keepNext/>
        <w:keepLines/>
      </w:pPr>
      <w:rPr>
        <w:rFonts w:ascii="Arial" w:hAnsi="Arial" w:cs="Times New Roman"/>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100-none">
    <w:name w:val="table-style-donkerblauw-100-none"/>
    <w:basedOn w:val="table-style-donkerblauw-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00-outline">
    <w:name w:val="table-style-grijs-000-outline"/>
    <w:basedOn w:val="table-style-zwart-000-outline"/>
    <w:tblPr>
      <w:tblBorders>
        <w:top w:val="single" w:sz="6" w:space="0" w:color="A0A5A5"/>
        <w:left w:val="single" w:sz="6" w:space="0" w:color="A0A5A5"/>
        <w:bottom w:val="single" w:sz="6" w:space="0" w:color="A0A5A5"/>
        <w:right w:val="single" w:sz="6" w:space="0" w:color="A0A5A5"/>
        <w:insideV w:val="single" w:sz="6" w:space="0" w:color="A0A5A5"/>
      </w:tblBorders>
    </w:tblPr>
    <w:tblStylePr w:type="firstRow">
      <w:pPr>
        <w:keepNext/>
        <w:keepLines/>
      </w:pPr>
      <w:rPr>
        <w:rFonts w:ascii="Arial" w:hAnsi="Arial" w:cs="Times New Roman"/>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00-none">
    <w:name w:val="table-style-grijs-000-none"/>
    <w:basedOn w:val="table-style-grijs-000-outline"/>
    <w:tblPr/>
    <w:tblStylePr w:type="firstRow">
      <w:pPr>
        <w:keepNext/>
        <w:keepLines/>
      </w:pPr>
      <w:rPr>
        <w:rFonts w:ascii="Arial" w:hAnsi="Arial" w:cs="Times New Roman"/>
        <w:b/>
        <w:i w:val="0"/>
        <w:color w:val="A0A5A5"/>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40-outline">
    <w:name w:val="table-style-grijs-040-outline"/>
    <w:basedOn w:val="table-style-grijs-000-outline"/>
    <w:tblPr/>
    <w:tblStylePr w:type="firstRow">
      <w:pPr>
        <w:keepNext/>
        <w:keepLines/>
      </w:pPr>
      <w:rPr>
        <w:rFonts w:ascii="Arial" w:hAnsi="Arial" w:cs="Times New Roman"/>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40-none">
    <w:name w:val="table-style-grijs-040-none"/>
    <w:basedOn w:val="table-style-grijs-040-outline"/>
    <w:tblPr/>
    <w:tblStylePr w:type="firstRow">
      <w:pPr>
        <w:keepNext/>
        <w:keepLines/>
      </w:pPr>
      <w:rPr>
        <w:rFonts w:ascii="Arial" w:hAnsi="Arial" w:cs="Times New Roman"/>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70-outline">
    <w:name w:val="table-style-grijs-070-outline"/>
    <w:basedOn w:val="table-style-grijs-000-outline"/>
    <w:tblPr/>
    <w:tblStylePr w:type="firstRow">
      <w:pPr>
        <w:keepNext/>
        <w:keepLines/>
      </w:pPr>
      <w:rPr>
        <w:rFonts w:ascii="Arial" w:hAnsi="Arial" w:cs="Times New Roman"/>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70-none">
    <w:name w:val="table-style-grijs-070-none"/>
    <w:basedOn w:val="table-style-grijs-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100-outline">
    <w:name w:val="table-style-grijs-100-outline"/>
    <w:basedOn w:val="table-style-grijs-000-outline"/>
    <w:tblPr/>
    <w:tblStylePr w:type="firstRow">
      <w:pPr>
        <w:keepNext/>
        <w:keepLines/>
      </w:pPr>
      <w:rPr>
        <w:rFonts w:ascii="Arial" w:hAnsi="Arial" w:cs="Times New Roman"/>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100-none">
    <w:name w:val="table-style-grijs-100-none"/>
    <w:basedOn w:val="table-style-grijs-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00-outline">
    <w:name w:val="table-style-groen-000-outline"/>
    <w:basedOn w:val="table-style-zwart-000-outline"/>
    <w:tblPr>
      <w:tblBorders>
        <w:top w:val="single" w:sz="6" w:space="0" w:color="A0BE00"/>
        <w:left w:val="single" w:sz="6" w:space="0" w:color="A0BE00"/>
        <w:bottom w:val="single" w:sz="6" w:space="0" w:color="A0BE00"/>
        <w:right w:val="single" w:sz="6" w:space="0" w:color="A0BE00"/>
        <w:insideV w:val="single" w:sz="6" w:space="0" w:color="A0BE00"/>
      </w:tblBorders>
    </w:tblPr>
    <w:tblStylePr w:type="firstRow">
      <w:pPr>
        <w:keepNext/>
        <w:keepLines/>
      </w:pPr>
      <w:rPr>
        <w:rFonts w:ascii="Arial" w:hAnsi="Arial" w:cs="Times New Roman"/>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00-none">
    <w:name w:val="table-style-groen-000-none"/>
    <w:basedOn w:val="table-style-groen-000-outline"/>
    <w:tblPr/>
    <w:tblStylePr w:type="firstRow">
      <w:pPr>
        <w:keepNext/>
        <w:keepLines/>
      </w:pPr>
      <w:rPr>
        <w:rFonts w:ascii="Arial" w:hAnsi="Arial" w:cs="Times New Roman"/>
        <w:b/>
        <w:i w:val="0"/>
        <w:color w:val="A0BE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40-outline">
    <w:name w:val="table-style-groen-040-outline"/>
    <w:basedOn w:val="table-style-groen-000-outline"/>
    <w:tblPr/>
    <w:tblStylePr w:type="firstRow">
      <w:pPr>
        <w:keepNext/>
        <w:keepLines/>
      </w:pPr>
      <w:rPr>
        <w:rFonts w:ascii="Arial" w:hAnsi="Arial" w:cs="Times New Roman"/>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40-none">
    <w:name w:val="table-style-groen-040-none"/>
    <w:basedOn w:val="table-style-groen-040-outline"/>
    <w:tblPr/>
    <w:tblStylePr w:type="firstRow">
      <w:pPr>
        <w:keepNext/>
        <w:keepLines/>
      </w:pPr>
      <w:rPr>
        <w:rFonts w:ascii="Arial" w:hAnsi="Arial" w:cs="Times New Roman"/>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70-outline">
    <w:name w:val="table-style-groen-070-outline"/>
    <w:basedOn w:val="table-style-groen-000-outline"/>
    <w:tblPr/>
    <w:tblStylePr w:type="firstRow">
      <w:pPr>
        <w:keepNext/>
        <w:keepLines/>
      </w:pPr>
      <w:rPr>
        <w:rFonts w:ascii="Arial" w:hAnsi="Arial" w:cs="Times New Roman"/>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70-none">
    <w:name w:val="table-style-groen-070-none"/>
    <w:basedOn w:val="table-style-groen-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C0D46A" w:fill="C0D46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100-outline">
    <w:name w:val="table-style-groen-100-outline"/>
    <w:basedOn w:val="table-style-groen-000-outline"/>
    <w:tblPr/>
    <w:tblStylePr w:type="firstRow">
      <w:pPr>
        <w:keepNext/>
        <w:keepLines/>
      </w:pPr>
      <w:rPr>
        <w:rFonts w:ascii="Arial" w:hAnsi="Arial" w:cs="Times New Roman"/>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100-none">
    <w:name w:val="table-style-groen-100-none"/>
    <w:basedOn w:val="table-style-groen-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00-outline">
    <w:name w:val="table-style-oranje-000-outline"/>
    <w:basedOn w:val="table-style-zwart-000-outline"/>
    <w:tblPr>
      <w:tblBorders>
        <w:top w:val="single" w:sz="6" w:space="0" w:color="F49A00"/>
        <w:left w:val="single" w:sz="6" w:space="0" w:color="F49A00"/>
        <w:bottom w:val="single" w:sz="6" w:space="0" w:color="F49A00"/>
        <w:right w:val="single" w:sz="6" w:space="0" w:color="F49A00"/>
        <w:insideV w:val="single" w:sz="6" w:space="0" w:color="F49A00"/>
      </w:tblBorders>
    </w:tblPr>
    <w:tblStylePr w:type="firstRow">
      <w:pPr>
        <w:keepNext/>
        <w:keepLines/>
      </w:pPr>
      <w:rPr>
        <w:rFonts w:ascii="Arial" w:hAnsi="Arial" w:cs="Times New Roman"/>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00-none">
    <w:name w:val="table-style-oranje-000-none"/>
    <w:basedOn w:val="table-style-oranje-000-outline"/>
    <w:tblPr/>
    <w:tblStylePr w:type="firstRow">
      <w:pPr>
        <w:keepNext/>
        <w:keepLines/>
      </w:pPr>
      <w:rPr>
        <w:rFonts w:ascii="Arial" w:hAnsi="Arial" w:cs="Times New Roman"/>
        <w:b/>
        <w:i w:val="0"/>
        <w:color w:val="F49A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40-outline">
    <w:name w:val="table-style-oranje-040-outline"/>
    <w:basedOn w:val="table-style-oranje-000-outline"/>
    <w:tblPr/>
    <w:tblStylePr w:type="firstRow">
      <w:pPr>
        <w:keepNext/>
        <w:keepLines/>
      </w:pPr>
      <w:rPr>
        <w:rFonts w:ascii="Arial" w:hAnsi="Arial" w:cs="Times New Roman"/>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40" w:color="FDD8A5" w:fill="FDD8A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40-none">
    <w:name w:val="table-style-oranje-040-none"/>
    <w:basedOn w:val="table-style-oranje-040-outline"/>
    <w:tblPr/>
    <w:tblStylePr w:type="firstRow">
      <w:pPr>
        <w:keepNext/>
        <w:keepLines/>
      </w:pPr>
      <w:rPr>
        <w:rFonts w:ascii="Arial" w:hAnsi="Arial" w:cs="Times New Roman"/>
        <w:b/>
        <w:i w:val="0"/>
        <w:color w:val="F49A00"/>
        <w:sz w:val="16"/>
      </w:rPr>
      <w:tblPr/>
      <w:tcPr>
        <w:tcBorders>
          <w:top w:val="nil"/>
          <w:left w:val="nil"/>
          <w:bottom w:val="nil"/>
          <w:right w:val="nil"/>
          <w:insideH w:val="nil"/>
          <w:insideV w:val="nil"/>
          <w:tl2br w:val="nil"/>
          <w:tr2bl w:val="nil"/>
        </w:tcBorders>
        <w:shd w:val="pct40" w:color="FDD8A5" w:fill="FDD8A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70-outline">
    <w:name w:val="table-style-oranje-070-outline"/>
    <w:basedOn w:val="table-style-oranje-000-outline"/>
    <w:tblPr/>
    <w:tblStylePr w:type="firstRow">
      <w:pPr>
        <w:keepNext/>
        <w:keepLines/>
      </w:pPr>
      <w:rPr>
        <w:rFonts w:ascii="Arial" w:hAnsi="Arial" w:cs="Times New Roman"/>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70-none">
    <w:name w:val="table-style-oranje-070-none"/>
    <w:basedOn w:val="table-style-oranje-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F9B95C" w:fill="F9B95C"/>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100-outline">
    <w:name w:val="table-style-oranje-100-outline"/>
    <w:basedOn w:val="table-style-oranje-000-outline"/>
    <w:tblPr/>
    <w:tblStylePr w:type="firstRow">
      <w:pPr>
        <w:keepNext/>
        <w:keepLines/>
      </w:pPr>
      <w:rPr>
        <w:rFonts w:ascii="Arial" w:hAnsi="Arial" w:cs="Times New Roman"/>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solid" w:color="F49A00" w:fill="F49A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100-none">
    <w:name w:val="table-style-oranje-100-none"/>
    <w:basedOn w:val="table-style-oranje-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00-outline">
    <w:name w:val="table-style-paars-000-outline"/>
    <w:basedOn w:val="table-style-zwart-000-outline"/>
    <w:tblPr>
      <w:tblBorders>
        <w:top w:val="single" w:sz="6" w:space="0" w:color="980D7D"/>
        <w:left w:val="single" w:sz="6" w:space="0" w:color="980D7D"/>
        <w:bottom w:val="single" w:sz="6" w:space="0" w:color="980D7D"/>
        <w:right w:val="single" w:sz="6" w:space="0" w:color="980D7D"/>
        <w:insideV w:val="single" w:sz="6" w:space="0" w:color="980D7D"/>
      </w:tblBorders>
    </w:tblPr>
    <w:tblStylePr w:type="firstRow">
      <w:pPr>
        <w:keepNext/>
        <w:keepLines/>
      </w:pPr>
      <w:rPr>
        <w:rFonts w:ascii="Arial" w:hAnsi="Arial" w:cs="Times New Roman"/>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00-none">
    <w:name w:val="table-style-paars-000-none"/>
    <w:basedOn w:val="table-style-paars-000-outline"/>
    <w:tblPr/>
    <w:tblStylePr w:type="firstRow">
      <w:pPr>
        <w:keepNext/>
        <w:keepLines/>
      </w:pPr>
      <w:rPr>
        <w:rFonts w:ascii="Arial" w:hAnsi="Arial" w:cs="Times New Roman"/>
        <w:b/>
        <w:i w:val="0"/>
        <w:color w:val="980D7D"/>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40-outline">
    <w:name w:val="table-style-paars-040-outline"/>
    <w:basedOn w:val="table-style-paars-000-outline"/>
    <w:tblPr/>
    <w:tblStylePr w:type="firstRow">
      <w:pPr>
        <w:keepNext/>
        <w:keepLines/>
      </w:pPr>
      <w:rPr>
        <w:rFonts w:ascii="Arial" w:hAnsi="Arial" w:cs="Times New Roman"/>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40" w:color="D2AACC" w:fill="D2AACC"/>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40-none">
    <w:name w:val="table-style-paars-040-none"/>
    <w:basedOn w:val="table-style-paars-040-outline"/>
    <w:tblPr/>
    <w:tblStylePr w:type="firstRow">
      <w:pPr>
        <w:keepNext/>
        <w:keepLines/>
      </w:pPr>
      <w:rPr>
        <w:rFonts w:ascii="Arial" w:hAnsi="Arial" w:cs="Times New Roman"/>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70-outline">
    <w:name w:val="table-style-paars-070-outline"/>
    <w:basedOn w:val="table-style-paars-000-outline"/>
    <w:tblPr/>
    <w:tblStylePr w:type="firstRow">
      <w:pPr>
        <w:keepNext/>
        <w:keepLines/>
      </w:pPr>
      <w:rPr>
        <w:rFonts w:ascii="Arial" w:hAnsi="Arial" w:cs="Times New Roman"/>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70" w:color="B466A1" w:fill="B466A1"/>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70-none">
    <w:name w:val="table-style-paars-070-none"/>
    <w:basedOn w:val="table-style-paars-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B466A1" w:fill="B466A1"/>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100-outline">
    <w:name w:val="table-style-paars-100-outline"/>
    <w:basedOn w:val="table-style-paars-000-outline"/>
    <w:tblPr/>
    <w:tblStylePr w:type="firstRow">
      <w:pPr>
        <w:keepNext/>
        <w:keepLines/>
      </w:pPr>
      <w:rPr>
        <w:rFonts w:ascii="Arial" w:hAnsi="Arial" w:cs="Times New Roman"/>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solid" w:color="980D7D" w:fill="980D7D"/>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100-none">
    <w:name w:val="table-style-paars-100-none"/>
    <w:basedOn w:val="table-style-paars-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980D7D" w:fill="980D7D"/>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00-outline">
    <w:name w:val="table-style-roze-000-outline"/>
    <w:basedOn w:val="table-style-zwart-000-outline"/>
    <w:tblPr>
      <w:tblBorders>
        <w:top w:val="single" w:sz="6" w:space="0" w:color="E30052"/>
        <w:left w:val="single" w:sz="6" w:space="0" w:color="E30052"/>
        <w:bottom w:val="single" w:sz="6" w:space="0" w:color="E30052"/>
        <w:right w:val="single" w:sz="6" w:space="0" w:color="E30052"/>
        <w:insideV w:val="single" w:sz="6" w:space="0" w:color="E30052"/>
      </w:tblBorders>
    </w:tblPr>
    <w:tblStylePr w:type="firstRow">
      <w:pPr>
        <w:keepNext/>
        <w:keepLines/>
      </w:pPr>
      <w:rPr>
        <w:rFonts w:ascii="Arial" w:hAnsi="Arial" w:cs="Times New Roman"/>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00-none">
    <w:name w:val="table-style-roze-000-none"/>
    <w:basedOn w:val="table-style-roze-000-outline"/>
    <w:tblPr/>
    <w:tblStylePr w:type="firstRow">
      <w:pPr>
        <w:keepNext/>
        <w:keepLines/>
      </w:pPr>
      <w:rPr>
        <w:rFonts w:ascii="Arial" w:hAnsi="Arial" w:cs="Times New Roman"/>
        <w:b/>
        <w:i w:val="0"/>
        <w:color w:val="E30052"/>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40-outline">
    <w:name w:val="table-style-roze-040-outline"/>
    <w:basedOn w:val="table-style-roze-000-outline"/>
    <w:tblPr/>
    <w:tblStylePr w:type="firstRow">
      <w:pPr>
        <w:keepNext/>
        <w:keepLines/>
      </w:pPr>
      <w:rPr>
        <w:rFonts w:ascii="Arial" w:hAnsi="Arial" w:cs="Times New Roman"/>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40-none">
    <w:name w:val="table-style-roze-040-none"/>
    <w:basedOn w:val="table-style-roze-040-outline"/>
    <w:tblPr/>
    <w:tblStylePr w:type="firstRow">
      <w:pPr>
        <w:keepNext/>
        <w:keepLines/>
      </w:pPr>
      <w:rPr>
        <w:rFonts w:ascii="Arial" w:hAnsi="Arial" w:cs="Times New Roman"/>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70-outline">
    <w:name w:val="table-style-roze-070-outline"/>
    <w:basedOn w:val="table-style-roze-000-outline"/>
    <w:tblPr/>
    <w:tblStylePr w:type="firstRow">
      <w:pPr>
        <w:keepNext/>
        <w:keepLines/>
      </w:pPr>
      <w:rPr>
        <w:rFonts w:ascii="Arial" w:hAnsi="Arial" w:cs="Times New Roman"/>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70-none">
    <w:name w:val="table-style-roze-070-none"/>
    <w:basedOn w:val="table-style-roze-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100-outline">
    <w:name w:val="table-style-roze-100-outline"/>
    <w:basedOn w:val="table-style-roze-000-outline"/>
    <w:tblPr/>
    <w:tblStylePr w:type="firstRow">
      <w:pPr>
        <w:keepNext/>
        <w:keepLines/>
      </w:pPr>
      <w:rPr>
        <w:rFonts w:ascii="Arial" w:hAnsi="Arial" w:cs="Times New Roman"/>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100-none">
    <w:name w:val="table-style-roze-100-none"/>
    <w:basedOn w:val="table-style-roze-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00-none">
    <w:name w:val="table-style-zwart-000-none"/>
    <w:basedOn w:val="table-style-zwart-000-outline"/>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40-outline">
    <w:name w:val="table-style-zwart-040-outline"/>
    <w:basedOn w:val="table-style-zwart-000-outline"/>
    <w:tblPr/>
    <w:tblStylePr w:type="firstRow">
      <w:pPr>
        <w:keepNext/>
        <w:keepLines/>
      </w:pPr>
      <w:rPr>
        <w:rFonts w:ascii="Arial" w:hAnsi="Arial" w:cs="Times New Roman"/>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40-none">
    <w:name w:val="table-style-zwart-040-none"/>
    <w:basedOn w:val="table-style-zwart-040-outline"/>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70-outline">
    <w:name w:val="table-style-zwart-070-outline"/>
    <w:basedOn w:val="table-style-zwart-000-outline"/>
    <w:tblPr/>
    <w:tblStylePr w:type="firstRow">
      <w:pPr>
        <w:keepNext/>
        <w:keepLines/>
      </w:pPr>
      <w:rPr>
        <w:rFonts w:ascii="Arial" w:hAnsi="Arial" w:cs="Times New Roman"/>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70-none">
    <w:name w:val="table-style-zwart-070-none"/>
    <w:basedOn w:val="table-style-zwart-070-outline"/>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100-outline">
    <w:name w:val="table-style-zwart-100-outline"/>
    <w:basedOn w:val="table-style-zwart-000-outline"/>
    <w:tblPr/>
    <w:tblStylePr w:type="firstRow">
      <w:pPr>
        <w:keepNext/>
        <w:keepLines/>
      </w:pPr>
      <w:rPr>
        <w:rFonts w:ascii="Arial" w:hAnsi="Arial" w:cs="Times New Roman"/>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100-none">
    <w:name w:val="table-style-zwart-100-none"/>
    <w:basedOn w:val="table-style-zwart-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paragraph" w:customStyle="1" w:styleId="table-text">
    <w:name w:val="table-text"/>
    <w:basedOn w:val="DefaultText"/>
    <w:rPr>
      <w:sz w:val="16"/>
      <w:lang w:val="nl-NL"/>
    </w:rPr>
  </w:style>
  <w:style w:type="paragraph" w:customStyle="1" w:styleId="title-frontpage">
    <w:name w:val="title-frontpage"/>
    <w:basedOn w:val="DefaultText"/>
    <w:next w:val="subtitle-frontpage"/>
    <w:pPr>
      <w:spacing w:line="720" w:lineRule="atLeast"/>
    </w:pPr>
    <w:rPr>
      <w:b/>
      <w:color w:val="003C64"/>
      <w:sz w:val="52"/>
      <w:lang w:val="nl-NL"/>
    </w:rPr>
  </w:style>
  <w:style w:type="paragraph" w:customStyle="1" w:styleId="title-inside">
    <w:name w:val="title-inside"/>
    <w:basedOn w:val="DefaultText"/>
    <w:pPr>
      <w:spacing w:line="600" w:lineRule="atLeast"/>
    </w:pPr>
    <w:rPr>
      <w:b/>
      <w:color w:val="006DB6"/>
      <w:sz w:val="48"/>
      <w:lang w:val="nl-NL"/>
    </w:rPr>
  </w:style>
  <w:style w:type="paragraph" w:styleId="TOAHeading">
    <w:name w:val="toa heading"/>
    <w:basedOn w:val="Normal"/>
    <w:next w:val="Normal"/>
    <w:pPr>
      <w:spacing w:before="120" w:after="0" w:line="280" w:lineRule="atLeast"/>
    </w:pPr>
    <w:rPr>
      <w:rFonts w:ascii="Arial" w:eastAsia="Times New Roman" w:hAnsi="Arial" w:cs="Arial"/>
      <w:b/>
      <w:bCs/>
      <w:szCs w:val="24"/>
      <w:lang w:val="nl-NL" w:eastAsia="nl-NL"/>
    </w:rPr>
  </w:style>
  <w:style w:type="paragraph" w:styleId="TOC5">
    <w:name w:val="toc 5"/>
    <w:basedOn w:val="Normal"/>
    <w:next w:val="Normal"/>
    <w:uiPriority w:val="99"/>
    <w:pPr>
      <w:tabs>
        <w:tab w:val="right" w:leader="dot" w:pos="8641"/>
      </w:tabs>
      <w:spacing w:before="240" w:after="120" w:line="259" w:lineRule="auto"/>
      <w:ind w:right="720"/>
      <w:jc w:val="both"/>
    </w:pPr>
    <w:rPr>
      <w:rFonts w:ascii="Verdana" w:eastAsia="Times New Roman" w:hAnsi="Verdana" w:cs="Times New Roman"/>
      <w:caps/>
      <w:sz w:val="18"/>
      <w:szCs w:val="20"/>
      <w:lang w:val="fr-FR"/>
    </w:rPr>
  </w:style>
  <w:style w:type="paragraph" w:styleId="TOC6">
    <w:name w:val="toc 6"/>
    <w:basedOn w:val="Normal"/>
    <w:next w:val="Normal"/>
    <w:autoRedefine/>
    <w:uiPriority w:val="99"/>
    <w:pPr>
      <w:spacing w:after="240" w:line="259" w:lineRule="auto"/>
      <w:ind w:left="1200"/>
      <w:jc w:val="both"/>
    </w:pPr>
    <w:rPr>
      <w:rFonts w:eastAsia="Times New Roman" w:cs="Times New Roman"/>
      <w:szCs w:val="20"/>
      <w:lang w:val="fr-FR"/>
    </w:rPr>
  </w:style>
  <w:style w:type="paragraph" w:styleId="TOC7">
    <w:name w:val="toc 7"/>
    <w:basedOn w:val="DefaultText"/>
    <w:next w:val="DefaultText"/>
    <w:autoRedefine/>
    <w:uiPriority w:val="39"/>
    <w:pPr>
      <w:tabs>
        <w:tab w:val="left" w:pos="340"/>
        <w:tab w:val="left" w:pos="680"/>
        <w:tab w:val="right" w:pos="7938"/>
      </w:tabs>
      <w:ind w:left="340"/>
    </w:pPr>
    <w:rPr>
      <w:sz w:val="18"/>
      <w:lang w:val="nl-NL"/>
    </w:rPr>
  </w:style>
  <w:style w:type="paragraph" w:styleId="TOC8">
    <w:name w:val="toc 8"/>
    <w:basedOn w:val="Normal"/>
    <w:next w:val="Normal"/>
    <w:autoRedefine/>
    <w:uiPriority w:val="39"/>
    <w:pPr>
      <w:spacing w:after="0" w:line="280" w:lineRule="atLeast"/>
      <w:ind w:left="1330"/>
    </w:pPr>
    <w:rPr>
      <w:rFonts w:ascii="Arial" w:eastAsia="Times New Roman" w:hAnsi="Arial" w:cs="Times New Roman"/>
      <w:sz w:val="18"/>
      <w:szCs w:val="24"/>
      <w:lang w:val="nl-NL" w:eastAsia="nl-NL"/>
    </w:rPr>
  </w:style>
  <w:style w:type="paragraph" w:styleId="TOC9">
    <w:name w:val="toc 9"/>
    <w:basedOn w:val="Normal"/>
    <w:next w:val="Normal"/>
    <w:autoRedefine/>
    <w:uiPriority w:val="39"/>
    <w:pPr>
      <w:spacing w:after="0" w:line="280" w:lineRule="atLeast"/>
      <w:ind w:left="1520"/>
    </w:pPr>
    <w:rPr>
      <w:rFonts w:ascii="Arial" w:eastAsia="Times New Roman" w:hAnsi="Arial" w:cs="Times New Roman"/>
      <w:sz w:val="18"/>
      <w:szCs w:val="24"/>
      <w:lang w:val="nl-NL" w:eastAsia="nl-NL"/>
    </w:rPr>
  </w:style>
  <w:style w:type="paragraph" w:customStyle="1" w:styleId="voettekst-titel-links">
    <w:name w:val="voettekst-titel-links"/>
    <w:basedOn w:val="DefaultText"/>
    <w:pPr>
      <w:spacing w:after="140" w:line="200" w:lineRule="atLeast"/>
    </w:pPr>
    <w:rPr>
      <w:sz w:val="14"/>
      <w:lang w:val="nl-NL"/>
    </w:rPr>
  </w:style>
  <w:style w:type="paragraph" w:customStyle="1" w:styleId="voettekst-titel-rechts">
    <w:name w:val="voettekst-titel-rechts"/>
    <w:basedOn w:val="DefaultText"/>
    <w:uiPriority w:val="99"/>
    <w:pPr>
      <w:spacing w:before="178" w:line="240" w:lineRule="atLeast"/>
      <w:ind w:right="851"/>
      <w:jc w:val="right"/>
    </w:pPr>
    <w:rPr>
      <w:sz w:val="14"/>
      <w:lang w:val="nl-NL"/>
    </w:rPr>
  </w:style>
  <w:style w:type="paragraph" w:customStyle="1" w:styleId="list-bullet-color">
    <w:name w:val="list-bullet-color"/>
    <w:basedOn w:val="DefaultText"/>
    <w:link w:val="list-bullet-colorChar"/>
    <w:pPr>
      <w:numPr>
        <w:numId w:val="34"/>
      </w:numPr>
    </w:pPr>
    <w:rPr>
      <w:sz w:val="18"/>
      <w:lang w:val="nl-NL"/>
    </w:rPr>
  </w:style>
  <w:style w:type="character" w:customStyle="1" w:styleId="list-bullet-colorChar">
    <w:name w:val="list-bullet-color Char"/>
    <w:basedOn w:val="DefaultTextChar"/>
    <w:link w:val="list-bullet-color"/>
    <w:locked/>
    <w:rPr>
      <w:rFonts w:ascii="Arial" w:eastAsia="Times New Roman" w:hAnsi="Arial" w:cs="Times New Roman"/>
      <w:sz w:val="18"/>
      <w:szCs w:val="24"/>
      <w:lang w:val="nl-NL" w:eastAsia="nl-NL"/>
    </w:rPr>
  </w:style>
  <w:style w:type="paragraph" w:customStyle="1" w:styleId="list-bullet-black">
    <w:name w:val="list-bullet-black"/>
    <w:basedOn w:val="DefaultText"/>
    <w:link w:val="list-bullet-blackChar"/>
    <w:pPr>
      <w:numPr>
        <w:numId w:val="35"/>
      </w:numPr>
    </w:pPr>
    <w:rPr>
      <w:sz w:val="18"/>
      <w:lang w:val="nl-NL"/>
    </w:rPr>
  </w:style>
  <w:style w:type="character" w:customStyle="1" w:styleId="list-bullet-blackChar">
    <w:name w:val="list-bullet-black Char"/>
    <w:basedOn w:val="DefaultTextChar"/>
    <w:link w:val="list-bullet-black"/>
    <w:locked/>
    <w:rPr>
      <w:rFonts w:ascii="Arial" w:eastAsia="Times New Roman" w:hAnsi="Arial" w:cs="Times New Roman"/>
      <w:sz w:val="18"/>
      <w:szCs w:val="24"/>
      <w:lang w:val="nl-NL" w:eastAsia="nl-NL"/>
    </w:rPr>
  </w:style>
  <w:style w:type="paragraph" w:customStyle="1" w:styleId="list-number-black">
    <w:name w:val="list-number-black"/>
    <w:basedOn w:val="DefaultText"/>
    <w:link w:val="list-number-blackChar"/>
    <w:pPr>
      <w:numPr>
        <w:numId w:val="36"/>
      </w:numPr>
    </w:pPr>
    <w:rPr>
      <w:sz w:val="18"/>
      <w:lang w:val="nl-NL"/>
    </w:rPr>
  </w:style>
  <w:style w:type="character" w:customStyle="1" w:styleId="list-number-blackChar">
    <w:name w:val="list-number-black Char"/>
    <w:basedOn w:val="DefaultTextChar"/>
    <w:link w:val="list-number-black"/>
    <w:locked/>
    <w:rPr>
      <w:rFonts w:ascii="Arial" w:eastAsia="Times New Roman" w:hAnsi="Arial" w:cs="Times New Roman"/>
      <w:sz w:val="18"/>
      <w:szCs w:val="24"/>
      <w:lang w:val="nl-NL" w:eastAsia="nl-NL"/>
    </w:rPr>
  </w:style>
  <w:style w:type="paragraph" w:customStyle="1" w:styleId="list-number-color">
    <w:name w:val="list-number-color"/>
    <w:basedOn w:val="DefaultText"/>
    <w:link w:val="list-number-colorChar"/>
    <w:pPr>
      <w:numPr>
        <w:numId w:val="37"/>
      </w:numPr>
    </w:pPr>
    <w:rPr>
      <w:sz w:val="18"/>
      <w:lang w:val="nl-NL"/>
    </w:rPr>
  </w:style>
  <w:style w:type="character" w:customStyle="1" w:styleId="list-number-colorChar">
    <w:name w:val="list-number-color Char"/>
    <w:basedOn w:val="DefaultTextChar"/>
    <w:link w:val="list-number-color"/>
    <w:locked/>
    <w:rPr>
      <w:rFonts w:ascii="Arial" w:eastAsia="Times New Roman" w:hAnsi="Arial" w:cs="Times New Roman"/>
      <w:sz w:val="18"/>
      <w:szCs w:val="24"/>
      <w:lang w:val="nl-NL" w:eastAsia="nl-NL"/>
    </w:rPr>
  </w:style>
  <w:style w:type="table" w:styleId="LightList-Accent1">
    <w:name w:val="Light List Accent 1"/>
    <w:basedOn w:val="TableNormal"/>
    <w:uiPriority w:val="61"/>
    <w:pPr>
      <w:spacing w:after="0" w:line="240" w:lineRule="auto"/>
    </w:pPr>
    <w:rPr>
      <w:rFonts w:eastAsia="Times New Roman" w:cs="Times New Roman"/>
      <w:lang w:val="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pPr>
      <w:spacing w:after="0" w:line="240" w:lineRule="auto"/>
    </w:pPr>
    <w:rPr>
      <w:rFonts w:ascii="Arial" w:eastAsia="Times New Roman" w:hAnsi="Arial" w:cs="Times New Roman"/>
      <w:sz w:val="18"/>
      <w:szCs w:val="24"/>
      <w:lang w:val="nl-NL" w:eastAsia="nl-NL"/>
    </w:rPr>
  </w:style>
  <w:style w:type="table" w:customStyle="1" w:styleId="ListTable4-Accent21">
    <w:name w:val="List Table 4 - Accent 2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
    <w:name w:val="Plain Table 11"/>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Accent11">
    <w:name w:val="Grid Table 4 - Accent 11"/>
    <w:basedOn w:val="TableNormal"/>
    <w:uiPriority w:val="49"/>
    <w:pPr>
      <w:spacing w:after="0" w:line="240" w:lineRule="auto"/>
    </w:pPr>
    <w:rPr>
      <w:rFonts w:eastAsia="Times New Roman" w:cs="Times New Roman"/>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Accent12">
    <w:name w:val="Grid Table 4 - Accent 12"/>
    <w:basedOn w:val="TableNormal"/>
    <w:uiPriority w:val="49"/>
    <w:pPr>
      <w:spacing w:after="0" w:line="240" w:lineRule="auto"/>
      <w:jc w:val="center"/>
    </w:pPr>
    <w:rPr>
      <w:rFonts w:ascii="Verdana" w:eastAsia="Times New Roman" w:hAnsi="Verdana"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rPr>
        <w:rFonts w:cs="Times New Roman"/>
        <w:b/>
        <w:bCs/>
        <w:color w:val="FFFFFF" w:themeColor="background1"/>
      </w:rPr>
      <w:tblPr/>
      <w:tcPr>
        <w:shd w:val="clear" w:color="auto" w:fill="002395"/>
      </w:tcPr>
    </w:tblStylePr>
    <w:tblStylePr w:type="lastRow">
      <w:rPr>
        <w:rFonts w:cs="Times New Roman"/>
        <w:b/>
        <w:bCs/>
      </w:rPr>
      <w:tblPr/>
      <w:tcPr>
        <w:tcBorders>
          <w:top w:val="double" w:sz="4" w:space="0" w:color="4F81BD" w:themeColor="accent1"/>
        </w:tcBorders>
      </w:tcPr>
    </w:tblStylePr>
    <w:tblStylePr w:type="firstCol">
      <w:rPr>
        <w:rFonts w:cs="Times New Roman"/>
        <w:b/>
        <w:bCs/>
      </w:rPr>
      <w:tblPr/>
      <w:tcPr>
        <w:shd w:val="clear" w:color="auto" w:fill="002395"/>
      </w:tcPr>
    </w:tblStylePr>
    <w:tblStylePr w:type="lastCol">
      <w:rPr>
        <w:rFonts w:cs="Times New Roman"/>
        <w:b w:val="0"/>
        <w:bCs/>
      </w:rPr>
    </w:tblStylePr>
    <w:tblStylePr w:type="band1Vert">
      <w:rPr>
        <w:rFonts w:cs="Times New Roman"/>
      </w:rPr>
      <w:tblPr/>
      <w:tcPr>
        <w:shd w:val="clear" w:color="auto" w:fill="F2F2F2"/>
      </w:tcPr>
    </w:tblStylePr>
    <w:tblStylePr w:type="band2Vert">
      <w:tblPr/>
      <w:tcPr>
        <w:shd w:val="clear" w:color="auto" w:fill="F2F2F2"/>
      </w:tcPr>
    </w:tblStylePr>
    <w:tblStylePr w:type="band1Horz">
      <w:rPr>
        <w:rFonts w:cs="Times New Roman"/>
      </w:rPr>
      <w:tblPr/>
      <w:tcPr>
        <w:shd w:val="clear" w:color="auto" w:fill="F2F2F2"/>
      </w:tcPr>
    </w:tblStylePr>
    <w:tblStylePr w:type="band2Horz">
      <w:tblPr/>
      <w:tcPr>
        <w:shd w:val="clear" w:color="auto" w:fill="F2F2F2"/>
      </w:tcPr>
    </w:tblStylePr>
  </w:style>
  <w:style w:type="table" w:customStyle="1" w:styleId="ListTable4-Accent11">
    <w:name w:val="List Table 4 - Accent 1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character" w:styleId="HTMLCite">
    <w:name w:val="HTML Cite"/>
    <w:basedOn w:val="DefaultParagraphFont"/>
    <w:uiPriority w:val="99"/>
    <w:semiHidden/>
    <w:unhideWhenUsed/>
    <w:rPr>
      <w:rFonts w:cs="Times New Roman"/>
      <w:i/>
      <w:iCs/>
    </w:rPr>
  </w:style>
  <w:style w:type="numbering" w:customStyle="1" w:styleId="list-heading-blue">
    <w:name w:val="list-heading-blue"/>
    <w:pPr>
      <w:numPr>
        <w:numId w:val="33"/>
      </w:numPr>
    </w:pPr>
  </w:style>
  <w:style w:type="paragraph" w:customStyle="1" w:styleId="Paragrafoelenco1">
    <w:name w:val="Paragrafo elenco1"/>
    <w:basedOn w:val="Normal"/>
    <w:pPr>
      <w:spacing w:after="0"/>
      <w:ind w:left="720"/>
      <w:contextualSpacing/>
    </w:pPr>
    <w:rPr>
      <w:rFonts w:eastAsia="Times New Roman"/>
      <w:snapToGrid w:val="0"/>
      <w:lang w:val="en-US"/>
    </w:rPr>
  </w:style>
  <w:style w:type="table" w:customStyle="1" w:styleId="ECStyle">
    <w:name w:val="EC Style"/>
    <w:basedOn w:val="TableNormal"/>
    <w:uiPriority w:val="49"/>
    <w:pPr>
      <w:spacing w:after="0" w:line="240" w:lineRule="auto"/>
      <w:jc w:val="center"/>
    </w:pPr>
    <w:rPr>
      <w:rFonts w:ascii="Verdana" w:eastAsia="Times New Roman" w:hAnsi="Verdana" w:cs="Times New Roman"/>
      <w:lang w:val="en-US"/>
    </w:rPr>
    <w:tblPr>
      <w:tblStyleRowBandSize w:val="1"/>
      <w:tblStyleColBandSize w:val="1"/>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FFFFFF" w:themeFill="background1"/>
      <w:vAlign w:val="center"/>
    </w:tc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Accent121">
    <w:name w:val="Grid Table 4 - Accent 12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6DC5B6"/>
        <w:left w:val="single" w:sz="4" w:space="0" w:color="6DC5B6"/>
        <w:bottom w:val="single" w:sz="4" w:space="0" w:color="6DC5B6"/>
        <w:right w:val="single" w:sz="4" w:space="0" w:color="6DC5B6"/>
        <w:insideH w:val="single" w:sz="4" w:space="0" w:color="6DC5B6"/>
        <w:insideV w:val="single" w:sz="4" w:space="0" w:color="6DC5B6"/>
      </w:tblBorders>
    </w:tblPr>
    <w:tblStylePr w:type="firstRow">
      <w:rPr>
        <w:rFonts w:cs="Times New Roman"/>
        <w:b/>
        <w:bCs/>
        <w:color w:val="FFFFFF"/>
      </w:rPr>
      <w:tblPr/>
      <w:tcPr>
        <w:tcBorders>
          <w:top w:val="single" w:sz="4" w:space="0" w:color="317C6F"/>
          <w:left w:val="single" w:sz="4" w:space="0" w:color="317C6F"/>
          <w:bottom w:val="single" w:sz="4" w:space="0" w:color="317C6F"/>
          <w:right w:val="single" w:sz="4" w:space="0" w:color="317C6F"/>
          <w:insideH w:val="nil"/>
          <w:insideV w:val="nil"/>
        </w:tcBorders>
        <w:shd w:val="clear" w:color="auto" w:fill="317C6F"/>
      </w:tcPr>
    </w:tblStylePr>
    <w:tblStylePr w:type="lastRow">
      <w:rPr>
        <w:rFonts w:cs="Times New Roman"/>
        <w:b/>
        <w:bCs/>
      </w:rPr>
      <w:tblPr/>
      <w:tcPr>
        <w:tcBorders>
          <w:top w:val="double" w:sz="4" w:space="0" w:color="317C6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EBE6"/>
      </w:tcPr>
    </w:tblStylePr>
    <w:tblStylePr w:type="band1Horz">
      <w:rPr>
        <w:rFonts w:cs="Times New Roman"/>
      </w:rPr>
      <w:tblPr/>
      <w:tcPr>
        <w:shd w:val="clear" w:color="auto" w:fill="CEEBE6"/>
      </w:tcPr>
    </w:tblStylePr>
  </w:style>
  <w:style w:type="table" w:customStyle="1" w:styleId="GridTable4-Accent122">
    <w:name w:val="Grid Table 4 - Accent 12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6DC5B6"/>
        <w:left w:val="single" w:sz="4" w:space="0" w:color="6DC5B6"/>
        <w:bottom w:val="single" w:sz="4" w:space="0" w:color="6DC5B6"/>
        <w:right w:val="single" w:sz="4" w:space="0" w:color="6DC5B6"/>
        <w:insideH w:val="single" w:sz="4" w:space="0" w:color="6DC5B6"/>
        <w:insideV w:val="single" w:sz="4" w:space="0" w:color="6DC5B6"/>
      </w:tblBorders>
    </w:tblPr>
    <w:tblStylePr w:type="firstRow">
      <w:rPr>
        <w:rFonts w:cs="Times New Roman"/>
        <w:b/>
        <w:bCs/>
        <w:color w:val="FFFFFF"/>
      </w:rPr>
      <w:tblPr/>
      <w:tcPr>
        <w:tcBorders>
          <w:top w:val="single" w:sz="4" w:space="0" w:color="317C6F"/>
          <w:left w:val="single" w:sz="4" w:space="0" w:color="317C6F"/>
          <w:bottom w:val="single" w:sz="4" w:space="0" w:color="317C6F"/>
          <w:right w:val="single" w:sz="4" w:space="0" w:color="317C6F"/>
          <w:insideH w:val="nil"/>
          <w:insideV w:val="nil"/>
        </w:tcBorders>
        <w:shd w:val="clear" w:color="auto" w:fill="317C6F"/>
      </w:tcPr>
    </w:tblStylePr>
    <w:tblStylePr w:type="lastRow">
      <w:rPr>
        <w:rFonts w:cs="Times New Roman"/>
        <w:b/>
        <w:bCs/>
      </w:rPr>
      <w:tblPr/>
      <w:tcPr>
        <w:tcBorders>
          <w:top w:val="double" w:sz="4" w:space="0" w:color="317C6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EBE6"/>
      </w:tcPr>
    </w:tblStylePr>
    <w:tblStylePr w:type="band1Horz">
      <w:rPr>
        <w:rFonts w:cs="Times New Roman"/>
      </w:rPr>
      <w:tblPr/>
      <w:tcPr>
        <w:shd w:val="clear" w:color="auto" w:fill="CEEBE6"/>
      </w:tcPr>
    </w:tblStylePr>
  </w:style>
  <w:style w:type="paragraph" w:customStyle="1" w:styleId="Standardnummer">
    <w:name w:val="Standardnummer"/>
    <w:pPr>
      <w:numPr>
        <w:numId w:val="38"/>
      </w:numPr>
      <w:spacing w:before="120" w:after="0" w:line="290" w:lineRule="atLeast"/>
      <w:jc w:val="both"/>
    </w:pPr>
    <w:rPr>
      <w:rFonts w:ascii="Arial" w:eastAsia="Times New Roman" w:hAnsi="Arial" w:cs="Times New Roman"/>
      <w:lang w:val="de-DE" w:eastAsia="de-DE"/>
    </w:rPr>
  </w:style>
  <w:style w:type="paragraph" w:customStyle="1" w:styleId="Standardnummer1ohne">
    <w:name w:val="Standardnummer1ohne"/>
    <w:basedOn w:val="Standardnummer"/>
    <w:pPr>
      <w:numPr>
        <w:ilvl w:val="1"/>
      </w:numPr>
    </w:pPr>
  </w:style>
  <w:style w:type="paragraph" w:customStyle="1" w:styleId="Standardnummer2">
    <w:name w:val="Standardnummer2"/>
    <w:basedOn w:val="Standardnummer"/>
    <w:pPr>
      <w:numPr>
        <w:ilvl w:val="2"/>
      </w:numPr>
    </w:pPr>
  </w:style>
  <w:style w:type="paragraph" w:customStyle="1" w:styleId="Standardnummer2ohne">
    <w:name w:val="Standardnummer2ohne"/>
    <w:basedOn w:val="Standardnummer2"/>
    <w:pPr>
      <w:numPr>
        <w:ilvl w:val="3"/>
      </w:numPr>
    </w:pPr>
  </w:style>
  <w:style w:type="paragraph" w:customStyle="1" w:styleId="Standardnummer3">
    <w:name w:val="Standardnummer3"/>
    <w:basedOn w:val="Standardnummer2"/>
    <w:pPr>
      <w:numPr>
        <w:ilvl w:val="4"/>
      </w:numPr>
    </w:pPr>
  </w:style>
  <w:style w:type="paragraph" w:customStyle="1" w:styleId="Standardnummer3ohne">
    <w:name w:val="Standardnummer3ohne"/>
    <w:basedOn w:val="Standardnummer3"/>
    <w:pPr>
      <w:numPr>
        <w:ilvl w:val="5"/>
      </w:numPr>
    </w:pPr>
  </w:style>
  <w:style w:type="paragraph" w:customStyle="1" w:styleId="Standardnummer4">
    <w:name w:val="Standardnummer4"/>
    <w:basedOn w:val="Standardnummer3"/>
    <w:pPr>
      <w:numPr>
        <w:ilvl w:val="6"/>
      </w:numPr>
    </w:pPr>
  </w:style>
  <w:style w:type="paragraph" w:customStyle="1" w:styleId="Standardnummer4ohne">
    <w:name w:val="Standardnummer4ohne"/>
    <w:basedOn w:val="Standardnummer4"/>
    <w:pPr>
      <w:numPr>
        <w:ilvl w:val="7"/>
      </w:numPr>
    </w:pPr>
  </w:style>
  <w:style w:type="numbering" w:customStyle="1" w:styleId="StandardNummerierungenListe">
    <w:name w:val="StandardNummerierungenListe"/>
    <w:basedOn w:val="NoList"/>
    <w:pPr>
      <w:numPr>
        <w:numId w:val="38"/>
      </w:numPr>
    </w:pPr>
  </w:style>
  <w:style w:type="table" w:customStyle="1" w:styleId="GridTable5Dark-Accent215">
    <w:name w:val="Grid Table 5 Dark - Accent 215"/>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2">
    <w:name w:val="Grid Table 4 - Accent 21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ghtList-Accent11">
    <w:name w:val="Light List - Accent 11"/>
    <w:basedOn w:val="TableNormal"/>
    <w:uiPriority w:val="61"/>
    <w:pPr>
      <w:spacing w:after="0" w:line="240" w:lineRule="auto"/>
    </w:pPr>
    <w:rPr>
      <w:rFonts w:eastAsia="Times New Roman" w:cs="Times New Roman"/>
      <w:lang w:val="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Table4-Accent212">
    <w:name w:val="List Table 4 - Accent 21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2">
    <w:name w:val="Plain Table 112"/>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2">
    <w:name w:val="List Table 4 - Accent 11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ListTable4-Accent12">
    <w:name w:val="List Table 4 - Accent 12"/>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3">
    <w:name w:val="List Table 4 - Accent 13"/>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3">
    <w:name w:val="Grid Table 4 - Accent 123"/>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6DC5B6"/>
        <w:left w:val="single" w:sz="4" w:space="0" w:color="6DC5B6"/>
        <w:bottom w:val="single" w:sz="4" w:space="0" w:color="6DC5B6"/>
        <w:right w:val="single" w:sz="4" w:space="0" w:color="6DC5B6"/>
        <w:insideH w:val="single" w:sz="4" w:space="0" w:color="6DC5B6"/>
        <w:insideV w:val="single" w:sz="4" w:space="0" w:color="6DC5B6"/>
      </w:tblBorders>
    </w:tblPr>
    <w:tblStylePr w:type="firstRow">
      <w:rPr>
        <w:rFonts w:cs="Times New Roman"/>
        <w:b/>
        <w:bCs/>
        <w:color w:val="FFFFFF"/>
      </w:rPr>
      <w:tblPr/>
      <w:tcPr>
        <w:tcBorders>
          <w:top w:val="single" w:sz="4" w:space="0" w:color="317C6F"/>
          <w:left w:val="single" w:sz="4" w:space="0" w:color="317C6F"/>
          <w:bottom w:val="single" w:sz="4" w:space="0" w:color="317C6F"/>
          <w:right w:val="single" w:sz="4" w:space="0" w:color="317C6F"/>
          <w:insideH w:val="nil"/>
          <w:insideV w:val="nil"/>
        </w:tcBorders>
        <w:shd w:val="clear" w:color="auto" w:fill="317C6F"/>
      </w:tcPr>
    </w:tblStylePr>
    <w:tblStylePr w:type="lastRow">
      <w:rPr>
        <w:rFonts w:cs="Times New Roman"/>
        <w:b/>
        <w:bCs/>
      </w:rPr>
      <w:tblPr/>
      <w:tcPr>
        <w:tcBorders>
          <w:top w:val="double" w:sz="4" w:space="0" w:color="317C6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EBE6"/>
      </w:tcPr>
    </w:tblStylePr>
    <w:tblStylePr w:type="band1Horz">
      <w:rPr>
        <w:rFonts w:cs="Times New Roman"/>
      </w:rPr>
      <w:tblPr/>
      <w:tcPr>
        <w:shd w:val="clear" w:color="auto" w:fill="CEEBE6"/>
      </w:tcPr>
    </w:tblStylePr>
  </w:style>
  <w:style w:type="table" w:customStyle="1" w:styleId="GridTable4-Accent124">
    <w:name w:val="Grid Table 4 - Accent 124"/>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6DC5B6"/>
        <w:left w:val="single" w:sz="4" w:space="0" w:color="6DC5B6"/>
        <w:bottom w:val="single" w:sz="4" w:space="0" w:color="6DC5B6"/>
        <w:right w:val="single" w:sz="4" w:space="0" w:color="6DC5B6"/>
        <w:insideH w:val="single" w:sz="4" w:space="0" w:color="6DC5B6"/>
        <w:insideV w:val="single" w:sz="4" w:space="0" w:color="6DC5B6"/>
      </w:tblBorders>
    </w:tblPr>
    <w:tblStylePr w:type="firstRow">
      <w:rPr>
        <w:rFonts w:cs="Times New Roman"/>
        <w:b/>
        <w:bCs/>
        <w:color w:val="FFFFFF"/>
      </w:rPr>
      <w:tblPr/>
      <w:tcPr>
        <w:tcBorders>
          <w:top w:val="single" w:sz="4" w:space="0" w:color="317C6F"/>
          <w:left w:val="single" w:sz="4" w:space="0" w:color="317C6F"/>
          <w:bottom w:val="single" w:sz="4" w:space="0" w:color="317C6F"/>
          <w:right w:val="single" w:sz="4" w:space="0" w:color="317C6F"/>
          <w:insideH w:val="nil"/>
          <w:insideV w:val="nil"/>
        </w:tcBorders>
        <w:shd w:val="clear" w:color="auto" w:fill="317C6F"/>
      </w:tcPr>
    </w:tblStylePr>
    <w:tblStylePr w:type="lastRow">
      <w:rPr>
        <w:rFonts w:cs="Times New Roman"/>
        <w:b/>
        <w:bCs/>
      </w:rPr>
      <w:tblPr/>
      <w:tcPr>
        <w:tcBorders>
          <w:top w:val="double" w:sz="4" w:space="0" w:color="317C6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EBE6"/>
      </w:tcPr>
    </w:tblStylePr>
    <w:tblStylePr w:type="band1Horz">
      <w:rPr>
        <w:rFonts w:cs="Times New Roman"/>
      </w:rPr>
      <w:tblPr/>
      <w:tcPr>
        <w:shd w:val="clear" w:color="auto" w:fill="CEEBE6"/>
      </w:tcPr>
    </w:tblStylePr>
  </w:style>
  <w:style w:type="table" w:customStyle="1" w:styleId="TableGrid1">
    <w:name w:val="Table Grid1"/>
    <w:basedOn w:val="TableNormal"/>
    <w:next w:val="TableGrid"/>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style>
  <w:style w:type="table" w:customStyle="1" w:styleId="GridTable41">
    <w:name w:val="Grid Table 41"/>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rPr>
      <w:color w:val="808080"/>
    </w:rPr>
  </w:style>
  <w:style w:type="table" w:customStyle="1" w:styleId="GridTable42">
    <w:name w:val="Grid Table 42"/>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5">
    <w:name w:val="Table Grid5"/>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Classic2">
    <w:name w:val="Table Classic 2"/>
    <w:basedOn w:val="TableNormal"/>
    <w:pPr>
      <w:spacing w:after="10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bodycopy1">
    <w:name w:val="bodycopy1"/>
    <w:basedOn w:val="DefaultParagraphFont"/>
    <w:rPr>
      <w:rFonts w:ascii="Verdana" w:hAnsi="Verdana" w:hint="default"/>
      <w:b w:val="0"/>
      <w:bCs w:val="0"/>
      <w:strike w:val="0"/>
      <w:dstrike w:val="0"/>
      <w:color w:val="000000"/>
      <w:sz w:val="17"/>
      <w:szCs w:val="17"/>
      <w:u w:val="none"/>
      <w:effect w:val="none"/>
    </w:rPr>
  </w:style>
  <w:style w:type="character" w:customStyle="1" w:styleId="Data1">
    <w:name w:val="Data1"/>
    <w:basedOn w:val="DefaultParagraphFont"/>
  </w:style>
  <w:style w:type="character" w:customStyle="1" w:styleId="highlight">
    <w:name w:val="highlight"/>
    <w:basedOn w:val="DefaultParagraphFont"/>
  </w:style>
  <w:style w:type="character" w:customStyle="1" w:styleId="st">
    <w:name w:val="st"/>
    <w:basedOn w:val="DefaultParagraphFont"/>
  </w:style>
  <w:style w:type="character" w:styleId="Emphasis">
    <w:name w:val="Emphasis"/>
    <w:aliases w:val="Highlight 2,Mise en valeur"/>
    <w:basedOn w:val="DefaultParagraphFont"/>
    <w:uiPriority w:val="99"/>
    <w:qFormat/>
    <w:rPr>
      <w:i/>
      <w:iCs/>
    </w:rPr>
  </w:style>
  <w:style w:type="table" w:customStyle="1" w:styleId="TableGrid6">
    <w:name w:val="Table Grid6"/>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2">
    <w:name w:val="Grid Table 422"/>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2">
    <w:name w:val="List Table 3 - Accent 112"/>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5Dark-Accent12">
    <w:name w:val="Grid Table 5 Dark - Accent 12"/>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5Dark-Accent22">
    <w:name w:val="Grid Table 5 Dark - Accent 22"/>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2">
    <w:name w:val="Grid Table 4 - Accent 2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2">
    <w:name w:val="List Table 4 - Accent 2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2">
    <w:name w:val="Plain Table 12"/>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Accent13">
    <w:name w:val="Grid Table 4 - Accent 13"/>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ListTable4-Accent14">
    <w:name w:val="List Table 4 - Accent 14"/>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3">
    <w:name w:val="Grid Table 43"/>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2">
    <w:name w:val="List Table 3 - Accent 12"/>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EPS3">
    <w:name w:val="EPS3"/>
    <w:basedOn w:val="TableNormal"/>
    <w:uiPriority w:val="63"/>
    <w:pPr>
      <w:spacing w:after="0" w:line="240" w:lineRule="auto"/>
    </w:pPr>
    <w:rPr>
      <w:rFonts w:ascii="Cambria" w:eastAsia="Times New Roman" w:hAnsi="Cambria" w:cs="Times New Roman"/>
      <w:sz w:val="24"/>
      <w:szCs w:val="24"/>
      <w:lang w:val="it-IT"/>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2">
    <w:name w:val="Table Grid12"/>
    <w:basedOn w:val="TableNormal"/>
    <w:next w:val="TableGrid"/>
    <w:uiPriority w:val="39"/>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0">
    <w:name w:val="Grid Table 5 Dark - Accent 11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
    <w:name w:val="Grid Table 4 - Accent 12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
    <w:name w:val="Grid Table 5 Dark - Accent 21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
    <w:name w:val="Grid Table 4 - Accent 21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
    <w:name w:val="List Table 4 - Accent 21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
    <w:name w:val="Plain Table 11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
    <w:name w:val="List Table 4 - Accent 11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
    <w:name w:val="Grid Table 42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e">
    <w:name w:val="spelle"/>
    <w:basedOn w:val="DefaultParagraphFont"/>
  </w:style>
  <w:style w:type="table" w:customStyle="1" w:styleId="GridTable5Dark-Accent1100">
    <w:name w:val="Grid Table 5 Dark - Accent 110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0">
    <w:name w:val="Grid Table 4 - Accent 12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0">
    <w:name w:val="Grid Table 5 Dark - Accent 210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0">
    <w:name w:val="Grid Table 4 - Accent 21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0">
    <w:name w:val="List Table 4 - Accent 21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0">
    <w:name w:val="Plain Table 110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0">
    <w:name w:val="List Table 4 - Accent 11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0">
    <w:name w:val="Grid Table 420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1000">
    <w:name w:val="Grid Table 5 Dark - Accent 1100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00">
    <w:name w:val="Grid Table 4 - Accent 12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00">
    <w:name w:val="Grid Table 5 Dark - Accent 2100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00">
    <w:name w:val="Grid Table 4 - Accent 21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00">
    <w:name w:val="List Table 4 - Accent 21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00">
    <w:name w:val="Plain Table 1100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00">
    <w:name w:val="List Table 4 - Accent 11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00">
    <w:name w:val="Grid Table 4200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10000">
    <w:name w:val="Grid Table 5 Dark - Accent 11000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000">
    <w:name w:val="Grid Table 4 - Accent 12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000">
    <w:name w:val="Grid Table 5 Dark - Accent 21000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000">
    <w:name w:val="Grid Table 4 - Accent 21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000">
    <w:name w:val="List Table 4 - Accent 21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000">
    <w:name w:val="Plain Table 11000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000">
    <w:name w:val="List Table 4 - Accent 11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000">
    <w:name w:val="Grid Table 42000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100000">
    <w:name w:val="Grid Table 5 Dark - Accent 110000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0000">
    <w:name w:val="Grid Table 4 - Accent 120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0000">
    <w:name w:val="Grid Table 5 Dark - Accent 210000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0000">
    <w:name w:val="Grid Table 4 - Accent 210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0000">
    <w:name w:val="List Table 4 - Accent 210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0000">
    <w:name w:val="Plain Table 110000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0000">
    <w:name w:val="List Table 4 - Accent 110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0000">
    <w:name w:val="Grid Table 420000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aliases w:val="WS No Spacing After Char"/>
    <w:basedOn w:val="DefaultParagraphFont"/>
    <w:link w:val="NoSpacing"/>
    <w:uiPriority w:val="1"/>
    <w:rPr>
      <w:rFonts w:ascii="Georgia" w:eastAsia="Times New Roman" w:hAnsi="Georgia" w:cs="Times New Roman"/>
      <w:lang w:val="en-US"/>
    </w:rPr>
  </w:style>
  <w:style w:type="character" w:customStyle="1" w:styleId="Policepardfaut">
    <w:name w:val="Police par défaut"/>
    <w:basedOn w:val="DefaultParagraphFont"/>
  </w:style>
  <w:style w:type="paragraph" w:customStyle="1" w:styleId="Paragraphedeliste">
    <w:name w:val="Paragraphe de liste"/>
    <w:basedOn w:val="Normal"/>
    <w:pPr>
      <w:autoSpaceDN w:val="0"/>
      <w:spacing w:after="160" w:line="252" w:lineRule="auto"/>
      <w:ind w:left="720"/>
    </w:pPr>
    <w:rPr>
      <w:rFonts w:ascii="Calibri" w:hAnsi="Calibri" w:cs="Times New Roman"/>
      <w:sz w:val="20"/>
      <w:lang w:val="en-GB"/>
    </w:rPr>
  </w:style>
  <w:style w:type="character" w:customStyle="1" w:styleId="Hyperlink1">
    <w:name w:val="Hyperlink1"/>
    <w:basedOn w:val="DefaultParagraphFont"/>
    <w:uiPriority w:val="99"/>
    <w:unhideWhenUsed/>
    <w:rPr>
      <w:rFonts w:cs="Times New Roman"/>
      <w:color w:val="6B9F25"/>
      <w:u w:val="single"/>
    </w:rPr>
  </w:style>
  <w:style w:type="paragraph" w:customStyle="1" w:styleId="Body">
    <w:name w:val="Body"/>
    <w:basedOn w:val="Normal"/>
    <w:link w:val="BodyChar"/>
    <w:pPr>
      <w:spacing w:after="240" w:line="259" w:lineRule="auto"/>
    </w:pPr>
    <w:rPr>
      <w:rFonts w:ascii="Verdana" w:eastAsia="Times New Roman" w:hAnsi="Verdana" w:cs="Times New Roman"/>
      <w:sz w:val="18"/>
      <w:szCs w:val="20"/>
      <w:lang w:val="fr-FR"/>
    </w:rPr>
  </w:style>
  <w:style w:type="character" w:customStyle="1" w:styleId="BodyChar">
    <w:name w:val="Body Char"/>
    <w:link w:val="Body"/>
    <w:rPr>
      <w:rFonts w:ascii="Verdana" w:eastAsia="Times New Roman" w:hAnsi="Verdana" w:cs="Times New Roman"/>
      <w:sz w:val="18"/>
      <w:szCs w:val="20"/>
      <w:lang w:val="fr-FR"/>
    </w:rPr>
  </w:style>
  <w:style w:type="paragraph" w:customStyle="1" w:styleId="BulletPoint2">
    <w:name w:val="Bullet Point 2"/>
    <w:basedOn w:val="NormalIndent"/>
    <w:link w:val="BulletPoint2Char"/>
    <w:qFormat/>
    <w:pPr>
      <w:numPr>
        <w:numId w:val="39"/>
      </w:numPr>
      <w:spacing w:after="120"/>
    </w:pPr>
    <w:rPr>
      <w:lang w:val="fr-FR"/>
    </w:rPr>
  </w:style>
  <w:style w:type="character" w:customStyle="1" w:styleId="BulletPoint2Char">
    <w:name w:val="Bullet Point 2 Char"/>
    <w:link w:val="BulletPoint2"/>
    <w:rPr>
      <w:rFonts w:ascii="Verdana" w:eastAsia="Times New Roman" w:hAnsi="Verdana" w:cs="Times New Roman"/>
      <w:sz w:val="20"/>
      <w:szCs w:val="20"/>
      <w:lang w:val="fr-FR"/>
    </w:rPr>
  </w:style>
  <w:style w:type="paragraph" w:styleId="NormalIndent">
    <w:name w:val="Normal Indent"/>
    <w:basedOn w:val="Normal"/>
    <w:uiPriority w:val="99"/>
    <w:unhideWhenUsed/>
    <w:pPr>
      <w:spacing w:line="259" w:lineRule="auto"/>
      <w:ind w:left="720"/>
      <w:jc w:val="both"/>
    </w:pPr>
    <w:rPr>
      <w:rFonts w:ascii="Verdana" w:eastAsia="Times New Roman" w:hAnsi="Verdana" w:cs="Times New Roman"/>
      <w:sz w:val="20"/>
      <w:szCs w:val="20"/>
      <w:lang w:val="en-US"/>
    </w:rPr>
  </w:style>
  <w:style w:type="paragraph" w:customStyle="1" w:styleId="Bulletpoint1">
    <w:name w:val="Bullet point1"/>
    <w:basedOn w:val="NormalIndent"/>
    <w:link w:val="Bulletpoint1Char"/>
    <w:qFormat/>
    <w:pPr>
      <w:numPr>
        <w:numId w:val="40"/>
      </w:numPr>
      <w:spacing w:after="120"/>
    </w:pPr>
    <w:rPr>
      <w:lang w:val="fr-FR"/>
    </w:rPr>
  </w:style>
  <w:style w:type="character" w:customStyle="1" w:styleId="Bulletpoint1Char">
    <w:name w:val="Bullet point1 Char"/>
    <w:basedOn w:val="DefaultParagraphFont"/>
    <w:link w:val="Bulletpoint1"/>
    <w:rPr>
      <w:rFonts w:ascii="Verdana" w:eastAsia="Times New Roman" w:hAnsi="Verdana" w:cs="Times New Roman"/>
      <w:sz w:val="20"/>
      <w:szCs w:val="20"/>
      <w:lang w:val="fr-FR"/>
    </w:rPr>
  </w:style>
  <w:style w:type="table" w:customStyle="1" w:styleId="ECSTYLE0">
    <w:name w:val="EC STYLE"/>
    <w:basedOn w:val="TableNormal"/>
    <w:uiPriority w:val="49"/>
    <w:pPr>
      <w:spacing w:after="0" w:line="240" w:lineRule="auto"/>
    </w:pPr>
    <w:rPr>
      <w:rFonts w:ascii="Verdana" w:eastAsia="Times New Roman" w:hAnsi="Verdana" w:cs="Times New Roman"/>
      <w:sz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vAlign w:val="center"/>
    </w:tcPr>
    <w:tblStylePr w:type="firstRow">
      <w:rPr>
        <w:rFonts w:ascii="Verdana" w:hAnsi="Verdana" w:cs="Times New Roman"/>
        <w:b/>
        <w:bCs/>
        <w:color w:val="FFFFFF" w:themeColor="background1"/>
        <w:sz w:val="20"/>
      </w:rPr>
      <w:tblPr/>
      <w:tcPr>
        <w:shd w:val="clear" w:color="auto" w:fill="002395"/>
      </w:tcPr>
    </w:tblStylePr>
    <w:tblStylePr w:type="lastRow">
      <w:rPr>
        <w:rFonts w:cs="Times New Roman"/>
        <w:b/>
        <w:bCs/>
      </w:rPr>
      <w:tblPr/>
      <w:tcPr>
        <w:tcBorders>
          <w:top w:val="double" w:sz="4" w:space="0" w:color="317C6F"/>
        </w:tcBorders>
      </w:tcPr>
    </w:tblStylePr>
    <w:tblStylePr w:type="firstCol">
      <w:rPr>
        <w:rFonts w:ascii="Verdana" w:hAnsi="Verdana" w:cs="Times New Roman"/>
        <w:b w:val="0"/>
        <w:bCs/>
        <w:sz w:val="20"/>
      </w:rPr>
      <w:tblPr/>
      <w:tcPr>
        <w:shd w:val="clear" w:color="auto" w:fill="002395"/>
      </w:tcPr>
    </w:tblStylePr>
    <w:tblStylePr w:type="lastCol">
      <w:rPr>
        <w:rFonts w:ascii="Verdana" w:hAnsi="Verdana" w:cs="Times New Roman"/>
        <w:b w:val="0"/>
        <w:bCs/>
        <w:sz w:val="20"/>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band2Horz">
      <w:tblPr/>
      <w:tcPr>
        <w:shd w:val="clear" w:color="auto" w:fill="F2F2F2"/>
      </w:tcPr>
    </w:tblStylePr>
  </w:style>
  <w:style w:type="table" w:customStyle="1" w:styleId="ecstyle2">
    <w:name w:val="ecstyle 2"/>
    <w:basedOn w:val="TableNormal"/>
    <w:uiPriority w:val="99"/>
    <w:pPr>
      <w:spacing w:after="0" w:line="240" w:lineRule="auto"/>
    </w:pPr>
    <w:rPr>
      <w:rFonts w:eastAsia="Times New Roman" w:cstheme="minorHAnsi"/>
      <w:lang w:val="en-US"/>
    </w:rPr>
    <w:tblPr/>
  </w:style>
  <w:style w:type="character" w:customStyle="1" w:styleId="FooterDateChar">
    <w:name w:val="Footer Date Char"/>
    <w:link w:val="FooterDate"/>
    <w:locked/>
    <w:rPr>
      <w:rFonts w:ascii="Verdana" w:hAnsi="Verdana" w:cs="Times New Roman"/>
      <w:sz w:val="16"/>
      <w:szCs w:val="20"/>
      <w:lang w:val="it-IT"/>
    </w:rPr>
  </w:style>
  <w:style w:type="paragraph" w:customStyle="1" w:styleId="FooterDate">
    <w:name w:val="Footer Date"/>
    <w:basedOn w:val="Footer"/>
    <w:link w:val="FooterDateChar"/>
    <w:pPr>
      <w:tabs>
        <w:tab w:val="clear" w:pos="4535"/>
        <w:tab w:val="clear" w:pos="9071"/>
        <w:tab w:val="clear" w:pos="9921"/>
        <w:tab w:val="right" w:pos="9240"/>
      </w:tabs>
      <w:spacing w:before="0" w:line="259" w:lineRule="auto"/>
      <w:ind w:left="0" w:right="-567"/>
    </w:pPr>
    <w:rPr>
      <w:rFonts w:ascii="Verdana" w:hAnsi="Verdana"/>
      <w:sz w:val="16"/>
      <w:szCs w:val="20"/>
      <w:lang w:val="it-IT"/>
    </w:rPr>
  </w:style>
  <w:style w:type="paragraph" w:customStyle="1" w:styleId="ZDGName">
    <w:name w:val="Z_DGName"/>
    <w:basedOn w:val="Normal"/>
    <w:pPr>
      <w:widowControl w:val="0"/>
      <w:autoSpaceDE w:val="0"/>
      <w:autoSpaceDN w:val="0"/>
      <w:spacing w:after="0" w:line="259" w:lineRule="auto"/>
      <w:ind w:right="85"/>
    </w:pPr>
    <w:rPr>
      <w:rFonts w:ascii="Arial" w:eastAsia="Times New Roman" w:hAnsi="Arial" w:cs="Arial"/>
      <w:sz w:val="16"/>
      <w:szCs w:val="16"/>
      <w:lang w:val="fr-FR" w:eastAsia="en-GB"/>
    </w:rPr>
  </w:style>
  <w:style w:type="paragraph" w:customStyle="1" w:styleId="ZCom">
    <w:name w:val="Z_Com"/>
    <w:basedOn w:val="Normal"/>
    <w:next w:val="ZDGName"/>
    <w:pPr>
      <w:widowControl w:val="0"/>
      <w:autoSpaceDE w:val="0"/>
      <w:autoSpaceDN w:val="0"/>
      <w:spacing w:after="0" w:line="259" w:lineRule="auto"/>
      <w:ind w:right="85"/>
      <w:jc w:val="both"/>
    </w:pPr>
    <w:rPr>
      <w:rFonts w:ascii="Arial" w:eastAsia="Times New Roman" w:hAnsi="Arial" w:cs="Arial"/>
      <w:szCs w:val="24"/>
      <w:lang w:val="fr-FR" w:eastAsia="en-GB"/>
    </w:rPr>
  </w:style>
  <w:style w:type="paragraph" w:styleId="ListBullet3">
    <w:name w:val="List Bullet 3"/>
    <w:aliases w:val="Enum3,Liste 31,KS ListBullet Level 3"/>
    <w:basedOn w:val="Normal"/>
    <w:uiPriority w:val="99"/>
    <w:unhideWhenUsed/>
    <w:pPr>
      <w:numPr>
        <w:numId w:val="41"/>
      </w:numPr>
      <w:spacing w:line="259" w:lineRule="auto"/>
      <w:contextualSpacing/>
      <w:jc w:val="both"/>
    </w:pPr>
    <w:rPr>
      <w:rFonts w:ascii="Verdana" w:eastAsia="Times New Roman" w:hAnsi="Verdana" w:cs="Times New Roman"/>
      <w:sz w:val="20"/>
      <w:szCs w:val="20"/>
      <w:lang w:val="en-US"/>
    </w:rPr>
  </w:style>
  <w:style w:type="table" w:customStyle="1" w:styleId="GridTable5Dark-Accent1101">
    <w:name w:val="Grid Table 5 Dark - Accent 11_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5Dark-Accent2101">
    <w:name w:val="Grid Table 5 Dark - Accent 21_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1">
    <w:name w:val="Grid Table 4 - Accent 21_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1">
    <w:name w:val="List Table 4 - Accent 21_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1">
    <w:name w:val="Plain Table 11_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1">
    <w:name w:val="List Table 4 - Accent 11_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1">
    <w:name w:val="Grid Table 42_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0">
    <w:name w:val="List Table 3 - Accent 11_0"/>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11">
    <w:name w:val="Unresolved Mention1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Policepardfaut1">
    <w:name w:val="Police par défaut1"/>
    <w:basedOn w:val="DefaultParagraphFont"/>
  </w:style>
  <w:style w:type="paragraph" w:customStyle="1" w:styleId="Paragraphedeliste1">
    <w:name w:val="Paragraphe de liste1"/>
    <w:basedOn w:val="Normal"/>
    <w:pPr>
      <w:autoSpaceDN w:val="0"/>
      <w:spacing w:after="160" w:line="252" w:lineRule="auto"/>
      <w:ind w:left="720"/>
    </w:pPr>
    <w:rPr>
      <w:rFonts w:ascii="Calibri" w:hAnsi="Calibri" w:cs="Times New Roman"/>
      <w:sz w:val="20"/>
      <w:lang w:val="en-GB"/>
    </w:rPr>
  </w:style>
  <w:style w:type="character" w:customStyle="1" w:styleId="cui-groupbody">
    <w:name w:val="cui-groupbody"/>
    <w:basedOn w:val="DefaultParagraphFont"/>
  </w:style>
  <w:style w:type="paragraph" w:customStyle="1" w:styleId="commentcontentpara">
    <w:name w:val="commentcontentpara"/>
    <w:basedOn w:val="Normal"/>
    <w:pPr>
      <w:spacing w:before="100" w:beforeAutospacing="1" w:after="100" w:afterAutospacing="1" w:line="259" w:lineRule="auto"/>
    </w:pPr>
    <w:rPr>
      <w:rFonts w:eastAsia="Times New Roman" w:cs="Times New Roman"/>
      <w:szCs w:val="24"/>
      <w:lang w:val="en-US"/>
    </w:rPr>
  </w:style>
  <w:style w:type="table" w:customStyle="1" w:styleId="ECSTYLE1">
    <w:name w:val="EC STYLE1"/>
    <w:basedOn w:val="TableNormal"/>
    <w:uiPriority w:val="49"/>
    <w:pPr>
      <w:spacing w:after="0" w:line="240" w:lineRule="auto"/>
    </w:pPr>
    <w:rPr>
      <w:rFonts w:ascii="Verdana" w:eastAsia="Times New Roman" w:hAnsi="Verdana" w:cs="Times New Roman"/>
      <w:sz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vAlign w:val="center"/>
    </w:tcPr>
    <w:tblStylePr w:type="firstRow">
      <w:rPr>
        <w:rFonts w:ascii="Verdana" w:hAnsi="Verdana" w:cs="Times New Roman"/>
        <w:b/>
        <w:bCs/>
        <w:color w:val="FFFFFF" w:themeColor="background1"/>
        <w:sz w:val="20"/>
      </w:rPr>
      <w:tblPr/>
      <w:tcPr>
        <w:shd w:val="clear" w:color="auto" w:fill="002395"/>
      </w:tcPr>
    </w:tblStylePr>
    <w:tblStylePr w:type="lastRow">
      <w:rPr>
        <w:rFonts w:cs="Times New Roman"/>
        <w:b/>
        <w:bCs/>
      </w:rPr>
      <w:tblPr/>
      <w:tcPr>
        <w:tcBorders>
          <w:top w:val="double" w:sz="4" w:space="0" w:color="317C6F"/>
        </w:tcBorders>
      </w:tcPr>
    </w:tblStylePr>
    <w:tblStylePr w:type="firstCol">
      <w:rPr>
        <w:rFonts w:ascii="Verdana" w:hAnsi="Verdana" w:cs="Times New Roman"/>
        <w:b w:val="0"/>
        <w:bCs/>
        <w:sz w:val="20"/>
      </w:rPr>
      <w:tblPr/>
      <w:tcPr>
        <w:shd w:val="clear" w:color="auto" w:fill="002395"/>
      </w:tcPr>
    </w:tblStylePr>
    <w:tblStylePr w:type="lastCol">
      <w:rPr>
        <w:rFonts w:ascii="Verdana" w:hAnsi="Verdana" w:cs="Times New Roman"/>
        <w:b w:val="0"/>
        <w:bCs/>
        <w:sz w:val="20"/>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band2Horz">
      <w:tblPr/>
      <w:tcPr>
        <w:shd w:val="clear" w:color="auto" w:fill="F2F2F2"/>
      </w:tcPr>
    </w:tblStylePr>
  </w:style>
  <w:style w:type="table" w:customStyle="1" w:styleId="GridTable5Dark-Accent111">
    <w:name w:val="Grid Table 5 Dark - Accent 111"/>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5Dark-Accent212">
    <w:name w:val="Grid Table 5 Dark - Accent 212"/>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1">
    <w:name w:val="Grid Table 4 - Accent 21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1">
    <w:name w:val="List Table 4 - Accent 21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1">
    <w:name w:val="Plain Table 111"/>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1">
    <w:name w:val="List Table 4 - Accent 11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1">
    <w:name w:val="Grid Table 421"/>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1">
    <w:name w:val="List Table 3 - Accent 111"/>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IntenseEmphasis">
    <w:name w:val="Intense Emphasis"/>
    <w:aliases w:val="WS Brown and Bold,KS Orange and Bold"/>
    <w:basedOn w:val="DefaultParagraphFont"/>
    <w:uiPriority w:val="17"/>
    <w:qFormat/>
    <w:rPr>
      <w:i/>
      <w:iCs/>
      <w:color w:val="4F81BD" w:themeColor="accent1"/>
    </w:rPr>
  </w:style>
  <w:style w:type="character" w:customStyle="1" w:styleId="UnresolvedMention21">
    <w:name w:val="Unresolved Mention21"/>
    <w:basedOn w:val="DefaultParagraphFont"/>
    <w:uiPriority w:val="99"/>
    <w:semiHidden/>
    <w:unhideWhenUsed/>
    <w:rPr>
      <w:color w:val="808080"/>
      <w:shd w:val="clear" w:color="auto" w:fill="E6E6E6"/>
    </w:rPr>
  </w:style>
  <w:style w:type="table" w:customStyle="1" w:styleId="GridTable4-Accent14">
    <w:name w:val="Grid Table 4 - Accent 14"/>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4">
    <w:name w:val="Grid Table 5 Dark - Accent 114"/>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5Dark-Accent214">
    <w:name w:val="Grid Table 5 Dark - Accent 214"/>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paragraph" w:customStyle="1" w:styleId="BeschriftungAbbildung">
    <w:name w:val="BeschriftungAbbildung"/>
    <w:basedOn w:val="caption2"/>
    <w:next w:val="Normal"/>
    <w:pPr>
      <w:spacing w:before="120" w:line="276" w:lineRule="auto"/>
    </w:pPr>
    <w:rPr>
      <w:rFonts w:ascii="Georgia" w:eastAsia="Times New Roman" w:hAnsi="Georgia" w:cs="Times New Roman"/>
      <w:iCs w:val="0"/>
      <w:sz w:val="20"/>
      <w:szCs w:val="22"/>
      <w:lang w:eastAsia="de-DE"/>
    </w:rPr>
  </w:style>
  <w:style w:type="paragraph" w:customStyle="1" w:styleId="A-Gr10">
    <w:name w:val="A-Gr10"/>
    <w:basedOn w:val="Normal"/>
    <w:semiHidden/>
    <w:pPr>
      <w:spacing w:after="100" w:line="259" w:lineRule="auto"/>
      <w:jc w:val="both"/>
    </w:pPr>
    <w:rPr>
      <w:rFonts w:ascii="Georgia" w:eastAsia="Times New Roman" w:hAnsi="Georgia" w:cs="Times New Roman"/>
      <w:sz w:val="20"/>
      <w:lang w:val="en-GB" w:eastAsia="de-DE"/>
    </w:rPr>
  </w:style>
  <w:style w:type="paragraph" w:styleId="ListBullet2">
    <w:name w:val="List Bullet 2"/>
    <w:aliases w:val="Enum2,Liste 21,KS List Bullet Level 2"/>
    <w:basedOn w:val="Standardeinzug2"/>
    <w:uiPriority w:val="99"/>
    <w:pPr>
      <w:tabs>
        <w:tab w:val="clear" w:pos="567"/>
      </w:tabs>
      <w:ind w:left="0" w:firstLine="0"/>
    </w:pPr>
  </w:style>
  <w:style w:type="paragraph" w:customStyle="1" w:styleId="Standardeinzug2">
    <w:name w:val="Standardeinzug2"/>
    <w:basedOn w:val="NormalIndent"/>
    <w:pPr>
      <w:tabs>
        <w:tab w:val="num" w:pos="567"/>
      </w:tabs>
      <w:spacing w:before="120" w:after="0" w:line="290" w:lineRule="atLeast"/>
      <w:ind w:left="567" w:hanging="283"/>
    </w:pPr>
    <w:rPr>
      <w:rFonts w:ascii="Arial" w:hAnsi="Arial"/>
      <w:sz w:val="24"/>
      <w:szCs w:val="22"/>
      <w:lang w:val="de-DE" w:eastAsia="de-DE"/>
    </w:rPr>
  </w:style>
  <w:style w:type="paragraph" w:customStyle="1" w:styleId="Standardeinzug3">
    <w:name w:val="Standardeinzug3"/>
    <w:basedOn w:val="Standardeinzug2"/>
  </w:style>
  <w:style w:type="paragraph" w:styleId="ListBullet4">
    <w:name w:val="List Bullet 4"/>
    <w:aliases w:val="WS List Bullet Level 4,KS List Bullet Level 4"/>
    <w:basedOn w:val="Normal"/>
    <w:uiPriority w:val="99"/>
    <w:pPr>
      <w:tabs>
        <w:tab w:val="left" w:pos="284"/>
      </w:tabs>
      <w:spacing w:after="100"/>
      <w:ind w:left="284" w:hanging="284"/>
      <w:jc w:val="both"/>
    </w:pPr>
    <w:rPr>
      <w:rFonts w:ascii="Georgia" w:eastAsia="Times New Roman" w:hAnsi="Georgia" w:cs="Times New Roman"/>
      <w:lang w:val="en-GB" w:eastAsia="de-DE"/>
    </w:rPr>
  </w:style>
  <w:style w:type="paragraph" w:styleId="ListBullet5">
    <w:name w:val="List Bullet 5"/>
    <w:basedOn w:val="Normal"/>
    <w:uiPriority w:val="99"/>
    <w:pPr>
      <w:tabs>
        <w:tab w:val="num" w:pos="0"/>
      </w:tabs>
      <w:spacing w:after="100"/>
      <w:ind w:hanging="567"/>
      <w:jc w:val="both"/>
    </w:pPr>
    <w:rPr>
      <w:rFonts w:ascii="Georgia" w:eastAsia="Times New Roman" w:hAnsi="Georgia" w:cs="Times New Roman"/>
      <w:lang w:val="en-GB" w:eastAsia="de-DE"/>
    </w:rPr>
  </w:style>
  <w:style w:type="paragraph" w:customStyle="1" w:styleId="BeschriftungTabelle">
    <w:name w:val="BeschriftungTabelle"/>
    <w:basedOn w:val="caption2"/>
    <w:next w:val="Tabelle"/>
    <w:pPr>
      <w:spacing w:before="120" w:line="276" w:lineRule="auto"/>
      <w:ind w:left="1588" w:hanging="1588"/>
    </w:pPr>
    <w:rPr>
      <w:rFonts w:ascii="Georgia" w:eastAsia="Times New Roman" w:hAnsi="Georgia" w:cs="Times New Roman"/>
      <w:iCs w:val="0"/>
      <w:sz w:val="20"/>
      <w:szCs w:val="22"/>
      <w:lang w:eastAsia="de-DE"/>
    </w:rPr>
  </w:style>
  <w:style w:type="paragraph" w:styleId="BlockText">
    <w:name w:val="Block Text"/>
    <w:basedOn w:val="Normal"/>
    <w:uiPriority w:val="99"/>
    <w:pPr>
      <w:spacing w:after="100"/>
      <w:ind w:left="1134" w:right="1134"/>
      <w:jc w:val="both"/>
    </w:pPr>
    <w:rPr>
      <w:rFonts w:ascii="Georgia" w:eastAsia="Times New Roman" w:hAnsi="Georgia" w:cs="Times New Roman"/>
      <w:lang w:val="en-GB" w:eastAsia="de-DE"/>
    </w:rPr>
  </w:style>
  <w:style w:type="paragraph" w:customStyle="1" w:styleId="Dateiname">
    <w:name w:val="Dateiname"/>
    <w:next w:val="Normal"/>
    <w:pPr>
      <w:keepLines/>
      <w:spacing w:after="0" w:line="200" w:lineRule="exact"/>
    </w:pPr>
    <w:rPr>
      <w:rFonts w:ascii="Arial" w:eastAsia="Times New Roman" w:hAnsi="Arial" w:cs="Times New Roman"/>
      <w:sz w:val="14"/>
      <w:szCs w:val="20"/>
      <w:lang w:val="de-DE" w:eastAsia="de-DE"/>
    </w:rPr>
  </w:style>
  <w:style w:type="paragraph" w:customStyle="1" w:styleId="Funotentext2">
    <w:name w:val="Fußnotentext2"/>
    <w:basedOn w:val="FootnoteText"/>
    <w:pPr>
      <w:keepNext/>
      <w:keepLines/>
      <w:tabs>
        <w:tab w:val="left" w:pos="425"/>
      </w:tabs>
      <w:spacing w:before="120" w:after="100" w:line="259" w:lineRule="auto"/>
      <w:ind w:left="425" w:hanging="425"/>
    </w:pPr>
    <w:rPr>
      <w:rFonts w:ascii="Georgia" w:hAnsi="Georgia"/>
      <w:szCs w:val="22"/>
      <w:lang w:eastAsia="de-DE"/>
    </w:rPr>
  </w:style>
  <w:style w:type="paragraph" w:customStyle="1" w:styleId="Funotentext3">
    <w:name w:val="Fußnotentext3"/>
    <w:basedOn w:val="FootnoteText"/>
    <w:semiHidden/>
    <w:pPr>
      <w:keepNext/>
      <w:keepLines/>
      <w:tabs>
        <w:tab w:val="left" w:pos="425"/>
      </w:tabs>
      <w:spacing w:before="120" w:after="100" w:line="259" w:lineRule="auto"/>
      <w:ind w:left="425" w:hanging="425"/>
    </w:pPr>
    <w:rPr>
      <w:rFonts w:ascii="Georgia" w:hAnsi="Georgia"/>
      <w:sz w:val="22"/>
      <w:szCs w:val="22"/>
      <w:lang w:eastAsia="de-DE"/>
    </w:rPr>
  </w:style>
  <w:style w:type="paragraph" w:customStyle="1" w:styleId="Funotentext4">
    <w:name w:val="Fußnotentext4"/>
    <w:basedOn w:val="Funotentext2"/>
    <w:semiHidden/>
  </w:style>
  <w:style w:type="table" w:customStyle="1" w:styleId="ISI-Tabelle">
    <w:name w:val="ISI-Tabelle"/>
    <w:basedOn w:val="TableNormal"/>
    <w:pPr>
      <w:spacing w:before="60" w:after="60" w:line="240" w:lineRule="auto"/>
    </w:pPr>
    <w:rPr>
      <w:rFonts w:ascii="Arial" w:eastAsia="Times New Roman" w:hAnsi="Arial" w:cs="Times New Roman"/>
      <w:sz w:val="20"/>
      <w:szCs w:val="20"/>
      <w:lang w:val="de-DE" w:eastAsia="de-DE"/>
    </w:rPr>
    <w:tblPr>
      <w:tblStyleRowBandSize w:val="1"/>
      <w:tblInd w:w="125" w:type="dxa"/>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Kopfzeile-quer">
    <w:name w:val="Kopfzeile-quer"/>
    <w:next w:val="Normal"/>
    <w:semiHidden/>
    <w:pPr>
      <w:framePr w:w="266" w:h="8533" w:hRule="exact" w:hSpace="181" w:wrap="around" w:vAnchor="page" w:hAnchor="page" w:x="15287" w:y="1702"/>
      <w:tabs>
        <w:tab w:val="right" w:pos="8504"/>
      </w:tabs>
      <w:spacing w:after="0" w:line="240" w:lineRule="auto"/>
      <w:jc w:val="center"/>
      <w:textDirection w:val="tbRl"/>
    </w:pPr>
    <w:rPr>
      <w:rFonts w:ascii="Arial" w:eastAsia="Times New Roman" w:hAnsi="Arial" w:cs="Arial"/>
      <w:sz w:val="20"/>
      <w:szCs w:val="20"/>
      <w:lang w:val="de-DE" w:eastAsia="de-DE"/>
    </w:rPr>
  </w:style>
  <w:style w:type="paragraph" w:customStyle="1" w:styleId="Kopfzeile-quer-gerade">
    <w:name w:val="Kopfzeile-quer-gerade"/>
    <w:next w:val="Normal"/>
    <w:pPr>
      <w:framePr w:w="266" w:h="8533" w:hRule="exact" w:hSpace="181" w:wrap="around" w:vAnchor="page" w:hAnchor="page" w:x="15287" w:y="1532"/>
      <w:pBdr>
        <w:bottom w:val="single" w:sz="6" w:space="1" w:color="auto"/>
      </w:pBdr>
      <w:tabs>
        <w:tab w:val="right" w:pos="8504"/>
      </w:tabs>
      <w:spacing w:after="0" w:line="240" w:lineRule="auto"/>
      <w:ind w:left="57"/>
      <w:textDirection w:val="tbRl"/>
    </w:pPr>
    <w:rPr>
      <w:rFonts w:ascii="Arial" w:eastAsia="Times New Roman" w:hAnsi="Arial" w:cs="Arial"/>
      <w:noProof/>
      <w:sz w:val="20"/>
      <w:szCs w:val="20"/>
      <w:lang w:val="de-DE" w:eastAsia="de-DE"/>
    </w:rPr>
  </w:style>
  <w:style w:type="paragraph" w:customStyle="1" w:styleId="Kopfzeile-quer-ungerade">
    <w:name w:val="Kopfzeile-quer-ungerade"/>
    <w:next w:val="Normal"/>
    <w:pPr>
      <w:framePr w:w="266" w:h="8533" w:hRule="exact" w:hSpace="181" w:wrap="around" w:vAnchor="page" w:hAnchor="page" w:x="15287" w:y="1815"/>
      <w:pBdr>
        <w:bottom w:val="single" w:sz="6" w:space="1" w:color="auto"/>
      </w:pBdr>
      <w:tabs>
        <w:tab w:val="right" w:pos="8504"/>
      </w:tabs>
      <w:spacing w:after="0" w:line="240" w:lineRule="auto"/>
      <w:textDirection w:val="tbRl"/>
    </w:pPr>
    <w:rPr>
      <w:rFonts w:ascii="Arial" w:eastAsia="Times New Roman" w:hAnsi="Arial" w:cs="Times New Roman"/>
      <w:noProof/>
      <w:sz w:val="20"/>
      <w:szCs w:val="20"/>
      <w:lang w:val="de-DE" w:eastAsia="de-DE"/>
    </w:rPr>
  </w:style>
  <w:style w:type="paragraph" w:styleId="ListNumber">
    <w:name w:val="List Number"/>
    <w:basedOn w:val="Standardnummer"/>
    <w:uiPriority w:val="99"/>
    <w:pPr>
      <w:numPr>
        <w:numId w:val="0"/>
      </w:numPr>
    </w:pPr>
  </w:style>
  <w:style w:type="paragraph" w:styleId="ListNumber2">
    <w:name w:val="List Number 2"/>
    <w:basedOn w:val="Normal"/>
    <w:uiPriority w:val="99"/>
    <w:pPr>
      <w:tabs>
        <w:tab w:val="num" w:pos="426"/>
      </w:tabs>
      <w:spacing w:before="120" w:after="100"/>
      <w:ind w:left="426" w:hanging="426"/>
      <w:jc w:val="both"/>
    </w:pPr>
    <w:rPr>
      <w:rFonts w:ascii="Georgia" w:eastAsia="Times New Roman" w:hAnsi="Georgia" w:cs="Times New Roman"/>
      <w:lang w:val="en-GB" w:eastAsia="de-DE"/>
    </w:rPr>
  </w:style>
  <w:style w:type="paragraph" w:styleId="ListNumber3">
    <w:name w:val="List Number 3"/>
    <w:basedOn w:val="Normal"/>
    <w:uiPriority w:val="99"/>
    <w:pPr>
      <w:tabs>
        <w:tab w:val="num" w:pos="709"/>
      </w:tabs>
      <w:spacing w:before="120" w:after="100"/>
      <w:ind w:left="709" w:hanging="709"/>
      <w:jc w:val="both"/>
    </w:pPr>
    <w:rPr>
      <w:rFonts w:ascii="Georgia" w:eastAsia="Times New Roman" w:hAnsi="Georgia" w:cs="Times New Roman"/>
      <w:lang w:val="en-GB" w:eastAsia="de-DE"/>
    </w:rPr>
  </w:style>
  <w:style w:type="paragraph" w:styleId="ListNumber4">
    <w:name w:val="List Number 4"/>
    <w:basedOn w:val="Normal"/>
    <w:uiPriority w:val="99"/>
    <w:pPr>
      <w:tabs>
        <w:tab w:val="num" w:pos="426"/>
      </w:tabs>
      <w:spacing w:before="120" w:after="100"/>
      <w:ind w:left="426" w:hanging="426"/>
      <w:jc w:val="both"/>
    </w:pPr>
    <w:rPr>
      <w:rFonts w:ascii="Georgia" w:eastAsia="Times New Roman" w:hAnsi="Georgia" w:cs="Times New Roman"/>
      <w:lang w:val="en-GB" w:eastAsia="de-DE"/>
    </w:rPr>
  </w:style>
  <w:style w:type="paragraph" w:styleId="ListNumber5">
    <w:name w:val="List Number 5"/>
    <w:basedOn w:val="Normal"/>
    <w:uiPriority w:val="99"/>
    <w:pPr>
      <w:tabs>
        <w:tab w:val="num" w:pos="284"/>
      </w:tabs>
      <w:spacing w:before="120" w:after="100"/>
      <w:ind w:left="284" w:hanging="284"/>
      <w:jc w:val="both"/>
    </w:pPr>
    <w:rPr>
      <w:rFonts w:ascii="Georgia" w:eastAsia="Times New Roman" w:hAnsi="Georgia" w:cs="Times New Roman"/>
      <w:lang w:val="en-GB" w:eastAsia="de-DE"/>
    </w:rPr>
  </w:style>
  <w:style w:type="paragraph" w:customStyle="1" w:styleId="Literatur">
    <w:name w:val="Literatur"/>
    <w:basedOn w:val="Normal"/>
    <w:pPr>
      <w:keepLines/>
      <w:spacing w:after="120"/>
      <w:ind w:left="567" w:hanging="567"/>
      <w:jc w:val="both"/>
    </w:pPr>
    <w:rPr>
      <w:rFonts w:ascii="Georgia" w:eastAsia="Times New Roman" w:hAnsi="Georgia" w:cs="Times New Roman"/>
      <w:lang w:val="en-GB" w:eastAsia="de-DE"/>
    </w:rPr>
  </w:style>
  <w:style w:type="paragraph" w:customStyle="1" w:styleId="Literatur2">
    <w:name w:val="Literatur2"/>
    <w:basedOn w:val="Literatur"/>
    <w:pPr>
      <w:ind w:left="0" w:firstLine="0"/>
      <w:jc w:val="left"/>
    </w:pPr>
  </w:style>
  <w:style w:type="paragraph" w:customStyle="1" w:styleId="Quelle">
    <w:name w:val="Quelle"/>
    <w:basedOn w:val="Normal"/>
    <w:next w:val="Normal"/>
    <w:pPr>
      <w:keepLines/>
      <w:spacing w:before="60" w:after="100" w:line="259" w:lineRule="auto"/>
    </w:pPr>
    <w:rPr>
      <w:rFonts w:ascii="Georgia" w:eastAsia="Times New Roman" w:hAnsi="Georgia" w:cs="Times New Roman"/>
      <w:sz w:val="20"/>
      <w:lang w:val="en-GB" w:eastAsia="de-DE"/>
    </w:rPr>
  </w:style>
  <w:style w:type="numbering" w:customStyle="1" w:styleId="StandardEinzuegeListe">
    <w:name w:val="StandardEinzuegeListe"/>
    <w:basedOn w:val="NoList"/>
    <w:pPr>
      <w:numPr>
        <w:numId w:val="42"/>
      </w:numPr>
    </w:pPr>
  </w:style>
  <w:style w:type="paragraph" w:customStyle="1" w:styleId="Standardeinzug1ohne">
    <w:name w:val="Standardeinzug1ohne"/>
    <w:basedOn w:val="NormalIndent"/>
    <w:pPr>
      <w:tabs>
        <w:tab w:val="num" w:pos="284"/>
      </w:tabs>
      <w:spacing w:before="120" w:after="0" w:line="290" w:lineRule="atLeast"/>
      <w:ind w:left="284"/>
    </w:pPr>
    <w:rPr>
      <w:rFonts w:ascii="Arial" w:hAnsi="Arial"/>
      <w:sz w:val="24"/>
      <w:szCs w:val="22"/>
      <w:lang w:val="de-DE" w:eastAsia="de-DE"/>
    </w:rPr>
  </w:style>
  <w:style w:type="paragraph" w:customStyle="1" w:styleId="Standardeinzug2ohne">
    <w:name w:val="Standardeinzug2ohne"/>
    <w:basedOn w:val="Standardeinzug2"/>
  </w:style>
  <w:style w:type="paragraph" w:customStyle="1" w:styleId="Standardeinzug3ohne">
    <w:name w:val="Standardeinzug3ohne"/>
    <w:basedOn w:val="Standardeinzug3"/>
  </w:style>
  <w:style w:type="paragraph" w:customStyle="1" w:styleId="TabE1Standardeinzug">
    <w:name w:val="TabE1_Standardeinzug"/>
    <w:pPr>
      <w:numPr>
        <w:numId w:val="43"/>
      </w:numPr>
      <w:spacing w:before="60" w:after="0" w:line="240" w:lineRule="auto"/>
    </w:pPr>
    <w:rPr>
      <w:rFonts w:ascii="Arial" w:eastAsia="Times New Roman" w:hAnsi="Arial" w:cs="Times New Roman"/>
      <w:sz w:val="20"/>
      <w:szCs w:val="20"/>
      <w:lang w:val="de-DE" w:eastAsia="de-DE"/>
    </w:rPr>
  </w:style>
  <w:style w:type="paragraph" w:customStyle="1" w:styleId="TabE1oStandardeinzug">
    <w:name w:val="TabE1o_Standardeinzug"/>
    <w:basedOn w:val="TabE1Standardeinzug"/>
    <w:pPr>
      <w:numPr>
        <w:ilvl w:val="1"/>
      </w:numPr>
    </w:pPr>
  </w:style>
  <w:style w:type="paragraph" w:customStyle="1" w:styleId="TabE2Standardeinzug">
    <w:name w:val="TabE2_Standardeinzug"/>
    <w:basedOn w:val="TabE1Standardeinzug"/>
    <w:pPr>
      <w:numPr>
        <w:ilvl w:val="2"/>
      </w:numPr>
    </w:pPr>
  </w:style>
  <w:style w:type="paragraph" w:customStyle="1" w:styleId="TabE2oStandardeinzug">
    <w:name w:val="TabE2o_Standardeinzug"/>
    <w:basedOn w:val="TabE2Standardeinzug"/>
    <w:pPr>
      <w:numPr>
        <w:ilvl w:val="3"/>
      </w:numPr>
    </w:pPr>
  </w:style>
  <w:style w:type="paragraph" w:customStyle="1" w:styleId="TabE3Standardeinzug">
    <w:name w:val="TabE3_Standardeinzug"/>
    <w:basedOn w:val="TabE2Standardeinzug"/>
    <w:pPr>
      <w:numPr>
        <w:ilvl w:val="4"/>
      </w:numPr>
    </w:pPr>
  </w:style>
  <w:style w:type="paragraph" w:customStyle="1" w:styleId="TabE3oStandardeinzug">
    <w:name w:val="TabE3o_Standardeinzug"/>
    <w:basedOn w:val="TabE3Standardeinzug"/>
    <w:pPr>
      <w:numPr>
        <w:ilvl w:val="5"/>
      </w:numPr>
    </w:pPr>
  </w:style>
  <w:style w:type="numbering" w:customStyle="1" w:styleId="TabEinzuegeListe">
    <w:name w:val="TabEinzuegeListe"/>
    <w:basedOn w:val="NoList"/>
    <w:pPr>
      <w:numPr>
        <w:numId w:val="43"/>
      </w:numPr>
    </w:pPr>
  </w:style>
  <w:style w:type="paragraph" w:customStyle="1" w:styleId="Tabelle">
    <w:name w:val="Tabelle"/>
    <w:basedOn w:val="Normal"/>
    <w:pPr>
      <w:keepLines/>
      <w:spacing w:before="60" w:after="60" w:line="259" w:lineRule="auto"/>
    </w:pPr>
    <w:rPr>
      <w:rFonts w:ascii="Georgia" w:eastAsia="Times New Roman" w:hAnsi="Georgia" w:cs="Times New Roman"/>
      <w:sz w:val="20"/>
      <w:szCs w:val="18"/>
      <w:lang w:val="en-GB" w:eastAsia="de-DE"/>
    </w:rPr>
  </w:style>
  <w:style w:type="table" w:styleId="TableContemporary">
    <w:name w:val="Table Contemporary"/>
    <w:basedOn w:val="TableNormal"/>
    <w:semiHidden/>
    <w:pPr>
      <w:spacing w:before="60" w:after="60" w:line="240" w:lineRule="auto"/>
      <w:jc w:val="both"/>
    </w:pPr>
    <w:rPr>
      <w:rFonts w:ascii="Arial" w:eastAsia="Times New Roman" w:hAnsi="Arial" w:cs="Times New Roman"/>
      <w:sz w:val="20"/>
      <w:szCs w:val="20"/>
      <w:lang w:val="de-DE" w:eastAsia="de-DE"/>
    </w:rPr>
    <w:tblPr>
      <w:tblStyleRowBandSize w:val="1"/>
      <w:tblInd w:w="125" w:type="dxa"/>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Nr1Standardnummer">
    <w:name w:val="TabNr1_Standardnummer"/>
    <w:pPr>
      <w:numPr>
        <w:numId w:val="44"/>
      </w:numPr>
      <w:spacing w:before="60" w:after="0" w:line="240" w:lineRule="auto"/>
    </w:pPr>
    <w:rPr>
      <w:rFonts w:ascii="Arial" w:eastAsia="Times New Roman" w:hAnsi="Arial" w:cs="Times New Roman"/>
      <w:sz w:val="20"/>
      <w:szCs w:val="20"/>
      <w:lang w:val="de-DE" w:eastAsia="de-DE"/>
    </w:rPr>
  </w:style>
  <w:style w:type="paragraph" w:customStyle="1" w:styleId="TabNr1oStandardnummer">
    <w:name w:val="TabNr1o_Standardnummer"/>
    <w:basedOn w:val="TabNr1Standardnummer"/>
    <w:pPr>
      <w:numPr>
        <w:ilvl w:val="1"/>
      </w:numPr>
    </w:pPr>
  </w:style>
  <w:style w:type="paragraph" w:customStyle="1" w:styleId="TabNr2Standardnummer">
    <w:name w:val="TabNr2_Standardnummer"/>
    <w:basedOn w:val="TabNr1Standardnummer"/>
    <w:pPr>
      <w:numPr>
        <w:ilvl w:val="2"/>
      </w:numPr>
    </w:pPr>
  </w:style>
  <w:style w:type="paragraph" w:customStyle="1" w:styleId="TabNr2oStandardnummer">
    <w:name w:val="TabNr2o_Standardnummer"/>
    <w:basedOn w:val="TabNr2Standardnummer"/>
    <w:pPr>
      <w:numPr>
        <w:ilvl w:val="3"/>
      </w:numPr>
    </w:pPr>
  </w:style>
  <w:style w:type="paragraph" w:customStyle="1" w:styleId="TabNr3Standardnummer">
    <w:name w:val="TabNr3_Standardnummer"/>
    <w:basedOn w:val="TabNr2Standardnummer"/>
    <w:pPr>
      <w:numPr>
        <w:ilvl w:val="4"/>
      </w:numPr>
    </w:pPr>
  </w:style>
  <w:style w:type="paragraph" w:customStyle="1" w:styleId="TabNr3oStandardnummer">
    <w:name w:val="TabNr3o_Standardnummer"/>
    <w:basedOn w:val="TabNr3Standardnummer"/>
    <w:pPr>
      <w:numPr>
        <w:ilvl w:val="5"/>
      </w:numPr>
    </w:pPr>
  </w:style>
  <w:style w:type="paragraph" w:customStyle="1" w:styleId="TabNr4Standardnummer">
    <w:name w:val="TabNr4_Standardnummer"/>
    <w:basedOn w:val="TabNr3Standardnummer"/>
    <w:pPr>
      <w:numPr>
        <w:ilvl w:val="6"/>
      </w:numPr>
    </w:pPr>
  </w:style>
  <w:style w:type="paragraph" w:customStyle="1" w:styleId="TabNr4oStandardnummer">
    <w:name w:val="TabNr4o_Standardnummer"/>
    <w:basedOn w:val="TabNr4Standardnummer"/>
    <w:pPr>
      <w:numPr>
        <w:ilvl w:val="7"/>
      </w:numPr>
    </w:pPr>
  </w:style>
  <w:style w:type="numbering" w:customStyle="1" w:styleId="TabNummerierungenListe">
    <w:name w:val="TabNummerierungenListe"/>
    <w:basedOn w:val="NoList"/>
    <w:pPr>
      <w:numPr>
        <w:numId w:val="44"/>
      </w:numPr>
    </w:pPr>
  </w:style>
  <w:style w:type="paragraph" w:styleId="BodyText">
    <w:name w:val="Body Text"/>
    <w:aliases w:val="Frame,Body Text Char Char,Body Text Char2 Char Char,Body Text Char1 Char Char Char,Body Text Char Char Char Char Char,Body Text Char2 Char Char Char Char Char,Body Text Char1 Char Char Char Char Char Char,Bod,bt,b,Body text 1,Corpo del testo"/>
    <w:basedOn w:val="Normal"/>
    <w:link w:val="BodyTextChar"/>
    <w:uiPriority w:val="99"/>
    <w:pPr>
      <w:spacing w:after="100"/>
      <w:jc w:val="both"/>
    </w:pPr>
    <w:rPr>
      <w:rFonts w:ascii="Georgia" w:eastAsia="Times New Roman" w:hAnsi="Georgia" w:cs="Times New Roman"/>
      <w:lang w:val="en-GB" w:eastAsia="de-DE"/>
    </w:rPr>
  </w:style>
  <w:style w:type="character" w:customStyle="1" w:styleId="BodyTextChar">
    <w:name w:val="Body Text Char"/>
    <w:aliases w:val="Frame Char,Body Text Char Char Char,Body Text Char2 Char Char Char,Body Text Char1 Char Char Char Char,Body Text Char Char Char Char Char Char,Body Text Char2 Char Char Char Char Char Char,Bod Char,bt Char,b Char,Body text 1 Char"/>
    <w:basedOn w:val="DefaultParagraphFont"/>
    <w:link w:val="BodyText"/>
    <w:uiPriority w:val="99"/>
    <w:rPr>
      <w:rFonts w:ascii="Georgia" w:eastAsia="Times New Roman" w:hAnsi="Georgia" w:cs="Times New Roman"/>
      <w:sz w:val="24"/>
      <w:lang w:val="en-GB" w:eastAsia="de-DE"/>
    </w:rPr>
  </w:style>
  <w:style w:type="paragraph" w:styleId="BodyText2">
    <w:name w:val="Body Text 2"/>
    <w:aliases w:val="Highlight"/>
    <w:basedOn w:val="Normal"/>
    <w:link w:val="BodyText2Char"/>
    <w:uiPriority w:val="99"/>
    <w:qFormat/>
    <w:pPr>
      <w:spacing w:after="100"/>
      <w:jc w:val="both"/>
    </w:pPr>
    <w:rPr>
      <w:rFonts w:ascii="Georgia" w:eastAsia="Times New Roman" w:hAnsi="Georgia" w:cs="Times New Roman"/>
      <w:lang w:val="en-GB" w:eastAsia="de-DE"/>
    </w:rPr>
  </w:style>
  <w:style w:type="character" w:customStyle="1" w:styleId="BodyText2Char">
    <w:name w:val="Body Text 2 Char"/>
    <w:aliases w:val="Highlight Char"/>
    <w:basedOn w:val="DefaultParagraphFont"/>
    <w:link w:val="BodyText2"/>
    <w:uiPriority w:val="99"/>
    <w:rPr>
      <w:rFonts w:ascii="Georgia" w:eastAsia="Times New Roman" w:hAnsi="Georgia" w:cs="Times New Roman"/>
      <w:sz w:val="24"/>
      <w:lang w:val="en-GB" w:eastAsia="de-DE"/>
    </w:rPr>
  </w:style>
  <w:style w:type="paragraph" w:styleId="BodyText3">
    <w:name w:val="Body Text 3"/>
    <w:basedOn w:val="Normal"/>
    <w:link w:val="BodyText3Char"/>
    <w:uiPriority w:val="99"/>
    <w:pPr>
      <w:spacing w:after="100"/>
      <w:jc w:val="both"/>
    </w:pPr>
    <w:rPr>
      <w:rFonts w:ascii="Georgia" w:eastAsia="Times New Roman" w:hAnsi="Georgia" w:cs="Times New Roman"/>
      <w:lang w:val="en-GB" w:eastAsia="de-DE"/>
    </w:rPr>
  </w:style>
  <w:style w:type="character" w:customStyle="1" w:styleId="BodyText3Char">
    <w:name w:val="Body Text 3 Char"/>
    <w:basedOn w:val="DefaultParagraphFont"/>
    <w:link w:val="BodyText3"/>
    <w:uiPriority w:val="99"/>
    <w:rPr>
      <w:rFonts w:ascii="Georgia" w:eastAsia="Times New Roman" w:hAnsi="Georgia" w:cs="Times New Roman"/>
      <w:sz w:val="24"/>
      <w:lang w:val="en-GB" w:eastAsia="de-DE"/>
    </w:rPr>
  </w:style>
  <w:style w:type="paragraph" w:styleId="BodyTextIndent2">
    <w:name w:val="Body Text Indent 2"/>
    <w:basedOn w:val="Normal"/>
    <w:link w:val="BodyTextIndent2Char"/>
    <w:uiPriority w:val="99"/>
    <w:pPr>
      <w:spacing w:after="100"/>
      <w:jc w:val="both"/>
    </w:pPr>
    <w:rPr>
      <w:rFonts w:ascii="Georgia" w:eastAsia="Times New Roman" w:hAnsi="Georgia" w:cs="Times New Roman"/>
      <w:lang w:val="en-GB" w:eastAsia="de-DE"/>
    </w:rPr>
  </w:style>
  <w:style w:type="character" w:customStyle="1" w:styleId="BodyTextIndent2Char">
    <w:name w:val="Body Text Indent 2 Char"/>
    <w:basedOn w:val="DefaultParagraphFont"/>
    <w:link w:val="BodyTextIndent2"/>
    <w:uiPriority w:val="99"/>
    <w:rPr>
      <w:rFonts w:ascii="Georgia" w:eastAsia="Times New Roman" w:hAnsi="Georgia" w:cs="Times New Roman"/>
      <w:sz w:val="24"/>
      <w:lang w:val="en-GB" w:eastAsia="de-DE"/>
    </w:rPr>
  </w:style>
  <w:style w:type="paragraph" w:styleId="BodyTextIndent3">
    <w:name w:val="Body Text Indent 3"/>
    <w:basedOn w:val="Standardeinzug3"/>
    <w:link w:val="BodyTextIndent3Char"/>
    <w:uiPriority w:val="99"/>
    <w:pPr>
      <w:tabs>
        <w:tab w:val="clear" w:pos="567"/>
      </w:tabs>
      <w:ind w:left="0" w:firstLine="0"/>
    </w:pPr>
  </w:style>
  <w:style w:type="character" w:customStyle="1" w:styleId="BodyTextIndent3Char">
    <w:name w:val="Body Text Indent 3 Char"/>
    <w:basedOn w:val="DefaultParagraphFont"/>
    <w:link w:val="BodyTextIndent3"/>
    <w:uiPriority w:val="99"/>
    <w:rPr>
      <w:rFonts w:ascii="Arial" w:eastAsia="Times New Roman" w:hAnsi="Arial" w:cs="Times New Roman"/>
      <w:sz w:val="24"/>
      <w:lang w:val="de-DE" w:eastAsia="de-DE"/>
    </w:rPr>
  </w:style>
  <w:style w:type="paragraph" w:styleId="BodyTextFirstIndent">
    <w:name w:val="Body Text First Indent"/>
    <w:basedOn w:val="Standardeinzug1ohne"/>
    <w:link w:val="BodyTextFirstIndentChar"/>
    <w:uiPriority w:val="99"/>
    <w:pPr>
      <w:tabs>
        <w:tab w:val="clear" w:pos="284"/>
      </w:tabs>
      <w:ind w:left="0"/>
    </w:pPr>
  </w:style>
  <w:style w:type="character" w:customStyle="1" w:styleId="BodyTextFirstIndentChar">
    <w:name w:val="Body Text First Indent Char"/>
    <w:basedOn w:val="BodyTextChar"/>
    <w:link w:val="BodyTextFirstIndent"/>
    <w:uiPriority w:val="99"/>
    <w:rPr>
      <w:rFonts w:ascii="Arial" w:eastAsia="Times New Roman" w:hAnsi="Arial" w:cs="Times New Roman"/>
      <w:sz w:val="24"/>
      <w:lang w:val="de-DE" w:eastAsia="de-DE"/>
    </w:rPr>
  </w:style>
  <w:style w:type="paragraph" w:styleId="BodyTextIndent">
    <w:name w:val="Body Text Indent"/>
    <w:basedOn w:val="NormalIndent"/>
    <w:link w:val="BodyTextIndentChar"/>
    <w:uiPriority w:val="99"/>
    <w:pPr>
      <w:spacing w:before="120" w:after="0" w:line="290" w:lineRule="atLeast"/>
      <w:ind w:left="0"/>
    </w:pPr>
    <w:rPr>
      <w:rFonts w:ascii="Arial" w:hAnsi="Arial"/>
      <w:sz w:val="24"/>
      <w:szCs w:val="22"/>
      <w:lang w:val="de-DE" w:eastAsia="de-DE"/>
    </w:rPr>
  </w:style>
  <w:style w:type="character" w:customStyle="1" w:styleId="BodyTextIndentChar">
    <w:name w:val="Body Text Indent Char"/>
    <w:basedOn w:val="DefaultParagraphFont"/>
    <w:link w:val="BodyTextIndent"/>
    <w:uiPriority w:val="99"/>
    <w:rPr>
      <w:rFonts w:ascii="Arial" w:eastAsia="Times New Roman" w:hAnsi="Arial" w:cs="Times New Roman"/>
      <w:sz w:val="24"/>
      <w:lang w:val="de-DE" w:eastAsia="de-DE"/>
    </w:rPr>
  </w:style>
  <w:style w:type="paragraph" w:styleId="BodyTextFirstIndent2">
    <w:name w:val="Body Text First Indent 2"/>
    <w:basedOn w:val="Standardeinzug2ohne"/>
    <w:link w:val="BodyTextFirstIndent2Char"/>
    <w:uiPriority w:val="99"/>
    <w:pPr>
      <w:tabs>
        <w:tab w:val="clear" w:pos="567"/>
      </w:tabs>
      <w:ind w:left="0" w:firstLine="0"/>
    </w:pPr>
  </w:style>
  <w:style w:type="character" w:customStyle="1" w:styleId="BodyTextFirstIndent2Char">
    <w:name w:val="Body Text First Indent 2 Char"/>
    <w:basedOn w:val="BodyTextIndentChar"/>
    <w:link w:val="BodyTextFirstIndent2"/>
    <w:uiPriority w:val="99"/>
    <w:rPr>
      <w:rFonts w:ascii="Arial" w:eastAsia="Times New Roman" w:hAnsi="Arial" w:cs="Times New Roman"/>
      <w:sz w:val="24"/>
      <w:lang w:val="de-DE" w:eastAsia="de-DE"/>
    </w:rPr>
  </w:style>
  <w:style w:type="paragraph" w:customStyle="1" w:styleId="U12f">
    <w:name w:val="U12f"/>
    <w:basedOn w:val="Normal"/>
    <w:next w:val="Normal"/>
    <w:semiHidden/>
    <w:pPr>
      <w:keepNext/>
      <w:keepLines/>
      <w:tabs>
        <w:tab w:val="left" w:pos="1134"/>
      </w:tabs>
      <w:spacing w:before="320" w:after="100"/>
    </w:pPr>
    <w:rPr>
      <w:rFonts w:ascii="Georgia" w:eastAsia="Times New Roman" w:hAnsi="Georgia" w:cs="Times New Roman"/>
      <w:b/>
      <w:lang w:val="en-GB" w:eastAsia="de-DE"/>
    </w:rPr>
  </w:style>
  <w:style w:type="paragraph" w:customStyle="1" w:styleId="U12k">
    <w:name w:val="U12k"/>
    <w:basedOn w:val="U12f"/>
    <w:next w:val="Normal"/>
    <w:semiHidden/>
  </w:style>
  <w:style w:type="paragraph" w:customStyle="1" w:styleId="U13f">
    <w:name w:val="U13f"/>
    <w:basedOn w:val="U11f"/>
    <w:next w:val="Normal"/>
  </w:style>
  <w:style w:type="paragraph" w:customStyle="1" w:styleId="U13k">
    <w:name w:val="U13k"/>
    <w:basedOn w:val="U11k"/>
    <w:next w:val="Normal"/>
  </w:style>
  <w:style w:type="paragraph" w:customStyle="1" w:styleId="U14f">
    <w:name w:val="U14f"/>
    <w:basedOn w:val="U11f"/>
    <w:next w:val="Normal"/>
  </w:style>
  <w:style w:type="paragraph" w:customStyle="1" w:styleId="U15f">
    <w:name w:val="U15f"/>
    <w:basedOn w:val="U11f"/>
    <w:next w:val="Normal"/>
  </w:style>
  <w:style w:type="numbering" w:customStyle="1" w:styleId="berschriftenliste">
    <w:name w:val="Überschriftenliste"/>
    <w:basedOn w:val="NoList"/>
    <w:pPr>
      <w:numPr>
        <w:numId w:val="45"/>
      </w:numPr>
    </w:pPr>
  </w:style>
  <w:style w:type="paragraph" w:styleId="Signature">
    <w:name w:val="Signature"/>
    <w:basedOn w:val="Normal"/>
    <w:link w:val="SignatureChar"/>
    <w:semiHidden/>
    <w:pPr>
      <w:spacing w:after="100"/>
      <w:jc w:val="both"/>
    </w:pPr>
    <w:rPr>
      <w:rFonts w:ascii="Georgia" w:eastAsia="Times New Roman" w:hAnsi="Georgia" w:cs="Times New Roman"/>
      <w:lang w:val="en-GB" w:eastAsia="de-DE"/>
    </w:rPr>
  </w:style>
  <w:style w:type="character" w:customStyle="1" w:styleId="SignatureChar">
    <w:name w:val="Signature Char"/>
    <w:basedOn w:val="DefaultParagraphFont"/>
    <w:link w:val="Signature"/>
    <w:semiHidden/>
    <w:rPr>
      <w:rFonts w:ascii="Georgia" w:eastAsia="Times New Roman" w:hAnsi="Georgia" w:cs="Times New Roman"/>
      <w:sz w:val="24"/>
      <w:lang w:val="en-GB" w:eastAsia="de-DE"/>
    </w:rPr>
  </w:style>
  <w:style w:type="character" w:styleId="LineNumber">
    <w:name w:val="line number"/>
    <w:basedOn w:val="DefaultParagraphFont"/>
  </w:style>
  <w:style w:type="table" w:customStyle="1" w:styleId="IRB-Tabelle">
    <w:name w:val="IRB-Tabelle"/>
    <w:basedOn w:val="TableNormal"/>
    <w:semiHidden/>
    <w:pPr>
      <w:spacing w:before="180" w:after="0" w:line="330" w:lineRule="atLeast"/>
      <w:jc w:val="both"/>
    </w:pPr>
    <w:rPr>
      <w:rFonts w:ascii="Frutiger 45 Light" w:eastAsia="Times New Roman" w:hAnsi="Frutiger 45 Light" w:cs="Times New Roman"/>
      <w:sz w:val="18"/>
      <w:szCs w:val="20"/>
      <w:lang w:val="de-DE" w:eastAsia="de-DE"/>
    </w:rPr>
    <w:tblPr>
      <w:tblStyleRowBandSize w:val="1"/>
      <w:tblInd w:w="125" w:type="dxa"/>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U11f">
    <w:name w:val="U11f"/>
    <w:basedOn w:val="Normal"/>
    <w:next w:val="Normal"/>
    <w:pPr>
      <w:keepNext/>
      <w:keepLines/>
      <w:tabs>
        <w:tab w:val="left" w:pos="1134"/>
      </w:tabs>
      <w:spacing w:before="320" w:after="100"/>
    </w:pPr>
    <w:rPr>
      <w:rFonts w:ascii="Georgia" w:eastAsia="Times New Roman" w:hAnsi="Georgia" w:cs="Times New Roman"/>
      <w:b/>
      <w:lang w:val="en-GB" w:eastAsia="de-DE"/>
    </w:rPr>
  </w:style>
  <w:style w:type="paragraph" w:customStyle="1" w:styleId="U11k">
    <w:name w:val="U11k"/>
    <w:basedOn w:val="U11f"/>
    <w:next w:val="Normal"/>
  </w:style>
  <w:style w:type="table" w:styleId="TableClassic3">
    <w:name w:val="Table Classic 3"/>
    <w:basedOn w:val="TableNormal"/>
    <w:pPr>
      <w:spacing w:after="100" w:line="240" w:lineRule="auto"/>
      <w:jc w:val="both"/>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MediumList22">
    <w:name w:val="Medium List 22"/>
    <w:basedOn w:val="TableNormal"/>
    <w:uiPriority w:val="66"/>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1">
    <w:name w:val="Medium Shading 2 - Accent 11"/>
    <w:basedOn w:val="TableNormal"/>
    <w:uiPriority w:val="64"/>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BookTitle">
    <w:name w:val="Book Title"/>
    <w:basedOn w:val="DefaultParagraphFont"/>
    <w:uiPriority w:val="99"/>
    <w:qFormat/>
    <w:rPr>
      <w:b/>
      <w:bCs/>
      <w:smallCaps/>
      <w:spacing w:val="5"/>
    </w:rPr>
  </w:style>
  <w:style w:type="paragraph" w:customStyle="1" w:styleId="Heading11">
    <w:name w:val="Heading 11"/>
    <w:basedOn w:val="Normal"/>
    <w:next w:val="Normal"/>
    <w:uiPriority w:val="9"/>
    <w:qFormat/>
    <w:pPr>
      <w:keepNext/>
      <w:keepLines/>
      <w:spacing w:before="240" w:after="240" w:line="259" w:lineRule="auto"/>
      <w:jc w:val="center"/>
      <w:outlineLvl w:val="0"/>
    </w:pPr>
    <w:rPr>
      <w:rFonts w:ascii="Georgia" w:eastAsia="MS PGothic" w:hAnsi="Georgia" w:cs="Mangal"/>
      <w:b/>
      <w:snapToGrid w:val="0"/>
      <w:color w:val="000000"/>
      <w:sz w:val="40"/>
      <w:szCs w:val="40"/>
      <w:lang w:val="en-US"/>
    </w:rPr>
  </w:style>
  <w:style w:type="paragraph" w:customStyle="1" w:styleId="Heading21">
    <w:name w:val="Heading 21"/>
    <w:basedOn w:val="Normal"/>
    <w:next w:val="Normal"/>
    <w:uiPriority w:val="9"/>
    <w:unhideWhenUsed/>
    <w:qFormat/>
    <w:pPr>
      <w:keepNext/>
      <w:keepLines/>
      <w:spacing w:before="120" w:line="259" w:lineRule="auto"/>
      <w:ind w:left="432" w:hanging="432"/>
      <w:jc w:val="both"/>
      <w:outlineLvl w:val="1"/>
    </w:pPr>
    <w:rPr>
      <w:rFonts w:ascii="Georgia" w:eastAsia="MS PGothic" w:hAnsi="Georgia" w:cs="Mangal"/>
      <w:b/>
      <w:snapToGrid w:val="0"/>
      <w:color w:val="000000"/>
      <w:sz w:val="26"/>
      <w:szCs w:val="26"/>
      <w:lang w:val="en-US"/>
    </w:rPr>
  </w:style>
  <w:style w:type="paragraph" w:customStyle="1" w:styleId="Heading31">
    <w:name w:val="Heading 31"/>
    <w:basedOn w:val="Normal"/>
    <w:next w:val="Normal"/>
    <w:uiPriority w:val="9"/>
    <w:unhideWhenUsed/>
    <w:qFormat/>
    <w:pPr>
      <w:keepNext/>
      <w:keepLines/>
      <w:tabs>
        <w:tab w:val="left" w:pos="-720"/>
      </w:tabs>
      <w:suppressAutoHyphens/>
      <w:spacing w:before="120"/>
      <w:ind w:left="576" w:hanging="576"/>
      <w:jc w:val="both"/>
      <w:outlineLvl w:val="2"/>
    </w:pPr>
    <w:rPr>
      <w:rFonts w:ascii="Georgia" w:eastAsia="MS PGothic" w:hAnsi="Georgia" w:cs="Mangal"/>
      <w:b/>
      <w:bCs/>
      <w:i/>
      <w:snapToGrid w:val="0"/>
      <w:color w:val="000000"/>
      <w:szCs w:val="24"/>
      <w:lang w:val="en-US" w:eastAsia="it-IT"/>
    </w:rPr>
  </w:style>
  <w:style w:type="paragraph" w:customStyle="1" w:styleId="Heading71">
    <w:name w:val="Heading 71"/>
    <w:basedOn w:val="Normal"/>
    <w:next w:val="Normal"/>
    <w:uiPriority w:val="9"/>
    <w:semiHidden/>
    <w:unhideWhenUsed/>
    <w:pPr>
      <w:keepNext/>
      <w:keepLines/>
      <w:spacing w:before="40" w:after="0" w:line="259" w:lineRule="auto"/>
      <w:ind w:left="1296" w:hanging="1296"/>
      <w:jc w:val="both"/>
      <w:outlineLvl w:val="6"/>
    </w:pPr>
    <w:rPr>
      <w:rFonts w:ascii="Calibri Light" w:eastAsia="MS PGothic" w:hAnsi="Calibri Light" w:cs="Mangal"/>
      <w:i/>
      <w:iCs/>
      <w:snapToGrid w:val="0"/>
      <w:color w:val="7C5700"/>
      <w:sz w:val="22"/>
      <w:szCs w:val="20"/>
      <w:lang w:val="en-US"/>
    </w:rPr>
  </w:style>
  <w:style w:type="paragraph" w:customStyle="1" w:styleId="Heading81">
    <w:name w:val="Heading 81"/>
    <w:basedOn w:val="Normal"/>
    <w:next w:val="Normal"/>
    <w:uiPriority w:val="9"/>
    <w:semiHidden/>
    <w:unhideWhenUsed/>
    <w:qFormat/>
    <w:pPr>
      <w:keepNext/>
      <w:keepLines/>
      <w:spacing w:before="40" w:after="0" w:line="259" w:lineRule="auto"/>
      <w:ind w:left="1440" w:hanging="1440"/>
      <w:jc w:val="both"/>
      <w:outlineLvl w:val="7"/>
    </w:pPr>
    <w:rPr>
      <w:rFonts w:ascii="Calibri Light" w:eastAsia="MS PGothic" w:hAnsi="Calibri Light" w:cs="Mangal"/>
      <w:snapToGrid w:val="0"/>
      <w:color w:val="272727"/>
      <w:sz w:val="21"/>
      <w:szCs w:val="21"/>
      <w:lang w:val="en-US"/>
    </w:rPr>
  </w:style>
  <w:style w:type="paragraph" w:customStyle="1" w:styleId="Heading91">
    <w:name w:val="Heading 91"/>
    <w:basedOn w:val="Normal"/>
    <w:next w:val="Normal"/>
    <w:uiPriority w:val="9"/>
    <w:semiHidden/>
    <w:unhideWhenUsed/>
    <w:qFormat/>
    <w:pPr>
      <w:keepNext/>
      <w:keepLines/>
      <w:spacing w:before="40" w:after="0" w:line="259" w:lineRule="auto"/>
      <w:ind w:left="1584" w:hanging="1584"/>
      <w:jc w:val="both"/>
      <w:outlineLvl w:val="8"/>
    </w:pPr>
    <w:rPr>
      <w:rFonts w:ascii="Calibri Light" w:eastAsia="MS PGothic" w:hAnsi="Calibri Light" w:cs="Mangal"/>
      <w:i/>
      <w:iCs/>
      <w:snapToGrid w:val="0"/>
      <w:color w:val="272727"/>
      <w:sz w:val="21"/>
      <w:szCs w:val="21"/>
      <w:lang w:val="en-US"/>
    </w:rPr>
  </w:style>
  <w:style w:type="numbering" w:customStyle="1" w:styleId="NoList1">
    <w:name w:val="No List1"/>
    <w:next w:val="NoList"/>
    <w:uiPriority w:val="99"/>
    <w:semiHidden/>
    <w:unhideWhenUsed/>
  </w:style>
  <w:style w:type="character" w:customStyle="1" w:styleId="SubtleEmphasis1">
    <w:name w:val="Subtle Emphasis1"/>
    <w:basedOn w:val="DefaultParagraphFont"/>
    <w:uiPriority w:val="19"/>
    <w:rPr>
      <w:i/>
      <w:iCs/>
      <w:color w:val="404040"/>
    </w:rPr>
  </w:style>
  <w:style w:type="paragraph" w:customStyle="1" w:styleId="TOCHeading1">
    <w:name w:val="TOC Heading1"/>
    <w:basedOn w:val="Heading1"/>
    <w:next w:val="Normal"/>
    <w:uiPriority w:val="39"/>
    <w:unhideWhenUsed/>
    <w:qFormat/>
    <w:pPr>
      <w:keepLines/>
      <w:numPr>
        <w:numId w:val="0"/>
      </w:numPr>
      <w:spacing w:after="0" w:line="259" w:lineRule="auto"/>
      <w:jc w:val="left"/>
    </w:pPr>
    <w:rPr>
      <w:rFonts w:ascii="Georgia" w:eastAsia="MS PGothic" w:hAnsi="Georgia" w:cs="Mangal"/>
      <w:smallCaps w:val="0"/>
      <w:snapToGrid w:val="0"/>
      <w:color w:val="000000"/>
      <w:sz w:val="40"/>
      <w:szCs w:val="40"/>
      <w:lang w:val="en-US" w:eastAsia="de-DE"/>
    </w:rPr>
  </w:style>
  <w:style w:type="paragraph" w:customStyle="1" w:styleId="TOC11">
    <w:name w:val="TOC 11"/>
    <w:basedOn w:val="Normal"/>
    <w:next w:val="Normal"/>
    <w:autoRedefine/>
    <w:uiPriority w:val="39"/>
    <w:unhideWhenUsed/>
    <w:pPr>
      <w:spacing w:before="360" w:after="0" w:line="259" w:lineRule="auto"/>
    </w:pPr>
    <w:rPr>
      <w:rFonts w:ascii="Calibri Light" w:eastAsia="Times New Roman" w:hAnsi="Calibri Light"/>
      <w:b/>
      <w:bCs/>
      <w:caps/>
      <w:snapToGrid w:val="0"/>
      <w:szCs w:val="24"/>
      <w:lang w:val="en-US"/>
    </w:rPr>
  </w:style>
  <w:style w:type="paragraph" w:customStyle="1" w:styleId="TOC21">
    <w:name w:val="TOC 21"/>
    <w:basedOn w:val="Normal"/>
    <w:next w:val="Normal"/>
    <w:autoRedefine/>
    <w:uiPriority w:val="39"/>
    <w:unhideWhenUsed/>
    <w:pPr>
      <w:spacing w:before="240" w:after="0" w:line="259" w:lineRule="auto"/>
    </w:pPr>
    <w:rPr>
      <w:rFonts w:asciiTheme="minorHAnsi" w:eastAsia="Times New Roman" w:hAnsiTheme="minorHAnsi"/>
      <w:b/>
      <w:bCs/>
      <w:snapToGrid w:val="0"/>
      <w:sz w:val="20"/>
      <w:szCs w:val="20"/>
      <w:lang w:val="en-US"/>
    </w:rPr>
  </w:style>
  <w:style w:type="paragraph" w:customStyle="1" w:styleId="TOC31">
    <w:name w:val="TOC 31"/>
    <w:basedOn w:val="Normal"/>
    <w:next w:val="Normal"/>
    <w:autoRedefine/>
    <w:uiPriority w:val="39"/>
    <w:unhideWhenUsed/>
    <w:pPr>
      <w:spacing w:after="0" w:line="259" w:lineRule="auto"/>
      <w:ind w:left="220"/>
    </w:pPr>
    <w:rPr>
      <w:rFonts w:asciiTheme="minorHAnsi" w:eastAsia="Times New Roman" w:hAnsiTheme="minorHAnsi"/>
      <w:snapToGrid w:val="0"/>
      <w:sz w:val="20"/>
      <w:szCs w:val="20"/>
      <w:lang w:val="en-US"/>
    </w:rPr>
  </w:style>
  <w:style w:type="paragraph" w:customStyle="1" w:styleId="TOC41">
    <w:name w:val="TOC 41"/>
    <w:basedOn w:val="Normal"/>
    <w:next w:val="Normal"/>
    <w:autoRedefine/>
    <w:uiPriority w:val="39"/>
    <w:unhideWhenUsed/>
    <w:pPr>
      <w:spacing w:after="0" w:line="259" w:lineRule="auto"/>
      <w:ind w:left="440"/>
    </w:pPr>
    <w:rPr>
      <w:rFonts w:asciiTheme="minorHAnsi" w:eastAsia="Times New Roman" w:hAnsiTheme="minorHAnsi"/>
      <w:snapToGrid w:val="0"/>
      <w:sz w:val="20"/>
      <w:szCs w:val="20"/>
      <w:lang w:val="en-US"/>
    </w:rPr>
  </w:style>
  <w:style w:type="paragraph" w:customStyle="1" w:styleId="Tiret1">
    <w:name w:val="Tiret 1"/>
    <w:basedOn w:val="Normal"/>
    <w:autoRedefine/>
    <w:pPr>
      <w:numPr>
        <w:numId w:val="46"/>
      </w:numPr>
      <w:tabs>
        <w:tab w:val="clear" w:pos="360"/>
        <w:tab w:val="left" w:pos="-720"/>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40"/>
      <w:jc w:val="both"/>
      <w:outlineLvl w:val="0"/>
    </w:pPr>
    <w:rPr>
      <w:rFonts w:ascii="Arial" w:eastAsia="Times New Roman" w:hAnsi="Arial" w:cs="Times New Roman"/>
      <w:bCs/>
      <w:color w:val="000000"/>
      <w:sz w:val="22"/>
      <w:szCs w:val="20"/>
      <w:lang w:val="en-GB" w:eastAsia="en-GB"/>
    </w:rPr>
  </w:style>
  <w:style w:type="table" w:styleId="TableList1">
    <w:name w:val="Table List 1"/>
    <w:basedOn w:val="TableNormal"/>
    <w:pPr>
      <w:tabs>
        <w:tab w:val="left" w:pos="-720"/>
      </w:tabs>
      <w:suppressAutoHyphens/>
      <w:spacing w:after="100"/>
      <w:jc w:val="both"/>
      <w:outlineLvl w:val="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OC51">
    <w:name w:val="TOC 51"/>
    <w:basedOn w:val="Normal"/>
    <w:next w:val="Normal"/>
    <w:autoRedefine/>
    <w:uiPriority w:val="39"/>
    <w:unhideWhenUsed/>
    <w:pPr>
      <w:spacing w:after="0" w:line="259" w:lineRule="auto"/>
      <w:ind w:left="660"/>
    </w:pPr>
    <w:rPr>
      <w:rFonts w:asciiTheme="minorHAnsi" w:eastAsia="Times New Roman" w:hAnsiTheme="minorHAnsi"/>
      <w:snapToGrid w:val="0"/>
      <w:sz w:val="20"/>
      <w:szCs w:val="20"/>
      <w:lang w:val="en-US"/>
    </w:rPr>
  </w:style>
  <w:style w:type="paragraph" w:customStyle="1" w:styleId="TOC61">
    <w:name w:val="TOC 61"/>
    <w:basedOn w:val="Normal"/>
    <w:next w:val="Normal"/>
    <w:autoRedefine/>
    <w:uiPriority w:val="39"/>
    <w:unhideWhenUsed/>
    <w:pPr>
      <w:spacing w:after="0" w:line="259" w:lineRule="auto"/>
      <w:ind w:left="880"/>
    </w:pPr>
    <w:rPr>
      <w:rFonts w:asciiTheme="minorHAnsi" w:eastAsia="Times New Roman" w:hAnsiTheme="minorHAnsi"/>
      <w:snapToGrid w:val="0"/>
      <w:sz w:val="20"/>
      <w:szCs w:val="20"/>
      <w:lang w:val="en-US"/>
    </w:rPr>
  </w:style>
  <w:style w:type="paragraph" w:customStyle="1" w:styleId="TOC71">
    <w:name w:val="TOC 71"/>
    <w:basedOn w:val="Normal"/>
    <w:next w:val="Normal"/>
    <w:autoRedefine/>
    <w:uiPriority w:val="39"/>
    <w:unhideWhenUsed/>
    <w:pPr>
      <w:spacing w:after="0" w:line="259" w:lineRule="auto"/>
      <w:ind w:left="1100"/>
    </w:pPr>
    <w:rPr>
      <w:rFonts w:asciiTheme="minorHAnsi" w:eastAsia="Times New Roman" w:hAnsiTheme="minorHAnsi"/>
      <w:snapToGrid w:val="0"/>
      <w:sz w:val="20"/>
      <w:szCs w:val="20"/>
      <w:lang w:val="en-US"/>
    </w:rPr>
  </w:style>
  <w:style w:type="paragraph" w:customStyle="1" w:styleId="TOC81">
    <w:name w:val="TOC 81"/>
    <w:basedOn w:val="Normal"/>
    <w:next w:val="Normal"/>
    <w:autoRedefine/>
    <w:uiPriority w:val="39"/>
    <w:unhideWhenUsed/>
    <w:pPr>
      <w:spacing w:after="0" w:line="259" w:lineRule="auto"/>
      <w:ind w:left="1320"/>
    </w:pPr>
    <w:rPr>
      <w:rFonts w:asciiTheme="minorHAnsi" w:eastAsia="Times New Roman" w:hAnsiTheme="minorHAnsi"/>
      <w:snapToGrid w:val="0"/>
      <w:sz w:val="20"/>
      <w:szCs w:val="20"/>
      <w:lang w:val="en-US"/>
    </w:rPr>
  </w:style>
  <w:style w:type="paragraph" w:customStyle="1" w:styleId="TOC91">
    <w:name w:val="TOC 91"/>
    <w:basedOn w:val="Normal"/>
    <w:next w:val="Normal"/>
    <w:autoRedefine/>
    <w:uiPriority w:val="39"/>
    <w:unhideWhenUsed/>
    <w:pPr>
      <w:spacing w:after="0" w:line="259" w:lineRule="auto"/>
      <w:ind w:left="1540"/>
    </w:pPr>
    <w:rPr>
      <w:rFonts w:asciiTheme="minorHAnsi" w:eastAsia="Times New Roman" w:hAnsiTheme="minorHAnsi"/>
      <w:snapToGrid w:val="0"/>
      <w:sz w:val="20"/>
      <w:szCs w:val="20"/>
      <w:lang w:val="en-US"/>
    </w:rPr>
  </w:style>
  <w:style w:type="character" w:customStyle="1" w:styleId="FollowedHyperlink1">
    <w:name w:val="FollowedHyperlink1"/>
    <w:basedOn w:val="DefaultParagraphFont"/>
    <w:uiPriority w:val="99"/>
    <w:semiHidden/>
    <w:unhideWhenUsed/>
    <w:rPr>
      <w:color w:val="9F6715"/>
      <w:u w:val="single"/>
    </w:rPr>
  </w:style>
  <w:style w:type="character" w:customStyle="1" w:styleId="Heading3Char1">
    <w:name w:val="Heading 3 Char1"/>
    <w:basedOn w:val="DefaultParagraphFont"/>
    <w:uiPriority w:val="9"/>
    <w:rPr>
      <w:rFonts w:ascii="Georgia" w:hAnsi="Georgia"/>
      <w:i/>
      <w:sz w:val="26"/>
      <w:szCs w:val="22"/>
      <w:lang w:val="en-GB"/>
    </w:rPr>
  </w:style>
  <w:style w:type="character" w:customStyle="1" w:styleId="Heading1Char1">
    <w:name w:val="Heading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7Char1">
    <w:name w:val="Heading 7 Char1"/>
    <w:basedOn w:val="DefaultParagraphFont"/>
    <w:uiPriority w:val="9"/>
    <w:semiHidden/>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Pr>
      <w:rFonts w:asciiTheme="majorHAnsi" w:eastAsiaTheme="majorEastAsia" w:hAnsiTheme="majorHAnsi" w:cstheme="majorBidi"/>
      <w:i/>
      <w:iCs/>
      <w:color w:val="272727" w:themeColor="text1" w:themeTint="D8"/>
      <w:sz w:val="21"/>
      <w:szCs w:val="21"/>
    </w:rPr>
  </w:style>
  <w:style w:type="numbering" w:customStyle="1" w:styleId="NoList2">
    <w:name w:val="No List2"/>
    <w:next w:val="NoList"/>
    <w:uiPriority w:val="99"/>
    <w:semiHidden/>
    <w:unhideWhenUsed/>
  </w:style>
  <w:style w:type="paragraph" w:customStyle="1" w:styleId="TOCHeading2">
    <w:name w:val="TOC Heading2"/>
    <w:basedOn w:val="Heading1"/>
    <w:next w:val="Normal"/>
    <w:uiPriority w:val="39"/>
    <w:unhideWhenUsed/>
    <w:qFormat/>
    <w:pPr>
      <w:keepLines/>
      <w:numPr>
        <w:numId w:val="0"/>
      </w:numPr>
      <w:spacing w:after="0" w:line="259" w:lineRule="auto"/>
      <w:jc w:val="left"/>
      <w:outlineLvl w:val="9"/>
    </w:pPr>
    <w:rPr>
      <w:rFonts w:ascii="Calibri Light" w:hAnsi="Calibri Light"/>
      <w:b w:val="0"/>
      <w:smallCaps w:val="0"/>
      <w:color w:val="BA8300"/>
      <w:sz w:val="32"/>
      <w:szCs w:val="32"/>
      <w:lang w:val="it-IT" w:eastAsia="it-IT"/>
    </w:rPr>
  </w:style>
  <w:style w:type="paragraph" w:customStyle="1" w:styleId="TOC12">
    <w:name w:val="TOC 12"/>
    <w:basedOn w:val="Normal"/>
    <w:next w:val="Normal"/>
    <w:autoRedefine/>
    <w:uiPriority w:val="39"/>
    <w:unhideWhenUsed/>
    <w:pPr>
      <w:spacing w:before="360" w:after="0" w:line="259" w:lineRule="auto"/>
    </w:pPr>
    <w:rPr>
      <w:rFonts w:ascii="Calibri Light" w:eastAsia="Times New Roman" w:hAnsi="Calibri Light"/>
      <w:b/>
      <w:bCs/>
      <w:caps/>
      <w:snapToGrid w:val="0"/>
      <w:szCs w:val="24"/>
      <w:lang w:val="en-US"/>
    </w:rPr>
  </w:style>
  <w:style w:type="paragraph" w:customStyle="1" w:styleId="TOC22">
    <w:name w:val="TOC 22"/>
    <w:basedOn w:val="Normal"/>
    <w:next w:val="Normal"/>
    <w:autoRedefine/>
    <w:uiPriority w:val="39"/>
    <w:unhideWhenUsed/>
    <w:pPr>
      <w:spacing w:before="240" w:after="0" w:line="259" w:lineRule="auto"/>
    </w:pPr>
    <w:rPr>
      <w:rFonts w:asciiTheme="minorHAnsi" w:eastAsia="Times New Roman" w:hAnsiTheme="minorHAnsi"/>
      <w:b/>
      <w:bCs/>
      <w:snapToGrid w:val="0"/>
      <w:sz w:val="20"/>
      <w:szCs w:val="20"/>
      <w:lang w:val="en-US"/>
    </w:rPr>
  </w:style>
  <w:style w:type="paragraph" w:customStyle="1" w:styleId="TOC32">
    <w:name w:val="TOC 32"/>
    <w:basedOn w:val="Normal"/>
    <w:next w:val="Normal"/>
    <w:autoRedefine/>
    <w:uiPriority w:val="39"/>
    <w:unhideWhenUsed/>
    <w:pPr>
      <w:spacing w:after="0" w:line="259" w:lineRule="auto"/>
      <w:ind w:left="220"/>
    </w:pPr>
    <w:rPr>
      <w:rFonts w:asciiTheme="minorHAnsi" w:eastAsia="Times New Roman" w:hAnsiTheme="minorHAnsi"/>
      <w:snapToGrid w:val="0"/>
      <w:sz w:val="20"/>
      <w:szCs w:val="20"/>
      <w:lang w:val="en-US"/>
    </w:rPr>
  </w:style>
  <w:style w:type="paragraph" w:customStyle="1" w:styleId="TOC42">
    <w:name w:val="TOC 42"/>
    <w:basedOn w:val="Normal"/>
    <w:next w:val="Normal"/>
    <w:autoRedefine/>
    <w:uiPriority w:val="39"/>
    <w:unhideWhenUsed/>
    <w:pPr>
      <w:spacing w:after="0" w:line="259" w:lineRule="auto"/>
      <w:ind w:left="440"/>
    </w:pPr>
    <w:rPr>
      <w:rFonts w:asciiTheme="minorHAnsi" w:eastAsia="Times New Roman" w:hAnsiTheme="minorHAnsi"/>
      <w:snapToGrid w:val="0"/>
      <w:sz w:val="20"/>
      <w:szCs w:val="20"/>
      <w:lang w:val="en-US"/>
    </w:rPr>
  </w:style>
  <w:style w:type="table" w:customStyle="1" w:styleId="TableGridIDEA1">
    <w:name w:val="Table Grid IDEA1"/>
    <w:basedOn w:val="TableNormal"/>
    <w:next w:val="TableGrid"/>
    <w:uiPriority w:val="59"/>
    <w:pPr>
      <w:spacing w:after="0" w:line="240" w:lineRule="auto"/>
    </w:pPr>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1">
    <w:name w:val="Table List 11"/>
    <w:basedOn w:val="TableNormal"/>
    <w:next w:val="TableList1"/>
    <w:pPr>
      <w:tabs>
        <w:tab w:val="left" w:pos="-720"/>
      </w:tabs>
      <w:suppressAutoHyphens/>
      <w:spacing w:after="100"/>
      <w:jc w:val="both"/>
      <w:outlineLvl w:val="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4-Accent111">
    <w:name w:val="Grid Table 4 - Accent 111"/>
    <w:basedOn w:val="TableNormal"/>
    <w:uiPriority w:val="49"/>
    <w:pPr>
      <w:spacing w:after="0" w:line="240" w:lineRule="auto"/>
    </w:pPr>
    <w:rPr>
      <w:rFonts w:eastAsia="Times New Roman"/>
      <w:lang w:val="en-US"/>
    </w:rPr>
    <w:tblPr>
      <w:tblStyleRowBandSize w:val="1"/>
      <w:tblStyleColBandSize w:val="1"/>
      <w:tblBorders>
        <w:top w:val="single" w:sz="4" w:space="0" w:color="FFD062"/>
        <w:left w:val="single" w:sz="4" w:space="0" w:color="FFD062"/>
        <w:bottom w:val="single" w:sz="4" w:space="0" w:color="FFD062"/>
        <w:right w:val="single" w:sz="4" w:space="0" w:color="FFD062"/>
        <w:insideH w:val="single" w:sz="4" w:space="0" w:color="FFD062"/>
        <w:insideV w:val="single" w:sz="4" w:space="0" w:color="FFD062"/>
      </w:tblBorders>
    </w:tblPr>
    <w:tblStylePr w:type="firstRow">
      <w:rPr>
        <w:b/>
        <w:bCs/>
        <w:color w:val="FFFFFF"/>
      </w:rPr>
      <w:tblPr/>
      <w:tcPr>
        <w:tcBorders>
          <w:top w:val="single" w:sz="4" w:space="0" w:color="F9B000"/>
          <w:left w:val="single" w:sz="4" w:space="0" w:color="F9B000"/>
          <w:bottom w:val="single" w:sz="4" w:space="0" w:color="F9B000"/>
          <w:right w:val="single" w:sz="4" w:space="0" w:color="F9B000"/>
          <w:insideH w:val="nil"/>
          <w:insideV w:val="nil"/>
        </w:tcBorders>
        <w:shd w:val="clear" w:color="auto" w:fill="F9B000"/>
      </w:tcPr>
    </w:tblStylePr>
    <w:tblStylePr w:type="lastRow">
      <w:rPr>
        <w:b/>
        <w:bCs/>
      </w:rPr>
      <w:tblPr/>
      <w:tcPr>
        <w:tcBorders>
          <w:top w:val="double" w:sz="4" w:space="0" w:color="F9B000"/>
        </w:tcBorders>
      </w:tcPr>
    </w:tblStylePr>
    <w:tblStylePr w:type="firstCol">
      <w:rPr>
        <w:b/>
        <w:bCs/>
      </w:rPr>
    </w:tblStylePr>
    <w:tblStylePr w:type="lastCol">
      <w:rPr>
        <w:b/>
        <w:bCs/>
      </w:rPr>
    </w:tblStylePr>
    <w:tblStylePr w:type="band1Vert">
      <w:tblPr/>
      <w:tcPr>
        <w:shd w:val="clear" w:color="auto" w:fill="FFEFCA"/>
      </w:tcPr>
    </w:tblStylePr>
    <w:tblStylePr w:type="band1Horz">
      <w:tblPr/>
      <w:tcPr>
        <w:shd w:val="clear" w:color="auto" w:fill="FFEFCA"/>
      </w:tcPr>
    </w:tblStylePr>
  </w:style>
  <w:style w:type="paragraph" w:customStyle="1" w:styleId="TOC52">
    <w:name w:val="TOC 52"/>
    <w:basedOn w:val="Normal"/>
    <w:next w:val="Normal"/>
    <w:autoRedefine/>
    <w:uiPriority w:val="39"/>
    <w:unhideWhenUsed/>
    <w:pPr>
      <w:spacing w:after="0" w:line="259" w:lineRule="auto"/>
      <w:ind w:left="660"/>
    </w:pPr>
    <w:rPr>
      <w:rFonts w:asciiTheme="minorHAnsi" w:eastAsia="Times New Roman" w:hAnsiTheme="minorHAnsi"/>
      <w:snapToGrid w:val="0"/>
      <w:sz w:val="20"/>
      <w:szCs w:val="20"/>
      <w:lang w:val="en-US"/>
    </w:rPr>
  </w:style>
  <w:style w:type="paragraph" w:customStyle="1" w:styleId="TOC62">
    <w:name w:val="TOC 62"/>
    <w:basedOn w:val="Normal"/>
    <w:next w:val="Normal"/>
    <w:autoRedefine/>
    <w:uiPriority w:val="39"/>
    <w:unhideWhenUsed/>
    <w:pPr>
      <w:spacing w:after="0" w:line="259" w:lineRule="auto"/>
      <w:ind w:left="880"/>
    </w:pPr>
    <w:rPr>
      <w:rFonts w:asciiTheme="minorHAnsi" w:eastAsia="Times New Roman" w:hAnsiTheme="minorHAnsi"/>
      <w:snapToGrid w:val="0"/>
      <w:sz w:val="20"/>
      <w:szCs w:val="20"/>
      <w:lang w:val="en-US"/>
    </w:rPr>
  </w:style>
  <w:style w:type="paragraph" w:customStyle="1" w:styleId="TOC72">
    <w:name w:val="TOC 72"/>
    <w:basedOn w:val="Normal"/>
    <w:next w:val="Normal"/>
    <w:autoRedefine/>
    <w:uiPriority w:val="39"/>
    <w:unhideWhenUsed/>
    <w:pPr>
      <w:spacing w:after="0" w:line="259" w:lineRule="auto"/>
      <w:ind w:left="1100"/>
    </w:pPr>
    <w:rPr>
      <w:rFonts w:asciiTheme="minorHAnsi" w:eastAsia="Times New Roman" w:hAnsiTheme="minorHAnsi"/>
      <w:snapToGrid w:val="0"/>
      <w:sz w:val="20"/>
      <w:szCs w:val="20"/>
      <w:lang w:val="en-US"/>
    </w:rPr>
  </w:style>
  <w:style w:type="paragraph" w:customStyle="1" w:styleId="TOC82">
    <w:name w:val="TOC 82"/>
    <w:basedOn w:val="Normal"/>
    <w:next w:val="Normal"/>
    <w:autoRedefine/>
    <w:uiPriority w:val="39"/>
    <w:unhideWhenUsed/>
    <w:pPr>
      <w:spacing w:after="0" w:line="259" w:lineRule="auto"/>
      <w:ind w:left="1320"/>
    </w:pPr>
    <w:rPr>
      <w:rFonts w:asciiTheme="minorHAnsi" w:eastAsia="Times New Roman" w:hAnsiTheme="minorHAnsi"/>
      <w:snapToGrid w:val="0"/>
      <w:sz w:val="20"/>
      <w:szCs w:val="20"/>
      <w:lang w:val="en-US"/>
    </w:rPr>
  </w:style>
  <w:style w:type="paragraph" w:customStyle="1" w:styleId="TOC92">
    <w:name w:val="TOC 92"/>
    <w:basedOn w:val="Normal"/>
    <w:next w:val="Normal"/>
    <w:autoRedefine/>
    <w:uiPriority w:val="39"/>
    <w:unhideWhenUsed/>
    <w:pPr>
      <w:spacing w:after="0" w:line="259" w:lineRule="auto"/>
      <w:ind w:left="1540"/>
    </w:pPr>
    <w:rPr>
      <w:rFonts w:asciiTheme="minorHAnsi" w:eastAsia="Times New Roman" w:hAnsiTheme="minorHAnsi"/>
      <w:snapToGrid w:val="0"/>
      <w:sz w:val="20"/>
      <w:szCs w:val="20"/>
      <w:lang w:val="en-US"/>
    </w:rPr>
  </w:style>
  <w:style w:type="table" w:customStyle="1" w:styleId="EPS1">
    <w:name w:val="EPS1"/>
    <w:basedOn w:val="TableNormal"/>
    <w:uiPriority w:val="63"/>
    <w:pPr>
      <w:spacing w:after="0" w:line="240" w:lineRule="auto"/>
    </w:pPr>
    <w:rPr>
      <w:rFonts w:ascii="Cambria" w:eastAsia="Times New Roman" w:hAnsi="Cambria" w:cs="Times New Roman"/>
      <w:sz w:val="24"/>
      <w:szCs w:val="24"/>
      <w:lang w:val="it-IT"/>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3">
    <w:name w:val="No List3"/>
    <w:next w:val="NoList"/>
    <w:uiPriority w:val="99"/>
    <w:semiHidden/>
    <w:unhideWhenUsed/>
  </w:style>
  <w:style w:type="paragraph" w:customStyle="1" w:styleId="TOCHeading3">
    <w:name w:val="TOC Heading3"/>
    <w:basedOn w:val="Heading1"/>
    <w:next w:val="Normal"/>
    <w:uiPriority w:val="39"/>
    <w:unhideWhenUsed/>
    <w:qFormat/>
    <w:pPr>
      <w:keepLines/>
      <w:numPr>
        <w:numId w:val="0"/>
      </w:numPr>
      <w:spacing w:after="0" w:line="259" w:lineRule="auto"/>
      <w:jc w:val="left"/>
      <w:outlineLvl w:val="9"/>
    </w:pPr>
    <w:rPr>
      <w:rFonts w:ascii="Calibri Light" w:hAnsi="Calibri Light"/>
      <w:b w:val="0"/>
      <w:smallCaps w:val="0"/>
      <w:color w:val="BA8300"/>
      <w:sz w:val="32"/>
      <w:szCs w:val="32"/>
      <w:lang w:val="it-IT" w:eastAsia="it-IT"/>
    </w:rPr>
  </w:style>
  <w:style w:type="table" w:customStyle="1" w:styleId="GridTable5Dark-Accent112">
    <w:name w:val="Grid Table 5 Dark - Accent 112"/>
    <w:basedOn w:val="TableNormal"/>
    <w:uiPriority w:val="50"/>
    <w:pPr>
      <w:spacing w:after="0" w:line="240" w:lineRule="auto"/>
    </w:pPr>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FC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9B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9B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9B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9B000"/>
      </w:tcPr>
    </w:tblStylePr>
    <w:tblStylePr w:type="band1Vert">
      <w:tblPr/>
      <w:tcPr>
        <w:shd w:val="clear" w:color="auto" w:fill="FFE096"/>
      </w:tcPr>
    </w:tblStylePr>
    <w:tblStylePr w:type="band1Horz">
      <w:tblPr/>
      <w:tcPr>
        <w:shd w:val="clear" w:color="auto" w:fill="FFE096"/>
      </w:tcPr>
    </w:tblStylePr>
  </w:style>
  <w:style w:type="paragraph" w:customStyle="1" w:styleId="TOC13">
    <w:name w:val="TOC 13"/>
    <w:basedOn w:val="Normal"/>
    <w:next w:val="Normal"/>
    <w:autoRedefine/>
    <w:uiPriority w:val="39"/>
    <w:unhideWhenUsed/>
    <w:pPr>
      <w:spacing w:before="360" w:after="0" w:line="259" w:lineRule="auto"/>
    </w:pPr>
    <w:rPr>
      <w:rFonts w:ascii="Calibri Light" w:eastAsia="Times New Roman" w:hAnsi="Calibri Light"/>
      <w:b/>
      <w:bCs/>
      <w:caps/>
      <w:snapToGrid w:val="0"/>
      <w:szCs w:val="24"/>
      <w:lang w:val="en-US"/>
    </w:rPr>
  </w:style>
  <w:style w:type="paragraph" w:customStyle="1" w:styleId="TOC23">
    <w:name w:val="TOC 23"/>
    <w:basedOn w:val="Normal"/>
    <w:next w:val="Normal"/>
    <w:autoRedefine/>
    <w:uiPriority w:val="39"/>
    <w:unhideWhenUsed/>
    <w:pPr>
      <w:spacing w:before="240" w:after="0" w:line="259" w:lineRule="auto"/>
    </w:pPr>
    <w:rPr>
      <w:rFonts w:asciiTheme="minorHAnsi" w:eastAsia="Times New Roman" w:hAnsiTheme="minorHAnsi"/>
      <w:b/>
      <w:bCs/>
      <w:snapToGrid w:val="0"/>
      <w:sz w:val="20"/>
      <w:szCs w:val="20"/>
      <w:lang w:val="en-US"/>
    </w:rPr>
  </w:style>
  <w:style w:type="paragraph" w:customStyle="1" w:styleId="TOC33">
    <w:name w:val="TOC 33"/>
    <w:basedOn w:val="Normal"/>
    <w:next w:val="Normal"/>
    <w:autoRedefine/>
    <w:uiPriority w:val="39"/>
    <w:unhideWhenUsed/>
    <w:pPr>
      <w:spacing w:after="0" w:line="259" w:lineRule="auto"/>
      <w:ind w:left="220"/>
    </w:pPr>
    <w:rPr>
      <w:rFonts w:asciiTheme="minorHAnsi" w:eastAsia="Times New Roman" w:hAnsiTheme="minorHAnsi"/>
      <w:snapToGrid w:val="0"/>
      <w:sz w:val="20"/>
      <w:szCs w:val="20"/>
      <w:lang w:val="en-US"/>
    </w:rPr>
  </w:style>
  <w:style w:type="paragraph" w:customStyle="1" w:styleId="TOC43">
    <w:name w:val="TOC 43"/>
    <w:basedOn w:val="Normal"/>
    <w:next w:val="Normal"/>
    <w:autoRedefine/>
    <w:uiPriority w:val="39"/>
    <w:unhideWhenUsed/>
    <w:pPr>
      <w:spacing w:after="0" w:line="259" w:lineRule="auto"/>
      <w:ind w:left="440"/>
    </w:pPr>
    <w:rPr>
      <w:rFonts w:asciiTheme="minorHAnsi" w:eastAsia="Times New Roman" w:hAnsiTheme="minorHAnsi"/>
      <w:snapToGrid w:val="0"/>
      <w:sz w:val="20"/>
      <w:szCs w:val="20"/>
      <w:lang w:val="en-US"/>
    </w:rPr>
  </w:style>
  <w:style w:type="table" w:customStyle="1" w:styleId="TableGridIDEA2">
    <w:name w:val="Table Grid IDEA2"/>
    <w:basedOn w:val="TableNormal"/>
    <w:next w:val="TableGrid"/>
    <w:uiPriority w:val="59"/>
    <w:pPr>
      <w:spacing w:after="0" w:line="240" w:lineRule="auto"/>
    </w:pPr>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2">
    <w:name w:val="Table List 12"/>
    <w:basedOn w:val="TableNormal"/>
    <w:next w:val="TableList1"/>
    <w:pPr>
      <w:tabs>
        <w:tab w:val="left" w:pos="-720"/>
      </w:tabs>
      <w:suppressAutoHyphens/>
      <w:spacing w:after="100"/>
      <w:jc w:val="both"/>
      <w:outlineLvl w:val="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4-Accent112">
    <w:name w:val="Grid Table 4 - Accent 112"/>
    <w:basedOn w:val="TableNormal"/>
    <w:uiPriority w:val="49"/>
    <w:pPr>
      <w:spacing w:after="0" w:line="240" w:lineRule="auto"/>
    </w:pPr>
    <w:rPr>
      <w:rFonts w:eastAsia="Times New Roman"/>
      <w:lang w:val="en-US"/>
    </w:rPr>
    <w:tblPr>
      <w:tblStyleRowBandSize w:val="1"/>
      <w:tblStyleColBandSize w:val="1"/>
      <w:tblBorders>
        <w:top w:val="single" w:sz="4" w:space="0" w:color="FFD062"/>
        <w:left w:val="single" w:sz="4" w:space="0" w:color="FFD062"/>
        <w:bottom w:val="single" w:sz="4" w:space="0" w:color="FFD062"/>
        <w:right w:val="single" w:sz="4" w:space="0" w:color="FFD062"/>
        <w:insideH w:val="single" w:sz="4" w:space="0" w:color="FFD062"/>
        <w:insideV w:val="single" w:sz="4" w:space="0" w:color="FFD062"/>
      </w:tblBorders>
    </w:tblPr>
    <w:tblStylePr w:type="firstRow">
      <w:rPr>
        <w:b/>
        <w:bCs/>
        <w:color w:val="FFFFFF"/>
      </w:rPr>
      <w:tblPr/>
      <w:tcPr>
        <w:tcBorders>
          <w:top w:val="single" w:sz="4" w:space="0" w:color="F9B000"/>
          <w:left w:val="single" w:sz="4" w:space="0" w:color="F9B000"/>
          <w:bottom w:val="single" w:sz="4" w:space="0" w:color="F9B000"/>
          <w:right w:val="single" w:sz="4" w:space="0" w:color="F9B000"/>
          <w:insideH w:val="nil"/>
          <w:insideV w:val="nil"/>
        </w:tcBorders>
        <w:shd w:val="clear" w:color="auto" w:fill="F9B000"/>
      </w:tcPr>
    </w:tblStylePr>
    <w:tblStylePr w:type="lastRow">
      <w:rPr>
        <w:b/>
        <w:bCs/>
      </w:rPr>
      <w:tblPr/>
      <w:tcPr>
        <w:tcBorders>
          <w:top w:val="double" w:sz="4" w:space="0" w:color="F9B000"/>
        </w:tcBorders>
      </w:tcPr>
    </w:tblStylePr>
    <w:tblStylePr w:type="firstCol">
      <w:rPr>
        <w:b/>
        <w:bCs/>
      </w:rPr>
    </w:tblStylePr>
    <w:tblStylePr w:type="lastCol">
      <w:rPr>
        <w:b/>
        <w:bCs/>
      </w:rPr>
    </w:tblStylePr>
    <w:tblStylePr w:type="band1Vert">
      <w:tblPr/>
      <w:tcPr>
        <w:shd w:val="clear" w:color="auto" w:fill="FFEFCA"/>
      </w:tcPr>
    </w:tblStylePr>
    <w:tblStylePr w:type="band1Horz">
      <w:tblPr/>
      <w:tcPr>
        <w:shd w:val="clear" w:color="auto" w:fill="FFEFCA"/>
      </w:tcPr>
    </w:tblStylePr>
  </w:style>
  <w:style w:type="paragraph" w:customStyle="1" w:styleId="TOC53">
    <w:name w:val="TOC 53"/>
    <w:basedOn w:val="Normal"/>
    <w:next w:val="Normal"/>
    <w:autoRedefine/>
    <w:uiPriority w:val="39"/>
    <w:unhideWhenUsed/>
    <w:pPr>
      <w:spacing w:after="0" w:line="259" w:lineRule="auto"/>
      <w:ind w:left="660"/>
    </w:pPr>
    <w:rPr>
      <w:rFonts w:asciiTheme="minorHAnsi" w:eastAsia="Times New Roman" w:hAnsiTheme="minorHAnsi"/>
      <w:snapToGrid w:val="0"/>
      <w:sz w:val="20"/>
      <w:szCs w:val="20"/>
      <w:lang w:val="en-US"/>
    </w:rPr>
  </w:style>
  <w:style w:type="paragraph" w:customStyle="1" w:styleId="TOC63">
    <w:name w:val="TOC 63"/>
    <w:basedOn w:val="Normal"/>
    <w:next w:val="Normal"/>
    <w:autoRedefine/>
    <w:uiPriority w:val="39"/>
    <w:unhideWhenUsed/>
    <w:pPr>
      <w:spacing w:after="0" w:line="259" w:lineRule="auto"/>
      <w:ind w:left="880"/>
    </w:pPr>
    <w:rPr>
      <w:rFonts w:asciiTheme="minorHAnsi" w:eastAsia="Times New Roman" w:hAnsiTheme="minorHAnsi"/>
      <w:snapToGrid w:val="0"/>
      <w:sz w:val="20"/>
      <w:szCs w:val="20"/>
      <w:lang w:val="en-US"/>
    </w:rPr>
  </w:style>
  <w:style w:type="paragraph" w:customStyle="1" w:styleId="TOC73">
    <w:name w:val="TOC 73"/>
    <w:basedOn w:val="Normal"/>
    <w:next w:val="Normal"/>
    <w:autoRedefine/>
    <w:uiPriority w:val="39"/>
    <w:unhideWhenUsed/>
    <w:pPr>
      <w:spacing w:after="0" w:line="259" w:lineRule="auto"/>
      <w:ind w:left="1100"/>
    </w:pPr>
    <w:rPr>
      <w:rFonts w:asciiTheme="minorHAnsi" w:eastAsia="Times New Roman" w:hAnsiTheme="minorHAnsi"/>
      <w:snapToGrid w:val="0"/>
      <w:sz w:val="20"/>
      <w:szCs w:val="20"/>
      <w:lang w:val="en-US"/>
    </w:rPr>
  </w:style>
  <w:style w:type="paragraph" w:customStyle="1" w:styleId="TOC83">
    <w:name w:val="TOC 83"/>
    <w:basedOn w:val="Normal"/>
    <w:next w:val="Normal"/>
    <w:autoRedefine/>
    <w:uiPriority w:val="39"/>
    <w:unhideWhenUsed/>
    <w:pPr>
      <w:spacing w:after="0" w:line="259" w:lineRule="auto"/>
      <w:ind w:left="1320"/>
    </w:pPr>
    <w:rPr>
      <w:rFonts w:asciiTheme="minorHAnsi" w:eastAsia="Times New Roman" w:hAnsiTheme="minorHAnsi"/>
      <w:snapToGrid w:val="0"/>
      <w:sz w:val="20"/>
      <w:szCs w:val="20"/>
      <w:lang w:val="en-US"/>
    </w:rPr>
  </w:style>
  <w:style w:type="paragraph" w:customStyle="1" w:styleId="TOC93">
    <w:name w:val="TOC 93"/>
    <w:basedOn w:val="Normal"/>
    <w:next w:val="Normal"/>
    <w:autoRedefine/>
    <w:uiPriority w:val="39"/>
    <w:unhideWhenUsed/>
    <w:pPr>
      <w:spacing w:after="0" w:line="259" w:lineRule="auto"/>
      <w:ind w:left="1540"/>
    </w:pPr>
    <w:rPr>
      <w:rFonts w:asciiTheme="minorHAnsi" w:eastAsia="Times New Roman" w:hAnsiTheme="minorHAnsi"/>
      <w:snapToGrid w:val="0"/>
      <w:sz w:val="20"/>
      <w:szCs w:val="20"/>
      <w:lang w:val="en-US"/>
    </w:rPr>
  </w:style>
  <w:style w:type="table" w:customStyle="1" w:styleId="EPS2">
    <w:name w:val="EPS2"/>
    <w:basedOn w:val="TableNormal"/>
    <w:uiPriority w:val="63"/>
    <w:pPr>
      <w:spacing w:after="0" w:line="240" w:lineRule="auto"/>
    </w:pPr>
    <w:rPr>
      <w:rFonts w:ascii="Cambria" w:eastAsia="Times New Roman" w:hAnsi="Cambria" w:cs="Times New Roman"/>
      <w:sz w:val="24"/>
      <w:szCs w:val="24"/>
      <w:lang w:val="it-IT"/>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ummaruudukkotaulukko5-korostus61">
    <w:name w:val="Tumma ruudukkotaulukko 5 - korostus 61"/>
    <w:basedOn w:val="TableNormal"/>
    <w:uiPriority w:val="50"/>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61">
    <w:name w:val="Grid Table 5 Dark - Accent 61"/>
    <w:basedOn w:val="TableNormal"/>
    <w:uiPriority w:val="50"/>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NoList4">
    <w:name w:val="No List4"/>
    <w:next w:val="NoList"/>
    <w:uiPriority w:val="99"/>
    <w:semiHidden/>
    <w:unhideWhenUsed/>
  </w:style>
  <w:style w:type="table" w:customStyle="1" w:styleId="GridTable5Dark-Accent113">
    <w:name w:val="Grid Table 5 Dark - Accent 113"/>
    <w:basedOn w:val="TableNormal"/>
    <w:uiPriority w:val="50"/>
    <w:pPr>
      <w:spacing w:after="0" w:line="240" w:lineRule="auto"/>
    </w:pPr>
    <w:rPr>
      <w:rFonts w:ascii="Calibri" w:eastAsia="Times New Roman" w:hAnsi="Calibri" w:cs="Mangal"/>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FC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9B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9B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9B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9B000"/>
      </w:tcPr>
    </w:tblStylePr>
    <w:tblStylePr w:type="band1Vert">
      <w:tblPr/>
      <w:tcPr>
        <w:shd w:val="clear" w:color="auto" w:fill="FFE096"/>
      </w:tcPr>
    </w:tblStylePr>
    <w:tblStylePr w:type="band1Horz">
      <w:tblPr/>
      <w:tcPr>
        <w:shd w:val="clear" w:color="auto" w:fill="FFE096"/>
      </w:tcPr>
    </w:tblStylePr>
  </w:style>
  <w:style w:type="table" w:customStyle="1" w:styleId="GridTable5Dark-Accent213">
    <w:name w:val="Grid Table 5 Dark - Accent 213"/>
    <w:basedOn w:val="TableNormal"/>
    <w:uiPriority w:val="50"/>
    <w:pPr>
      <w:spacing w:after="0" w:line="240" w:lineRule="auto"/>
    </w:pPr>
    <w:rPr>
      <w:rFonts w:ascii="Calibri" w:eastAsia="Times New Roman" w:hAnsi="Calibri" w:cs="Mangal"/>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EB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17C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17C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17C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17C6F"/>
      </w:tcPr>
    </w:tblStylePr>
    <w:tblStylePr w:type="band1Vert">
      <w:tblPr/>
      <w:tcPr>
        <w:shd w:val="clear" w:color="auto" w:fill="9ED8CE"/>
      </w:tcPr>
    </w:tblStylePr>
    <w:tblStylePr w:type="band1Horz">
      <w:tblPr/>
      <w:tcPr>
        <w:shd w:val="clear" w:color="auto" w:fill="9ED8CE"/>
      </w:tcPr>
    </w:tblStylePr>
  </w:style>
  <w:style w:type="table" w:customStyle="1" w:styleId="TableGridIDEA3">
    <w:name w:val="Table Grid IDEA3"/>
    <w:basedOn w:val="TableNormal"/>
    <w:next w:val="TableGrid"/>
    <w:uiPriority w:val="59"/>
    <w:pPr>
      <w:spacing w:after="0" w:line="240" w:lineRule="auto"/>
    </w:pPr>
    <w:rPr>
      <w:rFonts w:ascii="Calibri" w:eastAsia="Times New Roman" w:hAnsi="Calibri" w:cs="Mang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3">
    <w:name w:val="Table List 13"/>
    <w:basedOn w:val="TableNormal"/>
    <w:next w:val="TableList1"/>
    <w:pPr>
      <w:tabs>
        <w:tab w:val="left" w:pos="-720"/>
      </w:tabs>
      <w:suppressAutoHyphens/>
      <w:spacing w:after="100"/>
      <w:jc w:val="both"/>
      <w:outlineLvl w:val="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4-Accent113">
    <w:name w:val="Grid Table 4 - Accent 113"/>
    <w:basedOn w:val="TableNormal"/>
    <w:uiPriority w:val="49"/>
    <w:pPr>
      <w:spacing w:after="0" w:line="240" w:lineRule="auto"/>
    </w:pPr>
    <w:rPr>
      <w:rFonts w:ascii="Calibri" w:eastAsia="Times New Roman" w:hAnsi="Calibri" w:cs="Mangal"/>
      <w:lang w:val="en-US"/>
    </w:rPr>
    <w:tblPr>
      <w:tblStyleRowBandSize w:val="1"/>
      <w:tblStyleColBandSize w:val="1"/>
      <w:tblBorders>
        <w:top w:val="single" w:sz="4" w:space="0" w:color="FFD062"/>
        <w:left w:val="single" w:sz="4" w:space="0" w:color="FFD062"/>
        <w:bottom w:val="single" w:sz="4" w:space="0" w:color="FFD062"/>
        <w:right w:val="single" w:sz="4" w:space="0" w:color="FFD062"/>
        <w:insideH w:val="single" w:sz="4" w:space="0" w:color="FFD062"/>
        <w:insideV w:val="single" w:sz="4" w:space="0" w:color="FFD062"/>
      </w:tblBorders>
    </w:tblPr>
    <w:tblStylePr w:type="firstRow">
      <w:rPr>
        <w:b/>
        <w:bCs/>
        <w:color w:val="FFFFFF"/>
      </w:rPr>
      <w:tblPr/>
      <w:tcPr>
        <w:tcBorders>
          <w:top w:val="single" w:sz="4" w:space="0" w:color="F9B000"/>
          <w:left w:val="single" w:sz="4" w:space="0" w:color="F9B000"/>
          <w:bottom w:val="single" w:sz="4" w:space="0" w:color="F9B000"/>
          <w:right w:val="single" w:sz="4" w:space="0" w:color="F9B000"/>
          <w:insideH w:val="nil"/>
          <w:insideV w:val="nil"/>
        </w:tcBorders>
        <w:shd w:val="clear" w:color="auto" w:fill="F9B000"/>
      </w:tcPr>
    </w:tblStylePr>
    <w:tblStylePr w:type="lastRow">
      <w:rPr>
        <w:b/>
        <w:bCs/>
      </w:rPr>
      <w:tblPr/>
      <w:tcPr>
        <w:tcBorders>
          <w:top w:val="double" w:sz="4" w:space="0" w:color="F9B000"/>
        </w:tcBorders>
      </w:tcPr>
    </w:tblStylePr>
    <w:tblStylePr w:type="firstCol">
      <w:rPr>
        <w:b/>
        <w:bCs/>
      </w:rPr>
    </w:tblStylePr>
    <w:tblStylePr w:type="lastCol">
      <w:rPr>
        <w:b/>
        <w:bCs/>
      </w:rPr>
    </w:tblStylePr>
    <w:tblStylePr w:type="band1Vert">
      <w:tblPr/>
      <w:tcPr>
        <w:shd w:val="clear" w:color="auto" w:fill="FFEFCA"/>
      </w:tcPr>
    </w:tblStylePr>
    <w:tblStylePr w:type="band1Horz">
      <w:tblPr/>
      <w:tcPr>
        <w:shd w:val="clear" w:color="auto" w:fill="FFEFCA"/>
      </w:tcPr>
    </w:tblStylePr>
  </w:style>
  <w:style w:type="table" w:customStyle="1" w:styleId="TableGrid13">
    <w:name w:val="Table Grid13"/>
    <w:basedOn w:val="TableNormal"/>
    <w:next w:val="TableGrid"/>
    <w:uiPriority w:val="39"/>
    <w:pPr>
      <w:spacing w:after="0" w:line="240" w:lineRule="auto"/>
    </w:pPr>
    <w:rPr>
      <w:rFonts w:ascii="Calibri" w:eastAsia="Calibri" w:hAnsi="Calibri" w:cs="Mangal"/>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61">
    <w:name w:val="Grid Table 2 - Accent 61"/>
    <w:basedOn w:val="TableNormal"/>
    <w:uiPriority w:val="47"/>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23">
    <w:name w:val="Grid Table 4 - Accent 23"/>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aption1">
    <w:name w:val="Caption1"/>
    <w:basedOn w:val="Normal"/>
    <w:next w:val="Normal"/>
    <w:autoRedefine/>
    <w:uiPriority w:val="99"/>
    <w:unhideWhenUsed/>
    <w:qFormat/>
    <w:pPr>
      <w:keepNext/>
      <w:spacing w:line="259" w:lineRule="auto"/>
      <w:jc w:val="both"/>
    </w:pPr>
    <w:rPr>
      <w:rFonts w:ascii="Verdana" w:hAnsi="Verdana"/>
      <w:b/>
      <w:i/>
      <w:iCs/>
      <w:color w:val="000000"/>
      <w:sz w:val="22"/>
      <w:szCs w:val="18"/>
      <w:lang w:val="en-GB" w:eastAsia="en-GB"/>
    </w:rPr>
  </w:style>
  <w:style w:type="paragraph" w:customStyle="1" w:styleId="Noteunder">
    <w:name w:val="Note under"/>
    <w:basedOn w:val="Normal"/>
    <w:link w:val="NoteunderChar"/>
    <w:qFormat/>
    <w:pPr>
      <w:spacing w:after="0" w:line="259" w:lineRule="auto"/>
      <w:jc w:val="center"/>
    </w:pPr>
    <w:rPr>
      <w:rFonts w:ascii="Georgia" w:eastAsia="Times New Roman" w:hAnsi="Georgia" w:cs="Calibri"/>
      <w:i/>
      <w:sz w:val="18"/>
      <w:szCs w:val="20"/>
      <w:lang w:val="en-GB" w:eastAsia="en-GB"/>
    </w:rPr>
  </w:style>
  <w:style w:type="character" w:customStyle="1" w:styleId="NoteunderChar">
    <w:name w:val="Note under Char"/>
    <w:link w:val="Noteunder"/>
    <w:rPr>
      <w:rFonts w:ascii="Georgia" w:eastAsia="Times New Roman" w:hAnsi="Georgia" w:cs="Calibri"/>
      <w:i/>
      <w:sz w:val="18"/>
      <w:szCs w:val="20"/>
      <w:lang w:val="en-GB" w:eastAsia="en-GB"/>
    </w:rPr>
  </w:style>
  <w:style w:type="paragraph" w:customStyle="1" w:styleId="Highlight1">
    <w:name w:val="Highlight1"/>
    <w:basedOn w:val="Normal"/>
    <w:next w:val="BodyText2"/>
    <w:uiPriority w:val="99"/>
    <w:qFormat/>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EEBE6"/>
      <w:spacing w:after="120" w:line="264" w:lineRule="auto"/>
      <w:jc w:val="both"/>
    </w:pPr>
    <w:rPr>
      <w:rFonts w:ascii="Georgia" w:hAnsi="Georgia"/>
      <w:b/>
      <w:bCs/>
      <w:sz w:val="22"/>
      <w:lang w:val="en-US" w:eastAsia="en-GB"/>
    </w:rPr>
  </w:style>
  <w:style w:type="character" w:customStyle="1" w:styleId="FootnoteTextChar2">
    <w:name w:val="Footnote Text Char2"/>
    <w:basedOn w:val="DefaultParagraphFont"/>
    <w:uiPriority w:val="99"/>
    <w:semiHidden/>
    <w:rPr>
      <w:sz w:val="20"/>
      <w:szCs w:val="20"/>
      <w:lang w:val="en-GB"/>
    </w:rPr>
  </w:style>
  <w:style w:type="table" w:customStyle="1" w:styleId="GridTable5Dark-Accent13">
    <w:name w:val="Grid Table 5 Dark - Accent 13"/>
    <w:basedOn w:val="TableNormal"/>
    <w:uiPriority w:val="50"/>
    <w:pPr>
      <w:spacing w:after="0" w:line="240" w:lineRule="auto"/>
    </w:pPr>
    <w:rPr>
      <w:rFonts w:eastAsia="Times New Roman" w:cs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ubtitle">
    <w:name w:val="Subtitle"/>
    <w:aliases w:val="WS Subtitle"/>
    <w:basedOn w:val="Normal"/>
    <w:next w:val="Normal"/>
    <w:link w:val="SubtitleChar"/>
    <w:uiPriority w:val="48"/>
    <w:pPr>
      <w:numPr>
        <w:ilvl w:val="1"/>
      </w:numPr>
      <w:spacing w:line="264" w:lineRule="auto"/>
      <w:ind w:left="567"/>
      <w:contextualSpacing/>
      <w:jc w:val="both"/>
    </w:pPr>
    <w:rPr>
      <w:rFonts w:ascii="Georgia" w:eastAsia="HGPMinchoE" w:hAnsi="Georgia" w:cs="Times New Roman"/>
      <w:iCs/>
      <w:sz w:val="32"/>
      <w:szCs w:val="24"/>
      <w:lang w:val="en-GB" w:eastAsia="en-GB"/>
    </w:rPr>
  </w:style>
  <w:style w:type="character" w:customStyle="1" w:styleId="SubtitleChar">
    <w:name w:val="Subtitle Char"/>
    <w:aliases w:val="WS Subtitle Char"/>
    <w:basedOn w:val="DefaultParagraphFont"/>
    <w:link w:val="Subtitle"/>
    <w:uiPriority w:val="48"/>
    <w:rPr>
      <w:rFonts w:ascii="Georgia" w:eastAsia="HGPMinchoE" w:hAnsi="Georgia" w:cs="Times New Roman"/>
      <w:iCs/>
      <w:sz w:val="32"/>
      <w:szCs w:val="24"/>
      <w:lang w:val="en-GB" w:eastAsia="en-GB"/>
    </w:rPr>
  </w:style>
  <w:style w:type="paragraph" w:customStyle="1" w:styleId="HeaderLine">
    <w:name w:val="Header Line"/>
    <w:basedOn w:val="NoSpacing"/>
    <w:uiPriority w:val="48"/>
    <w:pPr>
      <w:pBdr>
        <w:top w:val="single" w:sz="8" w:space="1" w:color="9F9F9F"/>
      </w:pBdr>
      <w:ind w:left="-284" w:right="-284"/>
      <w:jc w:val="left"/>
    </w:pPr>
    <w:rPr>
      <w:rFonts w:eastAsiaTheme="minorHAnsi" w:cstheme="minorBidi"/>
      <w:i/>
      <w:sz w:val="18"/>
      <w:lang w:val="en-GB" w:eastAsia="en-GB"/>
    </w:rPr>
  </w:style>
  <w:style w:type="numbering" w:customStyle="1" w:styleId="ListHeadings">
    <w:name w:val="List Headings"/>
    <w:basedOn w:val="NoList"/>
    <w:uiPriority w:val="99"/>
    <w:pPr>
      <w:numPr>
        <w:numId w:val="49"/>
      </w:numPr>
    </w:pPr>
  </w:style>
  <w:style w:type="paragraph" w:styleId="List">
    <w:name w:val="List"/>
    <w:aliases w:val="WS Numbered List Level 1"/>
    <w:basedOn w:val="Normal"/>
    <w:uiPriority w:val="99"/>
    <w:pPr>
      <w:spacing w:after="120" w:line="264" w:lineRule="auto"/>
      <w:ind w:left="284" w:hanging="284"/>
      <w:jc w:val="both"/>
    </w:pPr>
    <w:rPr>
      <w:rFonts w:ascii="Georgia" w:hAnsi="Georgia"/>
      <w:sz w:val="22"/>
      <w:lang w:val="en-GB" w:eastAsia="en-GB"/>
    </w:rPr>
  </w:style>
  <w:style w:type="numbering" w:customStyle="1" w:styleId="ListBullets">
    <w:name w:val="List Bullets"/>
    <w:basedOn w:val="NoList"/>
    <w:pPr>
      <w:numPr>
        <w:numId w:val="62"/>
      </w:numPr>
    </w:pPr>
  </w:style>
  <w:style w:type="paragraph" w:styleId="List2">
    <w:name w:val="List 2"/>
    <w:aliases w:val="WS Numbered List Level 2"/>
    <w:basedOn w:val="Normal"/>
    <w:uiPriority w:val="99"/>
    <w:pPr>
      <w:numPr>
        <w:ilvl w:val="1"/>
        <w:numId w:val="50"/>
      </w:numPr>
      <w:spacing w:after="120" w:line="264" w:lineRule="auto"/>
      <w:jc w:val="both"/>
    </w:pPr>
    <w:rPr>
      <w:rFonts w:ascii="Georgia" w:hAnsi="Georgia"/>
      <w:sz w:val="22"/>
      <w:lang w:val="en-GB" w:eastAsia="en-GB"/>
    </w:rPr>
  </w:style>
  <w:style w:type="paragraph" w:styleId="ListContinue2">
    <w:name w:val="List Continue 2"/>
    <w:aliases w:val="WS List Indent Level 2"/>
    <w:basedOn w:val="Normal"/>
    <w:uiPriority w:val="99"/>
    <w:pPr>
      <w:spacing w:after="120" w:line="264" w:lineRule="auto"/>
      <w:jc w:val="both"/>
    </w:pPr>
    <w:rPr>
      <w:rFonts w:ascii="Georgia" w:hAnsi="Georgia"/>
      <w:sz w:val="22"/>
      <w:lang w:val="en-GB" w:eastAsia="en-GB"/>
    </w:rPr>
  </w:style>
  <w:style w:type="paragraph" w:styleId="ListContinue">
    <w:name w:val="List Continue"/>
    <w:aliases w:val="WS List Indent Level 1"/>
    <w:basedOn w:val="Normal"/>
    <w:uiPriority w:val="99"/>
    <w:pPr>
      <w:spacing w:after="120" w:line="264" w:lineRule="auto"/>
      <w:ind w:left="284"/>
      <w:jc w:val="both"/>
    </w:pPr>
    <w:rPr>
      <w:rFonts w:ascii="Georgia" w:hAnsi="Georgia"/>
      <w:sz w:val="22"/>
      <w:lang w:val="en-GB" w:eastAsia="en-GB"/>
    </w:rPr>
  </w:style>
  <w:style w:type="paragraph" w:styleId="List3">
    <w:name w:val="List 3"/>
    <w:aliases w:val="WS Numbered List Level 3"/>
    <w:basedOn w:val="Normal"/>
    <w:uiPriority w:val="99"/>
    <w:pPr>
      <w:numPr>
        <w:ilvl w:val="2"/>
        <w:numId w:val="50"/>
      </w:numPr>
      <w:spacing w:after="120" w:line="264" w:lineRule="auto"/>
      <w:jc w:val="both"/>
    </w:pPr>
    <w:rPr>
      <w:rFonts w:ascii="Georgia" w:hAnsi="Georgia"/>
      <w:sz w:val="22"/>
      <w:lang w:val="en-GB" w:eastAsia="en-GB"/>
    </w:rPr>
  </w:style>
  <w:style w:type="paragraph" w:styleId="ListContinue3">
    <w:name w:val="List Continue 3"/>
    <w:aliases w:val="WS List Indent Level 3"/>
    <w:basedOn w:val="Normal"/>
    <w:uiPriority w:val="99"/>
    <w:pPr>
      <w:spacing w:after="120" w:line="264" w:lineRule="auto"/>
      <w:ind w:left="851"/>
      <w:jc w:val="both"/>
    </w:pPr>
    <w:rPr>
      <w:rFonts w:ascii="Georgia" w:hAnsi="Georgia"/>
      <w:sz w:val="22"/>
      <w:lang w:val="en-GB" w:eastAsia="en-GB"/>
    </w:rPr>
  </w:style>
  <w:style w:type="paragraph" w:styleId="List4">
    <w:name w:val="List 4"/>
    <w:aliases w:val="WS Numbered List Level 4"/>
    <w:basedOn w:val="Normal"/>
    <w:uiPriority w:val="99"/>
    <w:pPr>
      <w:spacing w:after="120" w:line="264" w:lineRule="auto"/>
      <w:ind w:left="1134" w:hanging="283"/>
      <w:jc w:val="both"/>
    </w:pPr>
    <w:rPr>
      <w:rFonts w:ascii="Georgia" w:hAnsi="Georgia"/>
      <w:sz w:val="22"/>
      <w:lang w:val="en-GB" w:eastAsia="en-GB"/>
    </w:rPr>
  </w:style>
  <w:style w:type="paragraph" w:styleId="ListContinue4">
    <w:name w:val="List Continue 4"/>
    <w:aliases w:val="WS List Indent Level 4"/>
    <w:basedOn w:val="Normal"/>
    <w:uiPriority w:val="99"/>
    <w:pPr>
      <w:spacing w:after="120" w:line="264" w:lineRule="auto"/>
      <w:ind w:left="1134"/>
      <w:jc w:val="both"/>
    </w:pPr>
    <w:rPr>
      <w:rFonts w:ascii="Georgia" w:hAnsi="Georgia"/>
      <w:sz w:val="22"/>
      <w:lang w:val="en-GB" w:eastAsia="en-GB"/>
    </w:rPr>
  </w:style>
  <w:style w:type="numbering" w:customStyle="1" w:styleId="ListNumbering">
    <w:name w:val="List Numbering"/>
    <w:basedOn w:val="NoList"/>
    <w:uiPriority w:val="99"/>
    <w:pPr>
      <w:numPr>
        <w:numId w:val="48"/>
      </w:numPr>
    </w:pPr>
  </w:style>
  <w:style w:type="paragraph" w:customStyle="1" w:styleId="WSCoverPageTitle">
    <w:name w:val="WS Cover Page Title"/>
    <w:basedOn w:val="Normal"/>
    <w:uiPriority w:val="40"/>
    <w:pPr>
      <w:spacing w:after="0" w:line="264" w:lineRule="auto"/>
      <w:contextualSpacing/>
      <w:jc w:val="both"/>
    </w:pPr>
    <w:rPr>
      <w:rFonts w:ascii="Georgia" w:hAnsi="Georgia"/>
      <w:color w:val="503078"/>
      <w:sz w:val="56"/>
      <w:lang w:val="en-GB" w:eastAsia="en-GB"/>
    </w:rPr>
  </w:style>
  <w:style w:type="paragraph" w:customStyle="1" w:styleId="WSCoverPageSubtitle">
    <w:name w:val="WS Cover Page Subtitle"/>
    <w:basedOn w:val="Normal"/>
    <w:uiPriority w:val="41"/>
    <w:pPr>
      <w:spacing w:after="0" w:line="264" w:lineRule="auto"/>
      <w:contextualSpacing/>
      <w:jc w:val="both"/>
    </w:pPr>
    <w:rPr>
      <w:rFonts w:ascii="Georgia" w:hAnsi="Georgia"/>
      <w:sz w:val="40"/>
      <w:lang w:val="en-GB" w:eastAsia="en-GB"/>
    </w:rPr>
  </w:style>
  <w:style w:type="paragraph" w:customStyle="1" w:styleId="WSCoverPageThirdLine">
    <w:name w:val="WS Cover Page Third Line"/>
    <w:basedOn w:val="Normal"/>
    <w:uiPriority w:val="42"/>
    <w:pPr>
      <w:spacing w:after="0" w:line="264" w:lineRule="auto"/>
      <w:contextualSpacing/>
      <w:jc w:val="both"/>
    </w:pPr>
    <w:rPr>
      <w:rFonts w:ascii="Georgia" w:hAnsi="Georgia"/>
      <w:lang w:val="en-GB" w:eastAsia="en-GB"/>
    </w:rPr>
  </w:style>
  <w:style w:type="table" w:styleId="ColorfulList-Accent6">
    <w:name w:val="Colorful List Accent 6"/>
    <w:basedOn w:val="TableNormal"/>
    <w:uiPriority w:val="72"/>
    <w:pPr>
      <w:spacing w:after="160" w:line="259" w:lineRule="auto"/>
    </w:pPr>
    <w:rPr>
      <w:rFonts w:ascii="Tahoma" w:hAnsi="Tahoma"/>
      <w:lang w:val="en-GB" w:eastAsia="en-GB"/>
    </w:rPr>
    <w:tblPr>
      <w:tblStyleRowBandSize w:val="1"/>
      <w:tblStyleColBandSize w:val="1"/>
    </w:tblPr>
    <w:tcPr>
      <w:shd w:val="clear" w:color="auto" w:fill="FAF7F6"/>
    </w:tcPr>
    <w:tblStylePr w:type="firstRow">
      <w:rPr>
        <w:b/>
        <w:bCs/>
        <w:color w:val="FFFFFF"/>
      </w:rPr>
      <w:tblPr/>
      <w:tcPr>
        <w:tcBorders>
          <w:bottom w:val="single" w:sz="12" w:space="0" w:color="FFFFFF"/>
        </w:tcBorders>
        <w:shd w:val="clear" w:color="auto" w:fill="036E7B"/>
      </w:tcPr>
    </w:tblStylePr>
    <w:tblStylePr w:type="lastRow">
      <w:rPr>
        <w:b/>
        <w:bCs/>
        <w:color w:val="036E7B"/>
      </w:rPr>
      <w:tblPr/>
      <w:tcPr>
        <w:tcBorders>
          <w:top w:val="single" w:sz="12" w:space="0" w:color="5F5F5F"/>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CE8"/>
      </w:tcPr>
    </w:tblStylePr>
    <w:tblStylePr w:type="band1Horz">
      <w:tblPr/>
      <w:tcPr>
        <w:shd w:val="clear" w:color="auto" w:fill="F5EFED"/>
      </w:tcPr>
    </w:tblStylePr>
  </w:style>
  <w:style w:type="paragraph" w:customStyle="1" w:styleId="WSChapterPageTitle">
    <w:name w:val="WS Chapter Page Title"/>
    <w:basedOn w:val="Normal"/>
    <w:uiPriority w:val="43"/>
    <w:pPr>
      <w:spacing w:after="120" w:line="264" w:lineRule="auto"/>
      <w:jc w:val="both"/>
      <w:outlineLvl w:val="8"/>
    </w:pPr>
    <w:rPr>
      <w:rFonts w:ascii="Calibri" w:hAnsi="Calibri"/>
      <w:color w:val="F4F3F0"/>
      <w:sz w:val="64"/>
      <w:lang w:val="en-GB" w:eastAsia="en-GB"/>
    </w:rPr>
  </w:style>
  <w:style w:type="paragraph" w:customStyle="1" w:styleId="WSChapterPageSubtitle">
    <w:name w:val="WS Chapter Page Subtitle"/>
    <w:basedOn w:val="Normal"/>
    <w:uiPriority w:val="44"/>
    <w:pPr>
      <w:spacing w:after="120" w:line="264" w:lineRule="auto"/>
      <w:jc w:val="both"/>
    </w:pPr>
    <w:rPr>
      <w:rFonts w:ascii="Calibri" w:hAnsi="Calibri"/>
      <w:sz w:val="36"/>
      <w:lang w:val="en-GB" w:eastAsia="en-GB"/>
    </w:rPr>
  </w:style>
  <w:style w:type="paragraph" w:customStyle="1" w:styleId="1pt">
    <w:name w:val="1pt"/>
    <w:basedOn w:val="Normal"/>
    <w:uiPriority w:val="99"/>
    <w:pPr>
      <w:spacing w:after="0" w:line="264" w:lineRule="auto"/>
      <w:jc w:val="both"/>
    </w:pPr>
    <w:rPr>
      <w:rFonts w:ascii="Georgia" w:hAnsi="Georgia"/>
      <w:sz w:val="2"/>
      <w:lang w:val="en-GB" w:eastAsia="en-GB"/>
    </w:rPr>
  </w:style>
  <w:style w:type="table" w:customStyle="1" w:styleId="WS3Beige-Gray">
    <w:name w:val="WS3 Beige-Gray"/>
    <w:basedOn w:val="TableNormal"/>
    <w:uiPriority w:val="99"/>
    <w:pPr>
      <w:spacing w:after="160" w:line="259" w:lineRule="auto"/>
    </w:pPr>
    <w:rPr>
      <w:rFonts w:ascii="Tahoma" w:hAnsi="Tahoma"/>
      <w:lang w:val="en-GB" w:eastAsia="en-GB"/>
    </w:rPr>
    <w:tblPr>
      <w:tblInd w:w="567" w:type="dxa"/>
      <w:tblBorders>
        <w:bottom w:val="single" w:sz="4" w:space="0" w:color="E7EAEB"/>
        <w:insideH w:val="single" w:sz="4" w:space="0" w:color="E7EAEB"/>
      </w:tblBorders>
      <w:tblCellMar>
        <w:top w:w="58" w:type="dxa"/>
        <w:left w:w="115" w:type="dxa"/>
        <w:bottom w:w="58" w:type="dxa"/>
        <w:right w:w="115" w:type="dxa"/>
      </w:tblCellMar>
    </w:tblPr>
    <w:trPr>
      <w:cantSplit/>
    </w:trPr>
    <w:tcPr>
      <w:vAlign w:val="center"/>
    </w:tcPr>
    <w:tblStylePr w:type="firstRow">
      <w:rPr>
        <w:b/>
        <w:color w:val="5F5F5F"/>
      </w:rPr>
      <w:tblPr/>
      <w:tcPr>
        <w:shd w:val="clear" w:color="auto" w:fill="E7EAEB"/>
      </w:tcPr>
    </w:tblStylePr>
    <w:tblStylePr w:type="lastRow">
      <w:rPr>
        <w:b/>
      </w:rPr>
    </w:tblStylePr>
    <w:tblStylePr w:type="firstCol">
      <w:rPr>
        <w:b/>
      </w:rPr>
    </w:tblStylePr>
    <w:tblStylePr w:type="lastCol">
      <w:rPr>
        <w:b/>
      </w:rPr>
    </w:tblStylePr>
  </w:style>
  <w:style w:type="paragraph" w:customStyle="1" w:styleId="WSLocations">
    <w:name w:val="WS Locations"/>
    <w:basedOn w:val="Normal"/>
    <w:uiPriority w:val="99"/>
    <w:pPr>
      <w:spacing w:after="0" w:line="264" w:lineRule="auto"/>
      <w:jc w:val="both"/>
    </w:pPr>
    <w:rPr>
      <w:rFonts w:ascii="Georgia" w:hAnsi="Georgia"/>
      <w:sz w:val="22"/>
      <w:lang w:val="en-GB" w:eastAsia="en-GB"/>
    </w:rPr>
  </w:style>
  <w:style w:type="character" w:customStyle="1" w:styleId="WSRedandBold">
    <w:name w:val="WS Red and Bold"/>
    <w:uiPriority w:val="19"/>
    <w:rPr>
      <w:b/>
      <w:color w:val="C00000"/>
    </w:rPr>
  </w:style>
  <w:style w:type="paragraph" w:customStyle="1" w:styleId="WSCVandCaseStudyHeading">
    <w:name w:val="WS CV and Case Study Heading"/>
    <w:basedOn w:val="Normal"/>
    <w:link w:val="WSCVandCaseStudyHeadingChar"/>
    <w:uiPriority w:val="45"/>
    <w:pPr>
      <w:spacing w:before="240" w:after="120" w:line="264" w:lineRule="auto"/>
      <w:jc w:val="both"/>
    </w:pPr>
    <w:rPr>
      <w:rFonts w:ascii="Georgia" w:hAnsi="Georgia"/>
      <w:color w:val="503078"/>
      <w:sz w:val="22"/>
      <w:lang w:val="en-GB" w:eastAsia="en-GB"/>
    </w:rPr>
  </w:style>
  <w:style w:type="character" w:customStyle="1" w:styleId="WSCVandCaseStudyHeadingChar">
    <w:name w:val="WS CV and Case Study Heading Char"/>
    <w:link w:val="WSCVandCaseStudyHeading"/>
    <w:uiPriority w:val="45"/>
    <w:rPr>
      <w:rFonts w:ascii="Georgia" w:hAnsi="Georgia"/>
      <w:color w:val="503078"/>
      <w:lang w:val="en-GB" w:eastAsia="en-GB"/>
    </w:rPr>
  </w:style>
  <w:style w:type="paragraph" w:customStyle="1" w:styleId="MiniCVandMiniCaseStudyHeading">
    <w:name w:val="Mini CV and Mini Case Study Heading"/>
    <w:basedOn w:val="Normal"/>
    <w:uiPriority w:val="45"/>
    <w:pPr>
      <w:spacing w:after="120" w:line="264" w:lineRule="auto"/>
      <w:jc w:val="both"/>
    </w:pPr>
    <w:rPr>
      <w:rFonts w:ascii="Georgia" w:hAnsi="Georgia"/>
      <w:color w:val="F4F3F0"/>
      <w:lang w:val="en-GB" w:eastAsia="en-GB"/>
    </w:rPr>
  </w:style>
  <w:style w:type="paragraph" w:customStyle="1" w:styleId="Pardfaut">
    <w:name w:val="Par défaut"/>
    <w:pPr>
      <w:pBdr>
        <w:top w:val="nil"/>
        <w:left w:val="nil"/>
        <w:bottom w:val="nil"/>
        <w:right w:val="nil"/>
        <w:between w:val="nil"/>
        <w:bar w:val="nil"/>
      </w:pBdr>
      <w:spacing w:after="160" w:line="259" w:lineRule="auto"/>
    </w:pPr>
    <w:rPr>
      <w:rFonts w:ascii="Helvetica" w:eastAsia="Arial Unicode MS" w:hAnsi="Arial Unicode MS" w:cs="Arial Unicode MS"/>
      <w:color w:val="000000"/>
      <w:bdr w:val="nil"/>
      <w:lang w:val="fr-FR" w:eastAsia="fr-FR"/>
    </w:rPr>
  </w:style>
  <w:style w:type="table" w:customStyle="1" w:styleId="TableauGrille1Clair1">
    <w:name w:val="Tableau Grille 1 Clair1"/>
    <w:basedOn w:val="TableNormal"/>
    <w:uiPriority w:val="46"/>
    <w:pPr>
      <w:spacing w:after="160" w:line="259" w:lineRule="auto"/>
    </w:pPr>
    <w:rPr>
      <w:lang w:val="en-GB" w:eastAsia="en-GB"/>
    </w:rPr>
    <w:tblPr>
      <w:tblStyleRowBandSize w:val="1"/>
      <w:tblStyleColBandSize w:val="1"/>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Tableausimple11">
    <w:name w:val="Tableau simple 11"/>
    <w:basedOn w:val="TableNormal"/>
    <w:uiPriority w:val="41"/>
    <w:pPr>
      <w:spacing w:after="160" w:line="259" w:lineRule="auto"/>
    </w:pPr>
    <w:rPr>
      <w:lang w:val="en-GB" w:eastAsia="en-GB"/>
    </w:rPr>
    <w:tblPr>
      <w:tblStyleRowBandSize w:val="1"/>
      <w:tblStyleColBandSize w:val="1"/>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1">
    <w:name w:val="Tableau simple 21"/>
    <w:basedOn w:val="TableNormal"/>
    <w:uiPriority w:val="42"/>
    <w:pPr>
      <w:spacing w:after="160" w:line="259" w:lineRule="auto"/>
    </w:pPr>
    <w:rPr>
      <w:lang w:val="en-GB" w:eastAsia="en-GB"/>
    </w:rPr>
    <w:tblPr>
      <w:tblStyleRowBandSize w:val="1"/>
      <w:tblStyleColBandSize w:val="1"/>
      <w:tblInd w:w="567" w:type="dxa"/>
      <w:tblBorders>
        <w:top w:val="single" w:sz="4" w:space="0" w:color="AEAEAE"/>
        <w:bottom w:val="single" w:sz="4" w:space="0" w:color="AEAEAE"/>
      </w:tblBorders>
    </w:tblPr>
    <w:tcPr>
      <w:vAlign w:val="center"/>
    </w:tcPr>
    <w:tblStylePr w:type="firstRow">
      <w:rPr>
        <w:b/>
        <w:bCs/>
      </w:rPr>
      <w:tblPr/>
      <w:tcPr>
        <w:tcBorders>
          <w:bottom w:val="single" w:sz="4" w:space="0" w:color="AEAEAE"/>
        </w:tcBorders>
      </w:tcPr>
    </w:tblStylePr>
    <w:tblStylePr w:type="lastRow">
      <w:rPr>
        <w:b/>
        <w:bCs/>
      </w:rPr>
      <w:tblPr/>
      <w:tcPr>
        <w:tcBorders>
          <w:top w:val="single" w:sz="4" w:space="0" w:color="AEAEAE"/>
        </w:tcBorders>
      </w:tcPr>
    </w:tblStylePr>
    <w:tblStylePr w:type="firstCol">
      <w:rPr>
        <w:b/>
        <w:bCs/>
      </w:rPr>
    </w:tblStylePr>
    <w:tblStylePr w:type="lastCol">
      <w:rPr>
        <w:b/>
        <w:bCs/>
      </w:rPr>
    </w:tblStylePr>
    <w:tblStylePr w:type="band1Vert">
      <w:tblPr/>
      <w:tcPr>
        <w:tcBorders>
          <w:left w:val="single" w:sz="4" w:space="0" w:color="AEAEAE"/>
          <w:right w:val="single" w:sz="4" w:space="0" w:color="AEAEAE"/>
        </w:tcBorders>
      </w:tcPr>
    </w:tblStylePr>
    <w:tblStylePr w:type="band2Vert">
      <w:tblPr/>
      <w:tcPr>
        <w:tcBorders>
          <w:left w:val="single" w:sz="4" w:space="0" w:color="AEAEAE"/>
          <w:right w:val="single" w:sz="4" w:space="0" w:color="AEAEAE"/>
        </w:tcBorders>
      </w:tcPr>
    </w:tblStylePr>
    <w:tblStylePr w:type="band1Horz">
      <w:tblPr/>
      <w:tcPr>
        <w:tcBorders>
          <w:top w:val="single" w:sz="4" w:space="0" w:color="AEAEAE"/>
          <w:bottom w:val="single" w:sz="4" w:space="0" w:color="AEAEAE"/>
        </w:tcBorders>
      </w:tcPr>
    </w:tblStylePr>
  </w:style>
  <w:style w:type="table" w:styleId="TableTheme">
    <w:name w:val="Table Theme"/>
    <w:basedOn w:val="TableNormal"/>
    <w:uiPriority w:val="99"/>
    <w:pPr>
      <w:spacing w:after="160" w:line="259"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99"/>
    <w:rPr>
      <w:b/>
      <w:bCs/>
      <w:smallCaps/>
      <w:color w:val="938481"/>
      <w:spacing w:val="5"/>
      <w:u w:val="single"/>
    </w:rPr>
  </w:style>
  <w:style w:type="paragraph" w:styleId="IntenseQuote">
    <w:name w:val="Intense Quote"/>
    <w:basedOn w:val="Normal"/>
    <w:next w:val="Normal"/>
    <w:link w:val="IntenseQuoteChar"/>
    <w:uiPriority w:val="99"/>
    <w:pPr>
      <w:pBdr>
        <w:top w:val="single" w:sz="4" w:space="10" w:color="8C9B9C"/>
        <w:bottom w:val="single" w:sz="4" w:space="10" w:color="8C9B9C"/>
      </w:pBdr>
      <w:spacing w:before="360" w:after="360" w:line="264" w:lineRule="auto"/>
      <w:ind w:left="864" w:right="864"/>
      <w:jc w:val="center"/>
    </w:pPr>
    <w:rPr>
      <w:rFonts w:ascii="Georgia" w:hAnsi="Georgia"/>
      <w:i/>
      <w:iCs/>
      <w:color w:val="8C9B9C"/>
      <w:sz w:val="22"/>
      <w:lang w:val="en-GB" w:eastAsia="en-GB"/>
    </w:rPr>
  </w:style>
  <w:style w:type="character" w:customStyle="1" w:styleId="IntenseQuoteChar">
    <w:name w:val="Intense Quote Char"/>
    <w:basedOn w:val="DefaultParagraphFont"/>
    <w:link w:val="IntenseQuote"/>
    <w:uiPriority w:val="99"/>
    <w:rPr>
      <w:rFonts w:ascii="Georgia" w:hAnsi="Georgia"/>
      <w:i/>
      <w:iCs/>
      <w:color w:val="8C9B9C"/>
      <w:lang w:val="en-GB" w:eastAsia="en-GB"/>
    </w:rPr>
  </w:style>
  <w:style w:type="table" w:customStyle="1" w:styleId="GridTable1Light-Accent21">
    <w:name w:val="Grid Table 1 Light - Accent 21"/>
    <w:basedOn w:val="TableNormal"/>
    <w:uiPriority w:val="46"/>
    <w:pPr>
      <w:spacing w:after="160" w:line="259" w:lineRule="auto"/>
    </w:pPr>
    <w:rPr>
      <w:lang w:val="en-GB" w:eastAsia="en-GB"/>
    </w:rPr>
    <w:tblPr>
      <w:tblStyleRowBandSize w:val="1"/>
      <w:tblStyleColBandSize w:val="1"/>
      <w:tblBorders>
        <w:top w:val="single" w:sz="4" w:space="0" w:color="E9E7E2"/>
        <w:left w:val="single" w:sz="4" w:space="0" w:color="E9E7E2"/>
        <w:bottom w:val="single" w:sz="4" w:space="0" w:color="E9E7E2"/>
        <w:right w:val="single" w:sz="4" w:space="0" w:color="E9E7E2"/>
        <w:insideH w:val="single" w:sz="4" w:space="0" w:color="E9E7E2"/>
        <w:insideV w:val="single" w:sz="4" w:space="0" w:color="E9E7E2"/>
      </w:tblBorders>
    </w:tblPr>
    <w:tblStylePr w:type="firstRow">
      <w:rPr>
        <w:b/>
        <w:bCs/>
      </w:rPr>
      <w:tblPr/>
      <w:tcPr>
        <w:tcBorders>
          <w:bottom w:val="single" w:sz="12" w:space="0" w:color="DFDCD4"/>
        </w:tcBorders>
      </w:tcPr>
    </w:tblStylePr>
    <w:tblStylePr w:type="lastRow">
      <w:rPr>
        <w:b/>
        <w:bCs/>
      </w:rPr>
      <w:tblPr/>
      <w:tcPr>
        <w:tcBorders>
          <w:top w:val="double" w:sz="2" w:space="0" w:color="DFDCD4"/>
        </w:tcBorders>
      </w:tcPr>
    </w:tblStylePr>
    <w:tblStylePr w:type="firstCol">
      <w:rPr>
        <w:b/>
        <w:bCs/>
      </w:rPr>
    </w:tblStylePr>
    <w:tblStylePr w:type="lastCol">
      <w:rPr>
        <w:b/>
        <w:bCs/>
      </w:rPr>
    </w:tblStylePr>
  </w:style>
  <w:style w:type="table" w:customStyle="1" w:styleId="PlainTable21">
    <w:name w:val="Plain Table 21"/>
    <w:basedOn w:val="TableNormal"/>
    <w:uiPriority w:val="42"/>
    <w:pPr>
      <w:spacing w:after="160" w:line="259" w:lineRule="auto"/>
    </w:pPr>
    <w:rPr>
      <w:lang w:val="en-GB" w:eastAsia="en-GB"/>
    </w:rPr>
    <w:tblPr>
      <w:tblStyleRowBandSize w:val="1"/>
      <w:tblStyleColBandSize w:val="1"/>
      <w:tblBorders>
        <w:top w:val="single" w:sz="4" w:space="0" w:color="AEAEAE"/>
        <w:bottom w:val="single" w:sz="4" w:space="0" w:color="AEAEAE"/>
      </w:tblBorders>
    </w:tblPr>
    <w:tblStylePr w:type="firstRow">
      <w:rPr>
        <w:b/>
        <w:bCs/>
      </w:rPr>
      <w:tblPr/>
      <w:tcPr>
        <w:tcBorders>
          <w:bottom w:val="single" w:sz="4" w:space="0" w:color="AEAEAE"/>
        </w:tcBorders>
      </w:tcPr>
    </w:tblStylePr>
    <w:tblStylePr w:type="lastRow">
      <w:rPr>
        <w:b/>
        <w:bCs/>
      </w:rPr>
      <w:tblPr/>
      <w:tcPr>
        <w:tcBorders>
          <w:top w:val="single" w:sz="4" w:space="0" w:color="AEAEAE"/>
        </w:tcBorders>
      </w:tcPr>
    </w:tblStylePr>
    <w:tblStylePr w:type="firstCol">
      <w:rPr>
        <w:b/>
        <w:bCs/>
      </w:rPr>
    </w:tblStylePr>
    <w:tblStylePr w:type="lastCol">
      <w:rPr>
        <w:b/>
        <w:bCs/>
      </w:rPr>
    </w:tblStylePr>
    <w:tblStylePr w:type="band1Vert">
      <w:tblPr/>
      <w:tcPr>
        <w:tcBorders>
          <w:left w:val="single" w:sz="4" w:space="0" w:color="AEAEAE"/>
          <w:right w:val="single" w:sz="4" w:space="0" w:color="AEAEAE"/>
        </w:tcBorders>
      </w:tcPr>
    </w:tblStylePr>
    <w:tblStylePr w:type="band2Vert">
      <w:tblPr/>
      <w:tcPr>
        <w:tcBorders>
          <w:left w:val="single" w:sz="4" w:space="0" w:color="AEAEAE"/>
          <w:right w:val="single" w:sz="4" w:space="0" w:color="AEAEAE"/>
        </w:tcBorders>
      </w:tcPr>
    </w:tblStylePr>
    <w:tblStylePr w:type="band1Horz">
      <w:tblPr/>
      <w:tcPr>
        <w:tcBorders>
          <w:top w:val="single" w:sz="4" w:space="0" w:color="AEAEAE"/>
          <w:bottom w:val="single" w:sz="4" w:space="0" w:color="AEAEAE"/>
        </w:tcBorders>
      </w:tcPr>
    </w:tblStylePr>
  </w:style>
  <w:style w:type="table" w:customStyle="1" w:styleId="MediumList1-Accent111">
    <w:name w:val="Medium List 1 - Accent 111"/>
    <w:basedOn w:val="TableNormal"/>
    <w:uiPriority w:val="65"/>
    <w:pPr>
      <w:spacing w:after="160" w:line="259" w:lineRule="auto"/>
    </w:pPr>
    <w:rPr>
      <w:rFonts w:ascii="Times New Roman" w:eastAsia="Times New Roman" w:hAnsi="Times New Roman"/>
      <w:lang w:val="en-GB"/>
    </w:rPr>
    <w:tblPr>
      <w:tblStyleRowBandSize w:val="1"/>
      <w:tblStyleColBandSize w:val="1"/>
      <w:tblBorders>
        <w:top w:val="single" w:sz="8" w:space="0" w:color="8C9B9C"/>
        <w:bottom w:val="single" w:sz="8" w:space="0" w:color="8C9B9C"/>
      </w:tblBorders>
    </w:tblPr>
    <w:tblStylePr w:type="firstRow">
      <w:rPr>
        <w:rFonts w:ascii="Calibri" w:eastAsia="Gungsuh" w:hAnsi="Calibri" w:cs="Times New Roman"/>
      </w:rPr>
      <w:tblPr/>
      <w:tcPr>
        <w:tcBorders>
          <w:top w:val="nil"/>
          <w:bottom w:val="single" w:sz="8" w:space="0" w:color="8C9B9C"/>
        </w:tcBorders>
      </w:tcPr>
    </w:tblStylePr>
    <w:tblStylePr w:type="lastRow">
      <w:rPr>
        <w:b/>
        <w:bCs/>
        <w:color w:val="F4F3F0"/>
      </w:rPr>
      <w:tblPr/>
      <w:tcPr>
        <w:tcBorders>
          <w:top w:val="single" w:sz="8" w:space="0" w:color="8C9B9C"/>
          <w:bottom w:val="single" w:sz="8" w:space="0" w:color="8C9B9C"/>
        </w:tcBorders>
      </w:tcPr>
    </w:tblStylePr>
    <w:tblStylePr w:type="firstCol">
      <w:rPr>
        <w:b/>
        <w:bCs/>
      </w:rPr>
    </w:tblStylePr>
    <w:tblStylePr w:type="lastCol">
      <w:rPr>
        <w:b/>
        <w:bCs/>
      </w:rPr>
      <w:tblPr/>
      <w:tcPr>
        <w:tcBorders>
          <w:top w:val="single" w:sz="8" w:space="0" w:color="8C9B9C"/>
          <w:bottom w:val="single" w:sz="8" w:space="0" w:color="8C9B9C"/>
        </w:tcBorders>
      </w:tcPr>
    </w:tblStylePr>
    <w:tblStylePr w:type="band1Vert">
      <w:tblPr/>
      <w:tcPr>
        <w:shd w:val="clear" w:color="auto" w:fill="E2E6E6"/>
      </w:tcPr>
    </w:tblStylePr>
    <w:tblStylePr w:type="band1Horz">
      <w:tblPr/>
      <w:tcPr>
        <w:shd w:val="clear" w:color="auto" w:fill="E2E6E6"/>
      </w:tcPr>
    </w:tblStylePr>
  </w:style>
  <w:style w:type="paragraph" w:customStyle="1" w:styleId="Source">
    <w:name w:val="Source"/>
    <w:basedOn w:val="Normal"/>
    <w:link w:val="SourceChar"/>
    <w:pPr>
      <w:spacing w:after="240" w:line="264" w:lineRule="auto"/>
      <w:jc w:val="right"/>
    </w:pPr>
    <w:rPr>
      <w:rFonts w:ascii="Georgia" w:hAnsi="Georgia"/>
      <w:sz w:val="16"/>
      <w:u w:val="single"/>
      <w:lang w:val="en-GB" w:eastAsia="en-GB"/>
    </w:rPr>
  </w:style>
  <w:style w:type="paragraph" w:customStyle="1" w:styleId="Corps">
    <w:name w:val="Corps"/>
    <w:pPr>
      <w:spacing w:after="120" w:line="259" w:lineRule="auto"/>
      <w:ind w:left="567"/>
      <w:jc w:val="both"/>
    </w:pPr>
    <w:rPr>
      <w:rFonts w:ascii="Tahoma" w:eastAsia="Tahoma" w:hAnsi="Tahoma" w:cs="Tahoma"/>
      <w:color w:val="5F5F5F"/>
      <w:u w:color="5F5F5F"/>
      <w:lang w:val="en-GB" w:eastAsia="en-GB"/>
    </w:rPr>
  </w:style>
  <w:style w:type="character" w:customStyle="1" w:styleId="SourceChar">
    <w:name w:val="Source Char"/>
    <w:link w:val="Source"/>
    <w:rPr>
      <w:rFonts w:ascii="Georgia" w:hAnsi="Georgia"/>
      <w:sz w:val="16"/>
      <w:u w:val="single"/>
      <w:lang w:val="en-GB" w:eastAsia="en-GB"/>
    </w:rPr>
  </w:style>
  <w:style w:type="paragraph" w:customStyle="1" w:styleId="Annexlevel1">
    <w:name w:val="Annex level 1"/>
    <w:basedOn w:val="Heading1"/>
    <w:link w:val="Annexlevel1Char"/>
    <w:pPr>
      <w:keepLines/>
      <w:numPr>
        <w:numId w:val="51"/>
      </w:numPr>
      <w:tabs>
        <w:tab w:val="left" w:pos="709"/>
      </w:tabs>
      <w:spacing w:before="120" w:after="120" w:line="264" w:lineRule="auto"/>
      <w:ind w:left="1985" w:hanging="1985"/>
      <w:jc w:val="left"/>
    </w:pPr>
    <w:rPr>
      <w:rFonts w:ascii="Georgia" w:eastAsiaTheme="majorEastAsia" w:hAnsi="Georgia" w:cstheme="majorBidi"/>
      <w:smallCaps w:val="0"/>
      <w:sz w:val="32"/>
      <w:szCs w:val="32"/>
      <w:lang w:eastAsia="en-GB"/>
    </w:rPr>
  </w:style>
  <w:style w:type="character" w:customStyle="1" w:styleId="Annexlevel1Char">
    <w:name w:val="Annex level 1 Char"/>
    <w:link w:val="Annexlevel1"/>
    <w:rPr>
      <w:rFonts w:ascii="Georgia" w:eastAsiaTheme="majorEastAsia" w:hAnsi="Georgia" w:cstheme="majorBidi"/>
      <w:b/>
      <w:sz w:val="32"/>
      <w:szCs w:val="32"/>
      <w:lang w:val="en-GB" w:eastAsia="en-GB"/>
    </w:rPr>
  </w:style>
  <w:style w:type="paragraph" w:customStyle="1" w:styleId="xl64">
    <w:name w:val="xl64"/>
    <w:basedOn w:val="Normal"/>
    <w:pPr>
      <w:spacing w:before="100" w:beforeAutospacing="1" w:after="100" w:afterAutospacing="1" w:line="259" w:lineRule="auto"/>
      <w:jc w:val="center"/>
    </w:pPr>
    <w:rPr>
      <w:rFonts w:ascii="Calibri" w:eastAsia="Times New Roman" w:hAnsi="Calibri" w:cs="Times New Roman"/>
      <w:b/>
      <w:bCs/>
      <w:szCs w:val="24"/>
      <w:lang w:val="fr-FR" w:eastAsia="fr-FR"/>
    </w:rPr>
  </w:style>
  <w:style w:type="paragraph" w:customStyle="1" w:styleId="xl65">
    <w:name w:val="xl65"/>
    <w:basedOn w:val="Normal"/>
    <w:pPr>
      <w:spacing w:before="100" w:beforeAutospacing="1" w:after="100" w:afterAutospacing="1" w:line="259" w:lineRule="auto"/>
    </w:pPr>
    <w:rPr>
      <w:rFonts w:ascii="Calibri" w:eastAsia="Times New Roman" w:hAnsi="Calibri" w:cs="Times New Roman"/>
      <w:b/>
      <w:bCs/>
      <w:szCs w:val="24"/>
      <w:lang w:val="fr-FR" w:eastAsia="fr-FR"/>
    </w:rPr>
  </w:style>
  <w:style w:type="paragraph" w:customStyle="1" w:styleId="xl66">
    <w:name w:val="xl66"/>
    <w:basedOn w:val="Normal"/>
    <w:pP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67">
    <w:name w:val="xl67"/>
    <w:basedOn w:val="Normal"/>
    <w:pPr>
      <w:spacing w:before="100" w:beforeAutospacing="1" w:after="100" w:afterAutospacing="1" w:line="259" w:lineRule="auto"/>
    </w:pPr>
    <w:rPr>
      <w:rFonts w:ascii="Calibri" w:eastAsia="Times New Roman" w:hAnsi="Calibri" w:cs="Times New Roman"/>
      <w:szCs w:val="24"/>
      <w:lang w:val="fr-FR" w:eastAsia="fr-FR"/>
    </w:rPr>
  </w:style>
  <w:style w:type="paragraph" w:customStyle="1" w:styleId="xl68">
    <w:name w:val="xl68"/>
    <w:basedOn w:val="Normal"/>
    <w:pPr>
      <w:spacing w:before="100" w:beforeAutospacing="1" w:after="100" w:afterAutospacing="1" w:line="259" w:lineRule="auto"/>
      <w:textAlignment w:val="center"/>
    </w:pPr>
    <w:rPr>
      <w:rFonts w:ascii="Calibri" w:eastAsia="Times New Roman" w:hAnsi="Calibri" w:cs="Times New Roman"/>
      <w:szCs w:val="24"/>
      <w:lang w:val="fr-FR" w:eastAsia="fr-FR"/>
    </w:rPr>
  </w:style>
  <w:style w:type="paragraph" w:customStyle="1" w:styleId="xl69">
    <w:name w:val="xl69"/>
    <w:basedOn w:val="Normal"/>
    <w:pPr>
      <w:spacing w:before="100" w:beforeAutospacing="1" w:after="100" w:afterAutospacing="1" w:line="259" w:lineRule="auto"/>
    </w:pPr>
    <w:rPr>
      <w:rFonts w:ascii="Calibri Light" w:eastAsia="Times New Roman" w:hAnsi="Calibri Light" w:cs="Times New Roman"/>
      <w:szCs w:val="24"/>
      <w:lang w:val="fr-FR" w:eastAsia="fr-FR"/>
    </w:rPr>
  </w:style>
  <w:style w:type="paragraph" w:customStyle="1" w:styleId="xl70">
    <w:name w:val="xl70"/>
    <w:basedOn w:val="Normal"/>
    <w:pP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1">
    <w:name w:val="xl71"/>
    <w:basedOn w:val="Normal"/>
    <w:pPr>
      <w:pBdr>
        <w:right w:val="single" w:sz="4" w:space="0" w:color="CAC9D9"/>
      </w:pBdr>
      <w:shd w:val="clear" w:color="FFFFFF" w:fill="F0F0F4"/>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2">
    <w:name w:val="xl72"/>
    <w:basedOn w:val="Normal"/>
    <w:pPr>
      <w:pBdr>
        <w:right w:val="single" w:sz="4" w:space="0" w:color="CAC9D9"/>
      </w:pBdr>
      <w:shd w:val="clear" w:color="FFFFFF" w:fill="FFFFFF"/>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3">
    <w:name w:val="xl73"/>
    <w:basedOn w:val="Normal"/>
    <w:pPr>
      <w:shd w:val="clear" w:color="FFFFFF" w:fill="FFFFFF"/>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4">
    <w:name w:val="xl74"/>
    <w:basedOn w:val="Normal"/>
    <w:pPr>
      <w:shd w:val="clear" w:color="000000" w:fill="FFFFFF"/>
      <w:spacing w:before="100" w:beforeAutospacing="1" w:after="100" w:afterAutospacing="1" w:line="259" w:lineRule="auto"/>
    </w:pPr>
    <w:rPr>
      <w:rFonts w:eastAsia="Times New Roman" w:cs="Times New Roman"/>
      <w:szCs w:val="24"/>
      <w:lang w:val="fr-FR" w:eastAsia="fr-FR"/>
    </w:rPr>
  </w:style>
  <w:style w:type="paragraph" w:customStyle="1" w:styleId="xl75">
    <w:name w:val="xl75"/>
    <w:basedOn w:val="Normal"/>
    <w:pPr>
      <w:pBdr>
        <w:left w:val="single" w:sz="4" w:space="0" w:color="CAC9D9"/>
      </w:pBd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6">
    <w:name w:val="xl76"/>
    <w:basedOn w:val="Normal"/>
    <w:pPr>
      <w:spacing w:before="100" w:beforeAutospacing="1" w:after="100" w:afterAutospacing="1" w:line="259" w:lineRule="auto"/>
    </w:pPr>
    <w:rPr>
      <w:rFonts w:ascii="Arial" w:eastAsia="Times New Roman" w:hAnsi="Arial" w:cs="Arial"/>
      <w:color w:val="000000"/>
      <w:sz w:val="18"/>
      <w:szCs w:val="18"/>
      <w:lang w:val="fr-FR" w:eastAsia="fr-FR"/>
    </w:rPr>
  </w:style>
  <w:style w:type="paragraph" w:customStyle="1" w:styleId="xl77">
    <w:name w:val="xl77"/>
    <w:basedOn w:val="Normal"/>
    <w:pPr>
      <w:pBdr>
        <w:top w:val="single" w:sz="4" w:space="0" w:color="CAC9D9"/>
        <w:left w:val="single" w:sz="4" w:space="0" w:color="CAC9D9"/>
        <w:bottom w:val="single" w:sz="4" w:space="0" w:color="CAC9D9"/>
        <w:right w:val="single" w:sz="4" w:space="0" w:color="CAC9D9"/>
      </w:pBdr>
      <w:spacing w:before="100" w:beforeAutospacing="1" w:after="100" w:afterAutospacing="1" w:line="259" w:lineRule="auto"/>
    </w:pPr>
    <w:rPr>
      <w:rFonts w:eastAsia="Times New Roman" w:cs="Times New Roman"/>
      <w:szCs w:val="24"/>
      <w:lang w:val="fr-FR" w:eastAsia="fr-FR"/>
    </w:rPr>
  </w:style>
  <w:style w:type="paragraph" w:customStyle="1" w:styleId="xl78">
    <w:name w:val="xl78"/>
    <w:basedOn w:val="Normal"/>
    <w:pPr>
      <w:shd w:val="clear" w:color="FFFFFF" w:fill="F0F0F4"/>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9">
    <w:name w:val="xl79"/>
    <w:basedOn w:val="Normal"/>
    <w:pPr>
      <w:pBdr>
        <w:left w:val="single" w:sz="4" w:space="0" w:color="CAC9D9"/>
      </w:pBd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80">
    <w:name w:val="xl80"/>
    <w:basedOn w:val="Normal"/>
    <w:pPr>
      <w:pBdr>
        <w:left w:val="single" w:sz="4" w:space="0" w:color="CAC9D9"/>
      </w:pBdr>
      <w:spacing w:before="100" w:beforeAutospacing="1" w:after="100" w:afterAutospacing="1" w:line="259" w:lineRule="auto"/>
    </w:pPr>
    <w:rPr>
      <w:rFonts w:eastAsia="Times New Roman" w:cs="Times New Roman"/>
      <w:szCs w:val="24"/>
      <w:lang w:val="fr-FR" w:eastAsia="fr-FR"/>
    </w:rPr>
  </w:style>
  <w:style w:type="paragraph" w:customStyle="1" w:styleId="xl81">
    <w:name w:val="xl81"/>
    <w:basedOn w:val="Normal"/>
    <w:pPr>
      <w:pBdr>
        <w:left w:val="single" w:sz="4" w:space="0" w:color="CAC9D9"/>
      </w:pBd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82">
    <w:name w:val="xl82"/>
    <w:basedOn w:val="Normal"/>
    <w:pPr>
      <w:pBdr>
        <w:left w:val="single" w:sz="4" w:space="0" w:color="CAC9D9"/>
      </w:pBd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83">
    <w:name w:val="xl83"/>
    <w:basedOn w:val="Normal"/>
    <w:pPr>
      <w:pBdr>
        <w:top w:val="single" w:sz="4" w:space="0" w:color="666666"/>
        <w:left w:val="single" w:sz="4" w:space="0" w:color="666666"/>
        <w:bottom w:val="single" w:sz="4" w:space="0" w:color="666666"/>
        <w:right w:val="single" w:sz="4" w:space="0" w:color="666666"/>
      </w:pBdr>
      <w:spacing w:before="100" w:beforeAutospacing="1" w:after="100" w:afterAutospacing="1" w:line="259" w:lineRule="auto"/>
    </w:pPr>
    <w:rPr>
      <w:rFonts w:eastAsia="Times New Roman" w:cs="Times New Roman"/>
      <w:color w:val="0563C1"/>
      <w:szCs w:val="24"/>
      <w:u w:val="single"/>
      <w:lang w:val="fr-FR" w:eastAsia="fr-FR"/>
    </w:rPr>
  </w:style>
  <w:style w:type="table" w:customStyle="1" w:styleId="ListTable41">
    <w:name w:val="List Table 41"/>
    <w:basedOn w:val="TableNormal"/>
    <w:uiPriority w:val="49"/>
    <w:pPr>
      <w:spacing w:after="160" w:line="259" w:lineRule="auto"/>
    </w:pPr>
    <w:rPr>
      <w:lang w:val="en-GB" w:eastAsia="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tcBorders>
        <w:shd w:val="clear" w:color="auto" w:fill="5F5F5F"/>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m8152960186109781831gmail-m6176526134931210704gmail-m1642433259182450243m-1022289211935347996gmail-m-35571645869609104m-3516747098457013066m3796190280198928025gmail-im">
    <w:name w:val="m_8152960186109781831gmail-m_6176526134931210704gmail-m_1642433259182450243m_-1022289211935347996gmail-m_-35571645869609104m_-3516747098457013066m_3796190280198928025gmail-im"/>
    <w:basedOn w:val="DefaultParagraphFont"/>
  </w:style>
  <w:style w:type="paragraph" w:customStyle="1" w:styleId="Table-stylePSP">
    <w:name w:val="Table-style PSP"/>
    <w:basedOn w:val="Normal"/>
    <w:link w:val="Table-stylePSPChar"/>
    <w:pPr>
      <w:spacing w:before="60" w:after="60" w:line="259" w:lineRule="auto"/>
    </w:pPr>
    <w:rPr>
      <w:rFonts w:ascii="Calibri" w:eastAsia="HGPMinchoE" w:hAnsi="Calibri" w:cs="Times New Roman"/>
      <w:bCs/>
      <w:sz w:val="18"/>
      <w:lang w:val="en-GB"/>
    </w:rPr>
  </w:style>
  <w:style w:type="character" w:customStyle="1" w:styleId="Table-stylePSPChar">
    <w:name w:val="Table-style PSP Char"/>
    <w:link w:val="Table-stylePSP"/>
    <w:rPr>
      <w:rFonts w:ascii="Calibri" w:eastAsia="HGPMinchoE" w:hAnsi="Calibri" w:cs="Times New Roman"/>
      <w:bCs/>
      <w:sz w:val="18"/>
      <w:lang w:val="en-GB"/>
    </w:rPr>
  </w:style>
  <w:style w:type="paragraph" w:styleId="PlainText">
    <w:name w:val="Plain Text"/>
    <w:basedOn w:val="Normal"/>
    <w:link w:val="PlainTextChar1"/>
    <w:pPr>
      <w:autoSpaceDE w:val="0"/>
      <w:autoSpaceDN w:val="0"/>
      <w:spacing w:after="120" w:line="320" w:lineRule="atLeast"/>
      <w:jc w:val="both"/>
    </w:pPr>
    <w:rPr>
      <w:rFonts w:eastAsia="Times New Roman" w:cs="RotisSerif"/>
      <w:sz w:val="22"/>
      <w:lang w:val="en-GB" w:eastAsia="en-GB"/>
    </w:rPr>
  </w:style>
  <w:style w:type="character" w:customStyle="1" w:styleId="PlainTextChar">
    <w:name w:val="Plain Text Char"/>
    <w:basedOn w:val="DefaultParagraphFont"/>
    <w:uiPriority w:val="99"/>
    <w:semiHidden/>
    <w:rPr>
      <w:rFonts w:ascii="Consolas" w:hAnsi="Consolas"/>
      <w:sz w:val="21"/>
      <w:szCs w:val="21"/>
    </w:rPr>
  </w:style>
  <w:style w:type="character" w:customStyle="1" w:styleId="PlainTextChar1">
    <w:name w:val="Plain Text Char1"/>
    <w:link w:val="PlainText"/>
    <w:rPr>
      <w:rFonts w:ascii="Times New Roman" w:eastAsia="Times New Roman" w:hAnsi="Times New Roman" w:cs="RotisSerif"/>
      <w:lang w:val="en-GB" w:eastAsia="en-GB"/>
    </w:rPr>
  </w:style>
  <w:style w:type="character" w:customStyle="1" w:styleId="Bullet1Char">
    <w:name w:val="Bullet 1 Char"/>
    <w:link w:val="Bullet1"/>
    <w:locked/>
    <w:rPr>
      <w:rFonts w:ascii="Arial" w:eastAsia="Meiryo UI" w:hAnsi="Arial" w:cs="Arial"/>
      <w:color w:val="5F5F5F"/>
      <w:lang w:eastAsia="zh-CN"/>
    </w:rPr>
  </w:style>
  <w:style w:type="paragraph" w:customStyle="1" w:styleId="Bullet1">
    <w:name w:val="Bullet 1"/>
    <w:basedOn w:val="ListParagraph"/>
    <w:link w:val="Bullet1Char"/>
    <w:pPr>
      <w:numPr>
        <w:numId w:val="52"/>
      </w:numPr>
      <w:spacing w:after="200" w:line="259" w:lineRule="auto"/>
      <w:ind w:left="720" w:firstLine="0"/>
    </w:pPr>
    <w:rPr>
      <w:rFonts w:ascii="Arial" w:eastAsia="Meiryo UI" w:hAnsi="Arial" w:cs="Arial"/>
      <w:color w:val="5F5F5F"/>
      <w:sz w:val="22"/>
      <w:szCs w:val="22"/>
      <w:lang w:val="fr-BE" w:eastAsia="zh-CN"/>
    </w:rPr>
  </w:style>
  <w:style w:type="paragraph" w:customStyle="1" w:styleId="Bullet3">
    <w:name w:val="Bullet 3"/>
    <w:basedOn w:val="Bullet1"/>
    <w:pPr>
      <w:numPr>
        <w:ilvl w:val="2"/>
      </w:numPr>
      <w:ind w:left="720" w:firstLine="0"/>
    </w:pPr>
  </w:style>
  <w:style w:type="paragraph" w:customStyle="1" w:styleId="ECVOrganisationDetails">
    <w:name w:val="_ECV_OrganisationDetails"/>
    <w:basedOn w:val="Normal"/>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hi-IN" w:bidi="hi-IN"/>
    </w:rPr>
  </w:style>
  <w:style w:type="paragraph" w:customStyle="1" w:styleId="ECVNameField">
    <w:name w:val="_ECV_NameField"/>
    <w:basedOn w:val="Normal"/>
    <w:pPr>
      <w:widowControl w:val="0"/>
      <w:suppressLineNumbers/>
      <w:suppressAutoHyphens/>
      <w:spacing w:after="0" w:line="100" w:lineRule="atLeast"/>
    </w:pPr>
    <w:rPr>
      <w:rFonts w:ascii="Arial" w:eastAsia="SimSun" w:hAnsi="Arial" w:cs="Mangal"/>
      <w:color w:val="3F3A38"/>
      <w:spacing w:val="-6"/>
      <w:kern w:val="1"/>
      <w:sz w:val="26"/>
      <w:szCs w:val="18"/>
      <w:lang w:val="en-GB" w:eastAsia="hi-IN" w:bidi="hi-IN"/>
    </w:rPr>
  </w:style>
  <w:style w:type="character" w:customStyle="1" w:styleId="UnresolvedMention3">
    <w:name w:val="Unresolved Mention3"/>
    <w:uiPriority w:val="99"/>
    <w:unhideWhenUsed/>
    <w:rPr>
      <w:color w:val="808080"/>
      <w:shd w:val="clear" w:color="auto" w:fill="E6E6E6"/>
    </w:rPr>
  </w:style>
  <w:style w:type="paragraph" w:customStyle="1" w:styleId="msonormal0">
    <w:name w:val="msonormal"/>
    <w:basedOn w:val="Normal"/>
    <w:pPr>
      <w:spacing w:before="100" w:beforeAutospacing="1" w:after="100" w:afterAutospacing="1" w:line="259" w:lineRule="auto"/>
    </w:pPr>
    <w:rPr>
      <w:rFonts w:eastAsia="Times New Roman" w:cs="Times New Roman"/>
      <w:szCs w:val="24"/>
      <w:lang w:val="fr-LU" w:eastAsia="fr-LU"/>
    </w:rPr>
  </w:style>
  <w:style w:type="paragraph" w:customStyle="1" w:styleId="xl63">
    <w:name w:val="xl63"/>
    <w:basedOn w:val="Normal"/>
    <w:pPr>
      <w:spacing w:before="100" w:beforeAutospacing="1" w:after="100" w:afterAutospacing="1" w:line="259" w:lineRule="auto"/>
    </w:pPr>
    <w:rPr>
      <w:rFonts w:eastAsia="Times New Roman" w:cs="Times New Roman"/>
      <w:sz w:val="16"/>
      <w:szCs w:val="16"/>
      <w:lang w:val="fr-LU" w:eastAsia="fr-LU"/>
    </w:rPr>
  </w:style>
  <w:style w:type="character" w:customStyle="1" w:styleId="italique">
    <w:name w:val="italique"/>
    <w:basedOn w:val="DefaultParagraphFont"/>
  </w:style>
  <w:style w:type="numbering" w:customStyle="1" w:styleId="Style1">
    <w:name w:val="Style1"/>
    <w:uiPriority w:val="99"/>
    <w:pPr>
      <w:numPr>
        <w:numId w:val="53"/>
      </w:numPr>
    </w:pPr>
  </w:style>
  <w:style w:type="table" w:customStyle="1" w:styleId="GridTable4-Accent51">
    <w:name w:val="Grid Table 4 - Accent 51"/>
    <w:basedOn w:val="TableNormal"/>
    <w:uiPriority w:val="49"/>
    <w:pPr>
      <w:spacing w:after="160" w:line="259" w:lineRule="auto"/>
    </w:pPr>
    <w:rPr>
      <w:rFonts w:eastAsia="Times New Roman"/>
      <w:lang w:val="en-GB"/>
    </w:rPr>
    <w:tblPr>
      <w:tblStyleRowBandSize w:val="1"/>
      <w:tblStyleColBandSize w:val="1"/>
      <w:tblBorders>
        <w:top w:val="single" w:sz="4" w:space="0" w:color="31E5F9"/>
        <w:left w:val="single" w:sz="4" w:space="0" w:color="31E5F9"/>
        <w:bottom w:val="single" w:sz="4" w:space="0" w:color="31E5F9"/>
        <w:right w:val="single" w:sz="4" w:space="0" w:color="31E5F9"/>
        <w:insideH w:val="single" w:sz="4" w:space="0" w:color="31E5F9"/>
        <w:insideV w:val="single" w:sz="4" w:space="0" w:color="31E5F9"/>
      </w:tblBorders>
    </w:tblPr>
    <w:tblStylePr w:type="firstRow">
      <w:rPr>
        <w:b/>
        <w:bCs/>
        <w:color w:val="FFFFFF"/>
      </w:rPr>
      <w:tblPr/>
      <w:tcPr>
        <w:tcBorders>
          <w:top w:val="single" w:sz="4" w:space="0" w:color="048B9A"/>
          <w:left w:val="single" w:sz="4" w:space="0" w:color="048B9A"/>
          <w:bottom w:val="single" w:sz="4" w:space="0" w:color="048B9A"/>
          <w:right w:val="single" w:sz="4" w:space="0" w:color="048B9A"/>
          <w:insideH w:val="nil"/>
          <w:insideV w:val="nil"/>
        </w:tcBorders>
        <w:shd w:val="clear" w:color="auto" w:fill="048B9A"/>
      </w:tcPr>
    </w:tblStylePr>
    <w:tblStylePr w:type="lastRow">
      <w:rPr>
        <w:b/>
        <w:bCs/>
      </w:rPr>
      <w:tblPr/>
      <w:tcPr>
        <w:tcBorders>
          <w:top w:val="double" w:sz="4" w:space="0" w:color="048B9A"/>
        </w:tcBorders>
      </w:tcPr>
    </w:tblStylePr>
    <w:tblStylePr w:type="firstCol">
      <w:rPr>
        <w:b/>
        <w:bCs/>
      </w:rPr>
    </w:tblStylePr>
    <w:tblStylePr w:type="lastCol">
      <w:rPr>
        <w:b/>
        <w:bCs/>
      </w:rPr>
    </w:tblStylePr>
    <w:tblStylePr w:type="band1Vert">
      <w:tblPr/>
      <w:tcPr>
        <w:shd w:val="clear" w:color="auto" w:fill="BAF6FD"/>
      </w:tcPr>
    </w:tblStylePr>
    <w:tblStylePr w:type="band1Horz">
      <w:tblPr/>
      <w:tcPr>
        <w:shd w:val="clear" w:color="auto" w:fill="BAF6FD"/>
      </w:tcPr>
    </w:tblStylePr>
  </w:style>
  <w:style w:type="table" w:customStyle="1" w:styleId="GridTable3-Accent11">
    <w:name w:val="Grid Table 3 - Accent 11"/>
    <w:basedOn w:val="TableNormal"/>
    <w:uiPriority w:val="48"/>
    <w:pPr>
      <w:spacing w:after="160" w:line="259" w:lineRule="auto"/>
    </w:pPr>
    <w:rPr>
      <w:rFonts w:eastAsia="Times New Roman"/>
      <w:lang w:val="en-GB"/>
    </w:rPr>
    <w:tblPr>
      <w:tblStyleRowBandSize w:val="1"/>
      <w:tblStyleColBandSize w:val="1"/>
      <w:tblBorders>
        <w:top w:val="single" w:sz="4" w:space="0" w:color="B9C2C3"/>
        <w:left w:val="single" w:sz="4" w:space="0" w:color="B9C2C3"/>
        <w:bottom w:val="single" w:sz="4" w:space="0" w:color="B9C2C3"/>
        <w:right w:val="single" w:sz="4" w:space="0" w:color="B9C2C3"/>
        <w:insideH w:val="single" w:sz="4" w:space="0" w:color="B9C2C3"/>
        <w:insideV w:val="single" w:sz="4" w:space="0" w:color="B9C2C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EAEB"/>
      </w:tcPr>
    </w:tblStylePr>
    <w:tblStylePr w:type="band1Horz">
      <w:tblPr/>
      <w:tcPr>
        <w:shd w:val="clear" w:color="auto" w:fill="E7EAEB"/>
      </w:tcPr>
    </w:tblStylePr>
    <w:tblStylePr w:type="neCell">
      <w:tblPr/>
      <w:tcPr>
        <w:tcBorders>
          <w:bottom w:val="single" w:sz="4" w:space="0" w:color="B9C2C3"/>
        </w:tcBorders>
      </w:tcPr>
    </w:tblStylePr>
    <w:tblStylePr w:type="nwCell">
      <w:tblPr/>
      <w:tcPr>
        <w:tcBorders>
          <w:bottom w:val="single" w:sz="4" w:space="0" w:color="B9C2C3"/>
        </w:tcBorders>
      </w:tcPr>
    </w:tblStylePr>
    <w:tblStylePr w:type="seCell">
      <w:tblPr/>
      <w:tcPr>
        <w:tcBorders>
          <w:top w:val="single" w:sz="4" w:space="0" w:color="B9C2C3"/>
        </w:tcBorders>
      </w:tcPr>
    </w:tblStylePr>
    <w:tblStylePr w:type="swCell">
      <w:tblPr/>
      <w:tcPr>
        <w:tcBorders>
          <w:top w:val="single" w:sz="4" w:space="0" w:color="B9C2C3"/>
        </w:tcBorders>
      </w:tcPr>
    </w:tblStylePr>
  </w:style>
  <w:style w:type="table" w:customStyle="1" w:styleId="GridTable31">
    <w:name w:val="Grid Table 31"/>
    <w:basedOn w:val="TableNormal"/>
    <w:uiPriority w:val="48"/>
    <w:pPr>
      <w:spacing w:after="160" w:line="259" w:lineRule="auto"/>
    </w:pPr>
    <w:rPr>
      <w:rFonts w:eastAsia="Times New Roman"/>
      <w:lang w:val="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DFDF"/>
      </w:tcPr>
    </w:tblStylePr>
    <w:tblStylePr w:type="band1Horz">
      <w:tblPr/>
      <w:tcPr>
        <w:shd w:val="clear" w:color="auto" w:fill="DFDFDF"/>
      </w:tcPr>
    </w:tblStylePr>
    <w:tblStylePr w:type="neCell">
      <w:tblPr/>
      <w:tcPr>
        <w:tcBorders>
          <w:bottom w:val="single" w:sz="4" w:space="0" w:color="9F9F9F"/>
        </w:tcBorders>
      </w:tcPr>
    </w:tblStylePr>
    <w:tblStylePr w:type="nwCell">
      <w:tblPr/>
      <w:tcPr>
        <w:tcBorders>
          <w:bottom w:val="single" w:sz="4" w:space="0" w:color="9F9F9F"/>
        </w:tcBorders>
      </w:tcPr>
    </w:tblStylePr>
    <w:tblStylePr w:type="seCell">
      <w:tblPr/>
      <w:tcPr>
        <w:tcBorders>
          <w:top w:val="single" w:sz="4" w:space="0" w:color="9F9F9F"/>
        </w:tcBorders>
      </w:tcPr>
    </w:tblStylePr>
    <w:tblStylePr w:type="swCell">
      <w:tblPr/>
      <w:tcPr>
        <w:tcBorders>
          <w:top w:val="single" w:sz="4" w:space="0" w:color="9F9F9F"/>
        </w:tcBorders>
      </w:tcPr>
    </w:tblStylePr>
  </w:style>
  <w:style w:type="table" w:customStyle="1" w:styleId="Grigliatab31">
    <w:name w:val="Griglia tab. 31"/>
    <w:basedOn w:val="TableNormal"/>
    <w:uiPriority w:val="48"/>
    <w:pPr>
      <w:spacing w:after="160" w:line="259" w:lineRule="auto"/>
    </w:pPr>
    <w:rPr>
      <w:rFonts w:eastAsia="Times New Roman"/>
      <w:lang w:val="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DFDF"/>
      </w:tcPr>
    </w:tblStylePr>
    <w:tblStylePr w:type="band1Horz">
      <w:tblPr/>
      <w:tcPr>
        <w:shd w:val="clear" w:color="auto" w:fill="DFDFDF"/>
      </w:tcPr>
    </w:tblStylePr>
    <w:tblStylePr w:type="neCell">
      <w:tblPr/>
      <w:tcPr>
        <w:tcBorders>
          <w:bottom w:val="single" w:sz="4" w:space="0" w:color="9F9F9F"/>
        </w:tcBorders>
      </w:tcPr>
    </w:tblStylePr>
    <w:tblStylePr w:type="nwCell">
      <w:tblPr/>
      <w:tcPr>
        <w:tcBorders>
          <w:bottom w:val="single" w:sz="4" w:space="0" w:color="9F9F9F"/>
        </w:tcBorders>
      </w:tcPr>
    </w:tblStylePr>
    <w:tblStylePr w:type="seCell">
      <w:tblPr/>
      <w:tcPr>
        <w:tcBorders>
          <w:top w:val="single" w:sz="4" w:space="0" w:color="9F9F9F"/>
        </w:tcBorders>
      </w:tcPr>
    </w:tblStylePr>
    <w:tblStylePr w:type="swCell">
      <w:tblPr/>
      <w:tcPr>
        <w:tcBorders>
          <w:top w:val="single" w:sz="4" w:space="0" w:color="9F9F9F"/>
        </w:tcBorders>
      </w:tcPr>
    </w:tblStylePr>
  </w:style>
  <w:style w:type="table" w:customStyle="1" w:styleId="GridTable5Dark1">
    <w:name w:val="Grid Table 5 Dark1"/>
    <w:basedOn w:val="TableNormal"/>
    <w:uiPriority w:val="50"/>
    <w:pPr>
      <w:spacing w:after="160" w:line="259" w:lineRule="auto"/>
    </w:pPr>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paragraph" w:customStyle="1" w:styleId="PreAddr">
    <w:name w:val="_PreAddr"/>
    <w:basedOn w:val="Normal"/>
    <w:uiPriority w:val="99"/>
    <w:pPr>
      <w:spacing w:after="0" w:line="259" w:lineRule="auto"/>
      <w:jc w:val="center"/>
    </w:pPr>
    <w:rPr>
      <w:rFonts w:ascii="Book Antiqua" w:eastAsia="Times New Roman" w:hAnsi="Book Antiqua" w:cs="Times New Roman"/>
      <w:b/>
      <w:sz w:val="22"/>
      <w:szCs w:val="20"/>
      <w:lang w:val="en-GB"/>
    </w:rPr>
  </w:style>
  <w:style w:type="paragraph" w:customStyle="1" w:styleId="broodtekst">
    <w:name w:val="broodtekst"/>
    <w:basedOn w:val="Normal"/>
    <w:link w:val="broodtekstChar"/>
    <w:pPr>
      <w:spacing w:after="0" w:line="280" w:lineRule="atLeast"/>
    </w:pPr>
    <w:rPr>
      <w:rFonts w:ascii="Arial" w:eastAsia="Times New Roman" w:hAnsi="Arial" w:cs="Times New Roman"/>
      <w:sz w:val="18"/>
      <w:szCs w:val="24"/>
      <w:lang w:val="en-GB" w:eastAsia="nl-NL"/>
    </w:rPr>
  </w:style>
  <w:style w:type="character" w:customStyle="1" w:styleId="broodtekstChar">
    <w:name w:val="broodtekst Char"/>
    <w:link w:val="broodtekst"/>
    <w:locked/>
    <w:rPr>
      <w:rFonts w:ascii="Arial" w:eastAsia="Times New Roman" w:hAnsi="Arial" w:cs="Times New Roman"/>
      <w:sz w:val="18"/>
      <w:szCs w:val="24"/>
      <w:lang w:val="en-GB" w:eastAsia="nl-NL"/>
    </w:rPr>
  </w:style>
  <w:style w:type="table" w:customStyle="1" w:styleId="GridTable4-Accent511">
    <w:name w:val="Grid Table 4 - Accent 511"/>
    <w:basedOn w:val="TableNormal"/>
    <w:uiPriority w:val="49"/>
    <w:pPr>
      <w:spacing w:after="160" w:line="259" w:lineRule="auto"/>
    </w:pPr>
    <w:rPr>
      <w:rFonts w:eastAsia="Times New Roman"/>
      <w:lang w:val="en-GB"/>
    </w:rPr>
    <w:tblPr>
      <w:tblStyleRowBandSize w:val="1"/>
      <w:tblStyleColBandSize w:val="1"/>
      <w:tblBorders>
        <w:top w:val="single" w:sz="4" w:space="0" w:color="31E5F9"/>
        <w:left w:val="single" w:sz="4" w:space="0" w:color="31E5F9"/>
        <w:bottom w:val="single" w:sz="4" w:space="0" w:color="31E5F9"/>
        <w:right w:val="single" w:sz="4" w:space="0" w:color="31E5F9"/>
        <w:insideH w:val="single" w:sz="4" w:space="0" w:color="31E5F9"/>
        <w:insideV w:val="single" w:sz="4" w:space="0" w:color="31E5F9"/>
      </w:tblBorders>
    </w:tblPr>
    <w:tblStylePr w:type="firstRow">
      <w:rPr>
        <w:b/>
        <w:bCs/>
        <w:color w:val="FFFFFF"/>
      </w:rPr>
      <w:tblPr/>
      <w:tcPr>
        <w:tcBorders>
          <w:top w:val="single" w:sz="4" w:space="0" w:color="048B9A"/>
          <w:left w:val="single" w:sz="4" w:space="0" w:color="048B9A"/>
          <w:bottom w:val="single" w:sz="4" w:space="0" w:color="048B9A"/>
          <w:right w:val="single" w:sz="4" w:space="0" w:color="048B9A"/>
          <w:insideH w:val="nil"/>
          <w:insideV w:val="nil"/>
        </w:tcBorders>
        <w:shd w:val="clear" w:color="auto" w:fill="048B9A"/>
      </w:tcPr>
    </w:tblStylePr>
    <w:tblStylePr w:type="lastRow">
      <w:rPr>
        <w:b/>
        <w:bCs/>
      </w:rPr>
      <w:tblPr/>
      <w:tcPr>
        <w:tcBorders>
          <w:top w:val="double" w:sz="4" w:space="0" w:color="048B9A"/>
        </w:tcBorders>
      </w:tcPr>
    </w:tblStylePr>
    <w:tblStylePr w:type="firstCol">
      <w:rPr>
        <w:b/>
        <w:bCs/>
      </w:rPr>
    </w:tblStylePr>
    <w:tblStylePr w:type="lastCol">
      <w:rPr>
        <w:b/>
        <w:bCs/>
      </w:rPr>
    </w:tblStylePr>
    <w:tblStylePr w:type="band1Vert">
      <w:tblPr/>
      <w:tcPr>
        <w:shd w:val="clear" w:color="auto" w:fill="BAF6FD"/>
      </w:tcPr>
    </w:tblStylePr>
    <w:tblStylePr w:type="band1Horz">
      <w:tblPr/>
      <w:tcPr>
        <w:shd w:val="clear" w:color="auto" w:fill="BAF6FD"/>
      </w:tcPr>
    </w:tblStylePr>
  </w:style>
  <w:style w:type="table" w:customStyle="1" w:styleId="GridTable3-Accent111">
    <w:name w:val="Grid Table 3 - Accent 111"/>
    <w:basedOn w:val="TableNormal"/>
    <w:uiPriority w:val="48"/>
    <w:pPr>
      <w:spacing w:after="160" w:line="259" w:lineRule="auto"/>
    </w:pPr>
    <w:rPr>
      <w:rFonts w:eastAsia="Times New Roman"/>
      <w:lang w:val="en-GB"/>
    </w:rPr>
    <w:tblPr>
      <w:tblStyleRowBandSize w:val="1"/>
      <w:tblStyleColBandSize w:val="1"/>
      <w:tblBorders>
        <w:top w:val="single" w:sz="4" w:space="0" w:color="B9C2C3"/>
        <w:left w:val="single" w:sz="4" w:space="0" w:color="B9C2C3"/>
        <w:bottom w:val="single" w:sz="4" w:space="0" w:color="B9C2C3"/>
        <w:right w:val="single" w:sz="4" w:space="0" w:color="B9C2C3"/>
        <w:insideH w:val="single" w:sz="4" w:space="0" w:color="B9C2C3"/>
        <w:insideV w:val="single" w:sz="4" w:space="0" w:color="B9C2C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EAEB"/>
      </w:tcPr>
    </w:tblStylePr>
    <w:tblStylePr w:type="band1Horz">
      <w:tblPr/>
      <w:tcPr>
        <w:shd w:val="clear" w:color="auto" w:fill="E7EAEB"/>
      </w:tcPr>
    </w:tblStylePr>
    <w:tblStylePr w:type="neCell">
      <w:tblPr/>
      <w:tcPr>
        <w:tcBorders>
          <w:bottom w:val="single" w:sz="4" w:space="0" w:color="B9C2C3"/>
        </w:tcBorders>
      </w:tcPr>
    </w:tblStylePr>
    <w:tblStylePr w:type="nwCell">
      <w:tblPr/>
      <w:tcPr>
        <w:tcBorders>
          <w:bottom w:val="single" w:sz="4" w:space="0" w:color="B9C2C3"/>
        </w:tcBorders>
      </w:tcPr>
    </w:tblStylePr>
    <w:tblStylePr w:type="seCell">
      <w:tblPr/>
      <w:tcPr>
        <w:tcBorders>
          <w:top w:val="single" w:sz="4" w:space="0" w:color="B9C2C3"/>
        </w:tcBorders>
      </w:tcPr>
    </w:tblStylePr>
    <w:tblStylePr w:type="swCell">
      <w:tblPr/>
      <w:tcPr>
        <w:tcBorders>
          <w:top w:val="single" w:sz="4" w:space="0" w:color="B9C2C3"/>
        </w:tcBorders>
      </w:tcPr>
    </w:tblStylePr>
  </w:style>
  <w:style w:type="table" w:customStyle="1" w:styleId="GridTable311">
    <w:name w:val="Grid Table 311"/>
    <w:basedOn w:val="TableNormal"/>
    <w:uiPriority w:val="48"/>
    <w:pPr>
      <w:spacing w:after="160" w:line="259" w:lineRule="auto"/>
    </w:pPr>
    <w:rPr>
      <w:rFonts w:eastAsia="Times New Roman"/>
      <w:lang w:val="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DFDF"/>
      </w:tcPr>
    </w:tblStylePr>
    <w:tblStylePr w:type="band1Horz">
      <w:tblPr/>
      <w:tcPr>
        <w:shd w:val="clear" w:color="auto" w:fill="DFDFDF"/>
      </w:tcPr>
    </w:tblStylePr>
    <w:tblStylePr w:type="neCell">
      <w:tblPr/>
      <w:tcPr>
        <w:tcBorders>
          <w:bottom w:val="single" w:sz="4" w:space="0" w:color="9F9F9F"/>
        </w:tcBorders>
      </w:tcPr>
    </w:tblStylePr>
    <w:tblStylePr w:type="nwCell">
      <w:tblPr/>
      <w:tcPr>
        <w:tcBorders>
          <w:bottom w:val="single" w:sz="4" w:space="0" w:color="9F9F9F"/>
        </w:tcBorders>
      </w:tcPr>
    </w:tblStylePr>
    <w:tblStylePr w:type="seCell">
      <w:tblPr/>
      <w:tcPr>
        <w:tcBorders>
          <w:top w:val="single" w:sz="4" w:space="0" w:color="9F9F9F"/>
        </w:tcBorders>
      </w:tcPr>
    </w:tblStylePr>
    <w:tblStylePr w:type="swCell">
      <w:tblPr/>
      <w:tcPr>
        <w:tcBorders>
          <w:top w:val="single" w:sz="4" w:space="0" w:color="9F9F9F"/>
        </w:tcBorders>
      </w:tcPr>
    </w:tblStylePr>
  </w:style>
  <w:style w:type="numbering" w:customStyle="1" w:styleId="list-bullet-color1">
    <w:name w:val="list-bullet-color1"/>
  </w:style>
  <w:style w:type="character" w:customStyle="1" w:styleId="boldface">
    <w:name w:val="boldface"/>
    <w:basedOn w:val="DefaultParagraphFont"/>
  </w:style>
  <w:style w:type="table" w:customStyle="1" w:styleId="Grigliatabella1">
    <w:name w:val="Griglia tabella1"/>
    <w:basedOn w:val="TableNormal"/>
    <w:uiPriority w:val="39"/>
    <w:pPr>
      <w:spacing w:after="160" w:line="259"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1">
    <w:name w:val="Footnote Char1"/>
    <w:aliases w:val="single space Char1,Fußnotentextf Char1,Footnote text Char1,Schriftart: 9 pt Char1,Schriftart: 10 pt Char1,Schriftart: 8 pt Char1,WB-Fußnotentext Char1,Footnote Text2 Char1,f Char1,Fuß Char"/>
    <w:uiPriority w:val="99"/>
    <w:locked/>
    <w:rPr>
      <w:lang w:val="en-US"/>
    </w:rPr>
  </w:style>
  <w:style w:type="table" w:customStyle="1" w:styleId="GridTable5Dark-Accent131">
    <w:name w:val="Grid Table 5 Dark - Accent 131"/>
    <w:basedOn w:val="TableNormal"/>
    <w:uiPriority w:val="50"/>
    <w:pPr>
      <w:spacing w:after="160" w:line="259" w:lineRule="auto"/>
    </w:pPr>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7EA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9B9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9B9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9B9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9B9C"/>
      </w:tcPr>
    </w:tblStylePr>
    <w:tblStylePr w:type="band1Vert">
      <w:tblPr/>
      <w:tcPr>
        <w:shd w:val="clear" w:color="auto" w:fill="D0D7D7"/>
      </w:tcPr>
    </w:tblStylePr>
    <w:tblStylePr w:type="band1Horz">
      <w:tblPr/>
      <w:tcPr>
        <w:shd w:val="clear" w:color="auto" w:fill="D0D7D7"/>
      </w:tcPr>
    </w:tblStylePr>
  </w:style>
  <w:style w:type="table" w:customStyle="1" w:styleId="Grigliatabella4">
    <w:name w:val="Griglia tabella4"/>
    <w:basedOn w:val="TableNormal"/>
    <w:next w:val="TableGrid"/>
    <w:uiPriority w:val="39"/>
    <w:pPr>
      <w:spacing w:after="160" w:line="259" w:lineRule="auto"/>
    </w:pPr>
    <w:rPr>
      <w:rFonts w:eastAsia="Calibri"/>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web">
    <w:name w:val="citation web"/>
    <w:basedOn w:val="DefaultParagraphFont"/>
  </w:style>
  <w:style w:type="character" w:customStyle="1" w:styleId="printonly">
    <w:name w:val="printonly"/>
    <w:basedOn w:val="DefaultParagraphFont"/>
  </w:style>
  <w:style w:type="paragraph" w:customStyle="1" w:styleId="TextBoxBullet">
    <w:name w:val="TextBoxBullet"/>
    <w:basedOn w:val="Normal"/>
    <w:uiPriority w:val="99"/>
    <w:pPr>
      <w:keepNext/>
      <w:numPr>
        <w:numId w:val="55"/>
      </w:numPr>
      <w:pBdr>
        <w:top w:val="single" w:sz="6" w:space="12" w:color="auto"/>
        <w:left w:val="single" w:sz="6" w:space="12" w:color="auto"/>
        <w:bottom w:val="single" w:sz="6" w:space="12" w:color="auto"/>
        <w:right w:val="single" w:sz="6" w:space="12" w:color="auto"/>
      </w:pBdr>
      <w:spacing w:after="300" w:line="271" w:lineRule="auto"/>
      <w:ind w:right="245"/>
      <w:jc w:val="both"/>
    </w:pPr>
    <w:rPr>
      <w:rFonts w:ascii="Book Antiqua" w:eastAsia="Times New Roman" w:hAnsi="Book Antiqua" w:cs="Times New Roman"/>
      <w:sz w:val="22"/>
      <w:szCs w:val="20"/>
      <w:lang w:val="en-GB"/>
    </w:rPr>
  </w:style>
  <w:style w:type="character" w:customStyle="1" w:styleId="ECVHeadingContactDetails">
    <w:name w:val="_ECV_HeadingContactDetails"/>
    <w:rPr>
      <w:rFonts w:ascii="Arial" w:hAnsi="Arial"/>
      <w:color w:val="1593CB"/>
      <w:sz w:val="18"/>
      <w:szCs w:val="18"/>
      <w:shd w:val="clear" w:color="auto" w:fill="auto"/>
    </w:rPr>
  </w:style>
  <w:style w:type="character" w:customStyle="1" w:styleId="ECVContactDetails">
    <w:name w:val="_ECV_ContactDetails"/>
    <w:rPr>
      <w:rFonts w:ascii="Arial" w:hAnsi="Arial"/>
      <w:color w:val="3F3A38"/>
      <w:sz w:val="18"/>
      <w:szCs w:val="18"/>
      <w:shd w:val="clear" w:color="auto" w:fill="auto"/>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ECVInternetLink">
    <w:name w:val="_ECV_InternetLink"/>
    <w:rPr>
      <w:rFonts w:ascii="Arial" w:hAnsi="Arial"/>
      <w:color w:val="3F3A38"/>
      <w:sz w:val="18"/>
      <w:u w:val="single"/>
      <w:shd w:val="clear" w:color="auto" w:fill="auto"/>
      <w:lang w:val="en-GB"/>
    </w:rPr>
  </w:style>
  <w:style w:type="character" w:customStyle="1" w:styleId="ECVHeadingBusinessSector">
    <w:name w:val="_ECV_HeadingBusinessSector"/>
    <w:rPr>
      <w:rFonts w:ascii="Arial" w:hAnsi="Arial"/>
      <w:color w:val="1593CB"/>
      <w:spacing w:val="-6"/>
      <w:sz w:val="18"/>
      <w:szCs w:val="18"/>
      <w:shd w:val="clear" w:color="auto" w:fill="auto"/>
    </w:rPr>
  </w:style>
  <w:style w:type="paragraph" w:customStyle="1" w:styleId="Heading">
    <w:name w:val="Heading"/>
    <w:basedOn w:val="Normal"/>
    <w:next w:val="BodyText"/>
    <w:pPr>
      <w:keepNext/>
      <w:widowControl w:val="0"/>
      <w:suppressAutoHyphens/>
      <w:spacing w:before="240" w:after="120" w:line="259" w:lineRule="auto"/>
    </w:pPr>
    <w:rPr>
      <w:rFonts w:ascii="Arial" w:eastAsia="Microsoft YaHei" w:hAnsi="Arial" w:cs="Mangal"/>
      <w:color w:val="3F3A38"/>
      <w:spacing w:val="-6"/>
      <w:kern w:val="1"/>
      <w:sz w:val="28"/>
      <w:szCs w:val="28"/>
      <w:lang w:val="en-GB" w:eastAsia="en-GB" w:bidi="hi-IN"/>
    </w:rPr>
  </w:style>
  <w:style w:type="paragraph" w:customStyle="1" w:styleId="Index">
    <w:name w:val="Index"/>
    <w:basedOn w:val="Normal"/>
    <w:pPr>
      <w:widowControl w:val="0"/>
      <w:suppressLineNumber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TableContents">
    <w:name w:val="Table Contents"/>
    <w:basedOn w:val="Normal"/>
    <w:pPr>
      <w:widowControl w:val="0"/>
      <w:suppressLineNumber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TableHeading">
    <w:name w:val="Table Heading"/>
    <w:basedOn w:val="TableContents"/>
    <w:pPr>
      <w:jc w:val="center"/>
    </w:pPr>
    <w:rPr>
      <w:b/>
      <w:bCs/>
    </w:rPr>
  </w:style>
  <w:style w:type="paragraph" w:customStyle="1" w:styleId="ECVLeftHeading">
    <w:name w:val="_ECV_LeftHeading"/>
    <w:basedOn w:val="TableContents"/>
    <w:pPr>
      <w:ind w:right="283"/>
      <w:jc w:val="right"/>
    </w:pPr>
    <w:rPr>
      <w:caps/>
      <w:color w:val="0E4194"/>
      <w:sz w:val="18"/>
    </w:rPr>
  </w:style>
  <w:style w:type="paragraph" w:customStyle="1" w:styleId="ECVMiddleColumn">
    <w:name w:val="_ECV_MiddleColumn"/>
    <w:basedOn w:val="TableContents"/>
    <w:rPr>
      <w:color w:val="404040"/>
      <w:sz w:val="20"/>
    </w:rPr>
  </w:style>
  <w:style w:type="paragraph" w:customStyle="1" w:styleId="ECVRightColumn">
    <w:name w:val="_ECV_RightColumn"/>
    <w:basedOn w:val="TableContents"/>
    <w:pPr>
      <w:spacing w:before="62"/>
    </w:pPr>
    <w:rPr>
      <w:color w:val="404040"/>
    </w:rPr>
  </w:style>
  <w:style w:type="paragraph" w:customStyle="1" w:styleId="ECVRightHeading">
    <w:name w:val="_ECV_RightHeading"/>
    <w:basedOn w:val="ECVNameField"/>
  </w:style>
  <w:style w:type="paragraph" w:customStyle="1" w:styleId="ECV1stPage">
    <w:name w:val="_ECV_1stPage"/>
    <w:basedOn w:val="ECVRightHeading"/>
  </w:style>
  <w:style w:type="paragraph" w:customStyle="1" w:styleId="ECVComments">
    <w:name w:val="_ECV_Comments"/>
    <w:basedOn w:val="ECVText"/>
    <w:pPr>
      <w:widowControl w:val="0"/>
      <w:suppressAutoHyphens/>
      <w:spacing w:after="0" w:line="100" w:lineRule="atLeast"/>
      <w:jc w:val="center"/>
    </w:pPr>
    <w:rPr>
      <w:rFonts w:ascii="Arial" w:eastAsia="SimSun" w:hAnsi="Arial" w:cs="Mangal"/>
      <w:color w:val="FF0000"/>
      <w:spacing w:val="-6"/>
      <w:kern w:val="1"/>
      <w:sz w:val="16"/>
      <w:szCs w:val="24"/>
      <w:lang w:eastAsia="en-GB" w:bidi="hi-IN"/>
    </w:rPr>
  </w:style>
  <w:style w:type="paragraph" w:customStyle="1" w:styleId="ECVNarrowSpacing">
    <w:name w:val="_ECV_NarrowSpacing"/>
    <w:basedOn w:val="ECVRightColumn"/>
  </w:style>
  <w:style w:type="paragraph" w:customStyle="1" w:styleId="ECVSectionSpacing">
    <w:name w:val="_ECV_SectionSpacing"/>
    <w:basedOn w:val="ECVRightColumn"/>
  </w:style>
  <w:style w:type="paragraph" w:customStyle="1" w:styleId="Table">
    <w:name w:val="Table"/>
    <w:basedOn w:val="caption2"/>
    <w:uiPriority w:val="99"/>
    <w:pPr>
      <w:widowControl w:val="0"/>
      <w:suppressLineNumbers/>
      <w:suppressAutoHyphens/>
      <w:spacing w:before="120" w:line="259" w:lineRule="auto"/>
    </w:pPr>
    <w:rPr>
      <w:rFonts w:ascii="Arial" w:eastAsia="SimSun" w:hAnsi="Arial" w:cs="Mangal"/>
      <w:bCs/>
      <w:iCs w:val="0"/>
      <w:color w:val="3F3A38"/>
      <w:spacing w:val="-6"/>
      <w:kern w:val="1"/>
      <w:szCs w:val="24"/>
      <w:lang w:bidi="hi-IN"/>
    </w:rPr>
  </w:style>
  <w:style w:type="paragraph" w:customStyle="1" w:styleId="ECVSubSectionHeading">
    <w:name w:val="_ECV_SubSectionHeading"/>
    <w:basedOn w:val="ECVRightColumn"/>
  </w:style>
  <w:style w:type="paragraph" w:customStyle="1" w:styleId="ECVSectionDetails">
    <w:name w:val="_ECV_SectionDetails"/>
    <w:basedOn w:val="Normal"/>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en-GB" w:eastAsia="en-GB" w:bidi="hi-IN"/>
    </w:rPr>
  </w:style>
  <w:style w:type="paragraph" w:customStyle="1" w:styleId="ECVSectionBullet">
    <w:name w:val="_ECV_SectionBullet"/>
    <w:basedOn w:val="ECVSectionDetails"/>
  </w:style>
  <w:style w:type="paragraph" w:customStyle="1" w:styleId="ECVHeadingBullet">
    <w:name w:val="_ECV_HeadingBullet"/>
    <w:basedOn w:val="ECVLeftHeading"/>
    <w:pPr>
      <w:numPr>
        <w:numId w:val="53"/>
      </w:numPr>
      <w:ind w:left="0" w:firstLine="0"/>
    </w:pPr>
  </w:style>
  <w:style w:type="paragraph" w:customStyle="1" w:styleId="ECVSubHeadingBullet">
    <w:name w:val="_ECV_SubHeadingBullet"/>
    <w:basedOn w:val="ECVLeftDetails"/>
  </w:style>
  <w:style w:type="paragraph" w:customStyle="1" w:styleId="CVMajor">
    <w:name w:val="CV Major"/>
    <w:basedOn w:val="Normal"/>
    <w:pPr>
      <w:widowControl w:val="0"/>
      <w:suppressAutoHyphens/>
      <w:spacing w:after="0" w:line="259" w:lineRule="auto"/>
      <w:ind w:left="113" w:right="113"/>
    </w:pPr>
    <w:rPr>
      <w:rFonts w:ascii="Arial" w:eastAsia="SimSun" w:hAnsi="Arial" w:cs="Mangal"/>
      <w:b/>
      <w:color w:val="3F3A38"/>
      <w:spacing w:val="-6"/>
      <w:kern w:val="1"/>
      <w:szCs w:val="24"/>
      <w:lang w:val="en-GB" w:eastAsia="en-GB" w:bidi="hi-IN"/>
    </w:rPr>
  </w:style>
  <w:style w:type="paragraph" w:customStyle="1" w:styleId="ECVDate">
    <w:name w:val="_ECV_Date"/>
    <w:basedOn w:val="ECVLeftHeading"/>
  </w:style>
  <w:style w:type="paragraph" w:customStyle="1" w:styleId="CVHeading3">
    <w:name w:val="CV Heading 3"/>
    <w:basedOn w:val="Normal"/>
    <w:next w:val="Normal"/>
    <w:pPr>
      <w:widowControl w:val="0"/>
      <w:suppressAutoHyphens/>
      <w:spacing w:after="0" w:line="259" w:lineRule="auto"/>
      <w:ind w:left="113" w:right="113"/>
      <w:jc w:val="right"/>
      <w:textAlignment w:val="center"/>
    </w:pPr>
    <w:rPr>
      <w:rFonts w:ascii="Arial" w:eastAsia="SimSun" w:hAnsi="Arial" w:cs="Mangal"/>
      <w:color w:val="3F3A38"/>
      <w:spacing w:val="-6"/>
      <w:kern w:val="1"/>
      <w:sz w:val="16"/>
      <w:szCs w:val="24"/>
      <w:lang w:val="en-GB" w:eastAsia="en-GB" w:bidi="hi-IN"/>
    </w:rPr>
  </w:style>
  <w:style w:type="paragraph" w:customStyle="1" w:styleId="ECVHeadingLine">
    <w:name w:val="_ECV_HeadingLine"/>
    <w:basedOn w:val="ECVSubSectionHeading"/>
    <w:pPr>
      <w:spacing w:before="0" w:line="100" w:lineRule="atLeast"/>
    </w:pPr>
    <w:rPr>
      <w:color w:val="17ACE6"/>
      <w:sz w:val="22"/>
    </w:rPr>
  </w:style>
  <w:style w:type="paragraph" w:customStyle="1" w:styleId="ECVAttachment">
    <w:name w:val="_ECV_Attachment"/>
    <w:basedOn w:val="ECVSectionDetails"/>
  </w:style>
  <w:style w:type="paragraph" w:customStyle="1" w:styleId="ECVHeaderFirstPage">
    <w:name w:val="_ECV_HeaderFirstPage"/>
    <w:basedOn w:val="Header"/>
    <w:pPr>
      <w:widowControl w:val="0"/>
      <w:suppressLineNumbers/>
      <w:tabs>
        <w:tab w:val="clear" w:pos="4535"/>
        <w:tab w:val="clear" w:pos="9071"/>
        <w:tab w:val="center" w:pos="2835"/>
        <w:tab w:val="center" w:pos="5103"/>
        <w:tab w:val="right" w:pos="10206"/>
      </w:tabs>
      <w:suppressAutoHyphens/>
      <w:spacing w:after="0" w:line="100" w:lineRule="atLeast"/>
      <w:jc w:val="left"/>
    </w:pPr>
    <w:rPr>
      <w:rFonts w:ascii="Arial" w:eastAsia="SimSun" w:hAnsi="Arial" w:cs="Mangal"/>
      <w:color w:val="17ACE6"/>
      <w:spacing w:val="-6"/>
      <w:kern w:val="1"/>
      <w:sz w:val="20"/>
      <w:szCs w:val="24"/>
      <w:lang w:val="en-GB" w:eastAsia="en-GB" w:bidi="hi-IN"/>
    </w:rPr>
  </w:style>
  <w:style w:type="paragraph" w:customStyle="1" w:styleId="ECVHeaderOtherPage">
    <w:name w:val="_ECV_HeaderOtherPage"/>
    <w:basedOn w:val="ECVHeaderFirstPage"/>
  </w:style>
  <w:style w:type="paragraph" w:customStyle="1" w:styleId="ECVLeftDetails">
    <w:name w:val="_ECV_LeftDetails"/>
    <w:basedOn w:val="ECVLeftHeading"/>
  </w:style>
  <w:style w:type="paragraph" w:customStyle="1" w:styleId="ECVLanguageHeading">
    <w:name w:val="_ECV_LanguageHeading"/>
    <w:basedOn w:val="ECVRightColumn"/>
  </w:style>
  <w:style w:type="paragraph" w:customStyle="1" w:styleId="ECVLanguageSubHeading">
    <w:name w:val="_ECV_LanguageSubHeading"/>
    <w:basedOn w:val="ECVLanguageHeading"/>
  </w:style>
  <w:style w:type="paragraph" w:customStyle="1" w:styleId="ECVLanguageLevel">
    <w:name w:val="_ECV_LanguageLevel"/>
    <w:basedOn w:val="ECVSectionDetails"/>
  </w:style>
  <w:style w:type="paragraph" w:customStyle="1" w:styleId="ECVLanguageCertificate">
    <w:name w:val="_ECV_LanguageCertificate"/>
    <w:basedOn w:val="ECVRightColumn"/>
  </w:style>
  <w:style w:type="paragraph" w:customStyle="1" w:styleId="ECVLanguageExplanation">
    <w:name w:val="_ECV_LanguageExplanation"/>
    <w:basedOn w:val="Normal"/>
    <w:pPr>
      <w:widowControl w:val="0"/>
      <w:suppressAutoHyphens/>
      <w:autoSpaceDE w:val="0"/>
      <w:spacing w:after="0" w:line="100" w:lineRule="atLeast"/>
    </w:pPr>
    <w:rPr>
      <w:rFonts w:ascii="Arial" w:eastAsia="SimSun" w:hAnsi="Arial" w:cs="Mangal"/>
      <w:color w:val="0E4194"/>
      <w:spacing w:val="-6"/>
      <w:kern w:val="1"/>
      <w:sz w:val="15"/>
      <w:szCs w:val="24"/>
      <w:lang w:val="en-GB" w:eastAsia="en-GB" w:bidi="hi-IN"/>
    </w:rPr>
  </w:style>
  <w:style w:type="paragraph" w:customStyle="1" w:styleId="ECVLinks">
    <w:name w:val="_ECV_Links"/>
    <w:pPr>
      <w:widowControl w:val="0"/>
      <w:suppressLineNumbers/>
      <w:suppressAutoHyphens/>
      <w:spacing w:after="160" w:line="100" w:lineRule="atLeast"/>
      <w:textAlignment w:val="center"/>
    </w:pPr>
    <w:rPr>
      <w:rFonts w:ascii="Arial" w:eastAsia="SimSun" w:hAnsi="Arial" w:cs="Mangal"/>
      <w:color w:val="3F3A38"/>
      <w:spacing w:val="-6"/>
      <w:sz w:val="18"/>
      <w:szCs w:val="18"/>
      <w:u w:val="single"/>
      <w:lang w:val="en-GB" w:eastAsia="zh-CN" w:bidi="hi-IN"/>
    </w:rPr>
  </w:style>
  <w:style w:type="paragraph" w:customStyle="1" w:styleId="ECVText">
    <w:name w:val="_ECV_Text"/>
    <w:basedOn w:val="BodyText"/>
  </w:style>
  <w:style w:type="paragraph" w:customStyle="1" w:styleId="ECVBusinessSector">
    <w:name w:val="_ECV_BusinessSector"/>
    <w:basedOn w:val="ECVOrganisationDetails"/>
  </w:style>
  <w:style w:type="paragraph" w:customStyle="1" w:styleId="ECVLanguageName">
    <w:name w:val="_ECV_LanguageName"/>
    <w:basedOn w:val="ECVLanguageCertificate"/>
  </w:style>
  <w:style w:type="paragraph" w:customStyle="1" w:styleId="ECVPersonalInfoHeading">
    <w:name w:val="_ECV_PersonalInfoHeading"/>
    <w:basedOn w:val="ECVLeftHeading"/>
  </w:style>
  <w:style w:type="paragraph" w:customStyle="1" w:styleId="ECVOccupationalFieldHeading">
    <w:name w:val="_ECV_OccupationalFieldHeading"/>
    <w:basedOn w:val="ECVLeftHeading"/>
  </w:style>
  <w:style w:type="paragraph" w:customStyle="1" w:styleId="ECVGenderRow">
    <w:name w:val="_ECV_GenderRow"/>
    <w:basedOn w:val="Normal"/>
    <w:pPr>
      <w:widowControl w:val="0"/>
      <w:suppressAutoHyphens/>
      <w:spacing w:before="85" w:after="0" w:line="259" w:lineRule="auto"/>
    </w:pPr>
    <w:rPr>
      <w:rFonts w:ascii="Arial" w:eastAsia="SimSun" w:hAnsi="Arial" w:cs="Mangal"/>
      <w:color w:val="1593CB"/>
      <w:spacing w:val="-6"/>
      <w:kern w:val="1"/>
      <w:sz w:val="16"/>
      <w:szCs w:val="24"/>
      <w:lang w:val="en-GB" w:eastAsia="en-GB" w:bidi="hi-IN"/>
    </w:rPr>
  </w:style>
  <w:style w:type="paragraph" w:customStyle="1" w:styleId="ECVCurriculumVitaeNextPages">
    <w:name w:val="_ECV_CurriculumVitae_NextPages"/>
    <w:basedOn w:val="ECV1stPage"/>
  </w:style>
  <w:style w:type="paragraph" w:customStyle="1" w:styleId="ECVBusinessSctionRow">
    <w:name w:val="_ECV_BusinessSctionRow"/>
    <w:basedOn w:val="Normal"/>
    <w:pPr>
      <w:widowControl w:val="0"/>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ECVBusinessSectorRow">
    <w:name w:val="_ECV_BusinessSectorRow"/>
    <w:basedOn w:val="Normal"/>
    <w:pPr>
      <w:widowControl w:val="0"/>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ECVBlueBox">
    <w:name w:val="_ECV_BlueBox"/>
    <w:basedOn w:val="ECVNarrowSpacing"/>
    <w:pPr>
      <w:spacing w:before="0"/>
      <w:jc w:val="right"/>
      <w:textAlignment w:val="bottom"/>
    </w:pPr>
    <w:rPr>
      <w:color w:val="402C24"/>
      <w:spacing w:val="0"/>
      <w:sz w:val="8"/>
      <w:szCs w:val="10"/>
    </w:rPr>
  </w:style>
  <w:style w:type="paragraph" w:customStyle="1" w:styleId="ESP1stPage">
    <w:name w:val="_ESP_1stPage"/>
    <w:basedOn w:val="ECVCurriculumVitaeNextPages"/>
  </w:style>
  <w:style w:type="paragraph" w:customStyle="1" w:styleId="ESPText">
    <w:name w:val="_ESP_Text"/>
    <w:basedOn w:val="ECVText"/>
    <w:pPr>
      <w:widowControl w:val="0"/>
      <w:suppressAutoHyphens/>
      <w:spacing w:after="0" w:line="100" w:lineRule="atLeast"/>
      <w:jc w:val="left"/>
    </w:pPr>
    <w:rPr>
      <w:rFonts w:ascii="Arial" w:eastAsia="SimSun" w:hAnsi="Arial" w:cs="Mangal"/>
      <w:color w:val="3F3A38"/>
      <w:spacing w:val="-6"/>
      <w:kern w:val="1"/>
      <w:sz w:val="16"/>
      <w:szCs w:val="24"/>
      <w:lang w:eastAsia="en-GB" w:bidi="hi-IN"/>
    </w:rPr>
  </w:style>
  <w:style w:type="paragraph" w:customStyle="1" w:styleId="ESPHeading">
    <w:name w:val="_ESP_Heading"/>
    <w:basedOn w:val="ESPText"/>
  </w:style>
  <w:style w:type="paragraph" w:customStyle="1" w:styleId="Footerleft">
    <w:name w:val="Footer left"/>
    <w:basedOn w:val="Normal"/>
    <w:pPr>
      <w:widowControl w:val="0"/>
      <w:suppressLineNumbers/>
      <w:tabs>
        <w:tab w:val="center" w:pos="5188"/>
        <w:tab w:val="right" w:pos="10376"/>
      </w:tab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Footerright">
    <w:name w:val="Footer right"/>
    <w:basedOn w:val="Normal"/>
    <w:pPr>
      <w:widowControl w:val="0"/>
      <w:suppressLineNumbers/>
      <w:tabs>
        <w:tab w:val="center" w:pos="5188"/>
        <w:tab w:val="right" w:pos="10376"/>
      </w:tab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ECVRelatedDocumentRow">
    <w:name w:val="_ECV_RelatedDocumentRow"/>
    <w:basedOn w:val="ECVBusinessSectorRow"/>
  </w:style>
  <w:style w:type="paragraph" w:customStyle="1" w:styleId="Eaoaeaa">
    <w:name w:val="Eaoae?aa"/>
    <w:basedOn w:val="Normal"/>
    <w:pPr>
      <w:widowControl w:val="0"/>
      <w:tabs>
        <w:tab w:val="center" w:pos="4153"/>
        <w:tab w:val="right" w:pos="8306"/>
      </w:tabs>
      <w:spacing w:after="0" w:line="259" w:lineRule="auto"/>
    </w:pPr>
    <w:rPr>
      <w:rFonts w:eastAsia="Times New Roman" w:cs="Times New Roman"/>
      <w:sz w:val="22"/>
      <w:szCs w:val="20"/>
      <w:lang w:val="en-US" w:eastAsia="de-AT"/>
    </w:rPr>
  </w:style>
  <w:style w:type="paragraph" w:customStyle="1" w:styleId="OiaeaeiYiio2">
    <w:name w:val="O?ia eaeiYiio 2"/>
    <w:basedOn w:val="Normal"/>
    <w:pPr>
      <w:widowControl w:val="0"/>
      <w:autoSpaceDE w:val="0"/>
      <w:autoSpaceDN w:val="0"/>
      <w:spacing w:after="0" w:line="259" w:lineRule="auto"/>
      <w:jc w:val="right"/>
    </w:pPr>
    <w:rPr>
      <w:rFonts w:eastAsia="Times New Roman" w:cs="Times New Roman"/>
      <w:i/>
      <w:iCs/>
      <w:sz w:val="16"/>
      <w:szCs w:val="16"/>
      <w:lang w:val="en-US" w:eastAsia="it-IT"/>
    </w:rPr>
  </w:style>
  <w:style w:type="paragraph" w:customStyle="1" w:styleId="CVNormal-FirstLine">
    <w:name w:val="CV Normal - First Line"/>
    <w:basedOn w:val="Normal"/>
    <w:next w:val="Normal"/>
    <w:pPr>
      <w:suppressAutoHyphens/>
      <w:spacing w:before="74" w:after="0" w:line="259" w:lineRule="auto"/>
      <w:ind w:left="113" w:right="113"/>
    </w:pPr>
    <w:rPr>
      <w:rFonts w:ascii="Arial Narrow" w:eastAsia="Times New Roman" w:hAnsi="Arial Narrow" w:cs="Times New Roman"/>
      <w:sz w:val="22"/>
      <w:szCs w:val="20"/>
      <w:lang w:val="en-US" w:eastAsia="ar-SA"/>
    </w:rPr>
  </w:style>
  <w:style w:type="paragraph" w:customStyle="1" w:styleId="CVNormal">
    <w:name w:val="CV Normal"/>
    <w:basedOn w:val="Normal"/>
    <w:link w:val="CVNormalCarattere"/>
    <w:pPr>
      <w:suppressAutoHyphens/>
      <w:spacing w:after="0" w:line="259" w:lineRule="auto"/>
      <w:ind w:left="113" w:right="113"/>
    </w:pPr>
    <w:rPr>
      <w:rFonts w:ascii="Arial Narrow" w:eastAsia="Times New Roman" w:hAnsi="Arial Narrow" w:cs="Times New Roman"/>
      <w:sz w:val="22"/>
      <w:szCs w:val="20"/>
      <w:lang w:val="en-US" w:eastAsia="ar-SA"/>
    </w:rPr>
  </w:style>
  <w:style w:type="character" w:customStyle="1" w:styleId="CVNormalCarattere">
    <w:name w:val="CV Normal Carattere"/>
    <w:link w:val="CVNormal"/>
    <w:rPr>
      <w:rFonts w:ascii="Arial Narrow" w:eastAsia="Times New Roman" w:hAnsi="Arial Narrow" w:cs="Times New Roman"/>
      <w:szCs w:val="20"/>
      <w:lang w:val="en-US" w:eastAsia="ar-SA"/>
    </w:rPr>
  </w:style>
  <w:style w:type="numbering" w:customStyle="1" w:styleId="NoList11">
    <w:name w:val="No List11"/>
    <w:next w:val="NoList"/>
    <w:uiPriority w:val="99"/>
    <w:semiHidden/>
    <w:unhideWhenUsed/>
  </w:style>
  <w:style w:type="paragraph" w:customStyle="1" w:styleId="non-boldlefttitle">
    <w:name w:val="non-bold left title"/>
    <w:uiPriority w:val="99"/>
    <w:pPr>
      <w:widowControl w:val="0"/>
      <w:suppressAutoHyphens/>
      <w:spacing w:before="58" w:after="58" w:line="259" w:lineRule="auto"/>
      <w:jc w:val="right"/>
    </w:pPr>
    <w:rPr>
      <w:rFonts w:ascii="Times New Roman" w:eastAsia="Times New Roman" w:hAnsi="Times New Roman"/>
      <w:lang w:val="el-GR" w:eastAsia="it-IT"/>
    </w:rPr>
  </w:style>
  <w:style w:type="paragraph" w:customStyle="1" w:styleId="WW-NormalWeb">
    <w:name w:val="WW-Normal (Web)"/>
    <w:basedOn w:val="Normal"/>
    <w:uiPriority w:val="99"/>
    <w:pPr>
      <w:widowControl w:val="0"/>
      <w:suppressAutoHyphens/>
      <w:spacing w:before="280" w:after="280" w:line="259" w:lineRule="auto"/>
    </w:pPr>
    <w:rPr>
      <w:rFonts w:eastAsia="Times New Roman" w:cs="Times New Roman"/>
      <w:sz w:val="22"/>
      <w:szCs w:val="20"/>
      <w:lang w:val="en-US" w:eastAsia="it-IT"/>
    </w:rPr>
  </w:style>
  <w:style w:type="paragraph" w:customStyle="1" w:styleId="AddrDesc">
    <w:name w:val="_AddrDesc"/>
    <w:basedOn w:val="Normal"/>
    <w:uiPriority w:val="99"/>
    <w:pPr>
      <w:framePr w:hSpace="187" w:wrap="around" w:vAnchor="text" w:hAnchor="page" w:x="1067" w:y="649"/>
      <w:spacing w:after="120" w:line="271" w:lineRule="auto"/>
      <w:jc w:val="both"/>
    </w:pPr>
    <w:rPr>
      <w:rFonts w:eastAsia="Times New Roman" w:cs="Times New Roman"/>
      <w:spacing w:val="6"/>
      <w:kern w:val="22"/>
      <w:sz w:val="22"/>
      <w:szCs w:val="20"/>
      <w:lang w:val="en-GB"/>
    </w:rPr>
  </w:style>
  <w:style w:type="paragraph" w:customStyle="1" w:styleId="AddrName">
    <w:name w:val="_AddrName"/>
    <w:basedOn w:val="Normal"/>
    <w:uiPriority w:val="99"/>
    <w:pPr>
      <w:framePr w:hSpace="187" w:wrap="around" w:vAnchor="text" w:hAnchor="page" w:x="1067" w:y="649"/>
      <w:spacing w:before="120" w:after="300" w:line="271" w:lineRule="auto"/>
      <w:jc w:val="both"/>
    </w:pPr>
    <w:rPr>
      <w:rFonts w:eastAsia="Times New Roman" w:cs="Times New Roman"/>
      <w:b/>
      <w:spacing w:val="6"/>
      <w:kern w:val="22"/>
      <w:sz w:val="22"/>
      <w:szCs w:val="20"/>
      <w:lang w:val="en-GB"/>
    </w:rPr>
  </w:style>
  <w:style w:type="paragraph" w:customStyle="1" w:styleId="AddrRest">
    <w:name w:val="_AddrRest"/>
    <w:basedOn w:val="Normal"/>
    <w:uiPriority w:val="99"/>
    <w:pPr>
      <w:spacing w:after="300" w:line="271" w:lineRule="auto"/>
      <w:jc w:val="both"/>
    </w:pPr>
    <w:rPr>
      <w:rFonts w:ascii="Book Antiqua" w:eastAsia="Times New Roman" w:hAnsi="Book Antiqua" w:cs="Times New Roman"/>
      <w:spacing w:val="6"/>
      <w:kern w:val="1"/>
      <w:sz w:val="22"/>
      <w:szCs w:val="20"/>
      <w:lang w:val="en-GB"/>
    </w:rPr>
  </w:style>
  <w:style w:type="paragraph" w:customStyle="1" w:styleId="AltBase">
    <w:name w:val="_AltBase"/>
    <w:uiPriority w:val="99"/>
    <w:pPr>
      <w:spacing w:after="160" w:line="259" w:lineRule="auto"/>
      <w:jc w:val="both"/>
    </w:pPr>
    <w:rPr>
      <w:rFonts w:ascii="Times New Roman" w:eastAsia="Times New Roman" w:hAnsi="Times New Roman"/>
      <w:lang w:val="en-GB"/>
    </w:rPr>
  </w:style>
  <w:style w:type="paragraph" w:customStyle="1" w:styleId="CentreHead">
    <w:name w:val="_CentreHead"/>
    <w:basedOn w:val="AltBase"/>
    <w:uiPriority w:val="99"/>
    <w:pPr>
      <w:jc w:val="center"/>
    </w:pPr>
    <w:rPr>
      <w:b/>
    </w:rPr>
  </w:style>
  <w:style w:type="paragraph" w:customStyle="1" w:styleId="FaxAddr">
    <w:name w:val="_FaxAddr"/>
    <w:basedOn w:val="AltBase"/>
    <w:uiPriority w:val="99"/>
    <w:pPr>
      <w:tabs>
        <w:tab w:val="left" w:pos="1080"/>
        <w:tab w:val="left" w:pos="5040"/>
        <w:tab w:val="left" w:pos="5760"/>
      </w:tabs>
    </w:pPr>
    <w:rPr>
      <w:rFonts w:ascii="Book Antiqua" w:hAnsi="Book Antiqua"/>
      <w:b/>
    </w:rPr>
  </w:style>
  <w:style w:type="paragraph" w:customStyle="1" w:styleId="FaxAddrMadrid">
    <w:name w:val="_FaxAddrMadrid"/>
    <w:basedOn w:val="FaxAddr"/>
    <w:uiPriority w:val="99"/>
  </w:style>
  <w:style w:type="paragraph" w:customStyle="1" w:styleId="FaxWarning">
    <w:name w:val="_FaxWarning"/>
    <w:basedOn w:val="AltBase"/>
    <w:uiPriority w:val="99"/>
    <w:pPr>
      <w:pBdr>
        <w:top w:val="single" w:sz="6" w:space="6" w:color="auto"/>
      </w:pBdr>
      <w:spacing w:line="180" w:lineRule="exact"/>
    </w:pPr>
    <w:rPr>
      <w:rFonts w:ascii="Book Antiqua" w:hAnsi="Book Antiqua"/>
      <w:sz w:val="16"/>
    </w:rPr>
  </w:style>
  <w:style w:type="paragraph" w:customStyle="1" w:styleId="MadFaxAddr">
    <w:name w:val="_MadFaxAddr"/>
    <w:basedOn w:val="FaxAddr"/>
    <w:uiPriority w:val="99"/>
  </w:style>
  <w:style w:type="paragraph" w:customStyle="1" w:styleId="PreDoc">
    <w:name w:val="_PreDoc"/>
    <w:basedOn w:val="AltBase"/>
    <w:uiPriority w:val="99"/>
    <w:pPr>
      <w:spacing w:after="240"/>
      <w:ind w:left="1440" w:hanging="1440"/>
      <w:jc w:val="left"/>
    </w:pPr>
    <w:rPr>
      <w:rFonts w:ascii="Book Antiqua" w:hAnsi="Book Antiqua"/>
    </w:rPr>
  </w:style>
  <w:style w:type="paragraph" w:customStyle="1" w:styleId="ReportDate">
    <w:name w:val="_ReportDate"/>
    <w:basedOn w:val="Normal"/>
    <w:uiPriority w:val="99"/>
    <w:pPr>
      <w:spacing w:after="300" w:line="271" w:lineRule="auto"/>
      <w:jc w:val="right"/>
    </w:pPr>
    <w:rPr>
      <w:rFonts w:ascii="Book Antiqua" w:eastAsia="Times New Roman" w:hAnsi="Book Antiqua" w:cs="Times New Roman"/>
      <w:sz w:val="22"/>
      <w:szCs w:val="20"/>
      <w:lang w:val="en-GB"/>
    </w:rPr>
  </w:style>
  <w:style w:type="paragraph" w:customStyle="1" w:styleId="ReportFor">
    <w:name w:val="_ReportFor"/>
    <w:basedOn w:val="ReportHeading"/>
    <w:uiPriority w:val="99"/>
  </w:style>
  <w:style w:type="paragraph" w:customStyle="1" w:styleId="ReportHeading">
    <w:name w:val="_ReportHeading"/>
    <w:basedOn w:val="Normal"/>
    <w:uiPriority w:val="99"/>
    <w:pPr>
      <w:spacing w:after="300" w:line="271" w:lineRule="auto"/>
      <w:jc w:val="right"/>
    </w:pPr>
    <w:rPr>
      <w:rFonts w:ascii="Book Antiqua" w:eastAsia="Times New Roman" w:hAnsi="Book Antiqua" w:cs="Times New Roman"/>
      <w:b/>
      <w:caps/>
      <w:sz w:val="25"/>
      <w:szCs w:val="20"/>
      <w:lang w:val="en-GB"/>
    </w:rPr>
  </w:style>
  <w:style w:type="paragraph" w:customStyle="1" w:styleId="ReportTeam">
    <w:name w:val="_ReportTeam"/>
    <w:basedOn w:val="Normal"/>
    <w:uiPriority w:val="99"/>
    <w:pPr>
      <w:spacing w:after="300" w:line="271" w:lineRule="auto"/>
      <w:jc w:val="center"/>
    </w:pPr>
    <w:rPr>
      <w:rFonts w:ascii="Book Antiqua" w:eastAsia="Times New Roman" w:hAnsi="Book Antiqua" w:cs="Times New Roman"/>
      <w:b/>
      <w:sz w:val="22"/>
      <w:szCs w:val="20"/>
      <w:lang w:val="en-GB"/>
    </w:rPr>
  </w:style>
  <w:style w:type="paragraph" w:customStyle="1" w:styleId="TOCHeading0">
    <w:name w:val="_TOCHeading"/>
    <w:basedOn w:val="HeadingU"/>
    <w:uiPriority w:val="99"/>
  </w:style>
  <w:style w:type="paragraph" w:customStyle="1" w:styleId="HeadingU">
    <w:name w:val="Heading U"/>
    <w:basedOn w:val="Normal"/>
    <w:uiPriority w:val="99"/>
    <w:pPr>
      <w:keepNext/>
      <w:spacing w:after="300" w:line="271" w:lineRule="auto"/>
      <w:jc w:val="both"/>
    </w:pPr>
    <w:rPr>
      <w:rFonts w:ascii="Book Antiqua" w:eastAsia="Times New Roman" w:hAnsi="Book Antiqua" w:cs="Times New Roman"/>
      <w:b/>
      <w:caps/>
      <w:sz w:val="28"/>
      <w:szCs w:val="20"/>
      <w:lang w:val="en-GB"/>
    </w:rPr>
  </w:style>
  <w:style w:type="paragraph" w:customStyle="1" w:styleId="TypeHead">
    <w:name w:val="_TypeHead"/>
    <w:basedOn w:val="AltBase"/>
    <w:uiPriority w:val="99"/>
    <w:pPr>
      <w:jc w:val="right"/>
    </w:pPr>
    <w:rPr>
      <w:rFonts w:ascii="Book Antiqua" w:hAnsi="Book Antiqua"/>
      <w:b/>
      <w:sz w:val="40"/>
    </w:rPr>
  </w:style>
  <w:style w:type="paragraph" w:customStyle="1" w:styleId="VacReq">
    <w:name w:val="_VacReq"/>
    <w:basedOn w:val="Normal"/>
    <w:uiPriority w:val="99"/>
    <w:pPr>
      <w:spacing w:after="300" w:line="271" w:lineRule="auto"/>
      <w:ind w:left="2160" w:hanging="2160"/>
      <w:jc w:val="both"/>
    </w:pPr>
    <w:rPr>
      <w:rFonts w:ascii="Book Antiqua" w:eastAsia="Times New Roman" w:hAnsi="Book Antiqua" w:cs="Times New Roman"/>
      <w:b/>
      <w:sz w:val="22"/>
      <w:szCs w:val="20"/>
      <w:lang w:val="en-GB"/>
    </w:rPr>
  </w:style>
  <w:style w:type="paragraph" w:customStyle="1" w:styleId="Appendix1">
    <w:name w:val="Appendix 1"/>
    <w:basedOn w:val="Heading1"/>
    <w:next w:val="Normal"/>
    <w:uiPriority w:val="99"/>
    <w:pPr>
      <w:numPr>
        <w:numId w:val="0"/>
      </w:numPr>
      <w:tabs>
        <w:tab w:val="num" w:pos="648"/>
        <w:tab w:val="num" w:pos="720"/>
      </w:tabs>
      <w:spacing w:before="0" w:after="300" w:line="271" w:lineRule="auto"/>
      <w:ind w:left="648" w:hanging="648"/>
      <w:jc w:val="left"/>
      <w:outlineLvl w:val="9"/>
    </w:pPr>
    <w:rPr>
      <w:rFonts w:ascii="Book Antiqua" w:hAnsi="Book Antiqua"/>
      <w:b w:val="0"/>
      <w:bCs/>
      <w:caps/>
      <w:smallCaps w:val="0"/>
      <w:sz w:val="28"/>
    </w:rPr>
  </w:style>
  <w:style w:type="paragraph" w:customStyle="1" w:styleId="Appendix2">
    <w:name w:val="Appendix 2"/>
    <w:basedOn w:val="Heading2"/>
    <w:next w:val="Normal"/>
    <w:uiPriority w:val="99"/>
    <w:pPr>
      <w:numPr>
        <w:numId w:val="0"/>
      </w:numPr>
      <w:tabs>
        <w:tab w:val="num" w:pos="648"/>
        <w:tab w:val="num" w:pos="926"/>
        <w:tab w:val="num" w:pos="1209"/>
      </w:tabs>
      <w:spacing w:before="60" w:after="300" w:line="271" w:lineRule="auto"/>
      <w:ind w:left="1209" w:hanging="360"/>
      <w:jc w:val="left"/>
      <w:outlineLvl w:val="9"/>
    </w:pPr>
    <w:rPr>
      <w:rFonts w:ascii="Book Antiqua" w:hAnsi="Book Antiqua"/>
      <w:b w:val="0"/>
      <w:bCs/>
      <w:i/>
      <w:sz w:val="25"/>
    </w:rPr>
  </w:style>
  <w:style w:type="paragraph" w:customStyle="1" w:styleId="Appendix3">
    <w:name w:val="Appendix 3"/>
    <w:basedOn w:val="Heading3"/>
    <w:next w:val="Normal"/>
    <w:uiPriority w:val="99"/>
    <w:pPr>
      <w:keepLines w:val="0"/>
      <w:numPr>
        <w:ilvl w:val="2"/>
      </w:numPr>
      <w:tabs>
        <w:tab w:val="num" w:pos="648"/>
      </w:tabs>
      <w:spacing w:before="60" w:after="220" w:line="271" w:lineRule="auto"/>
      <w:ind w:left="648" w:hanging="648"/>
      <w:outlineLvl w:val="9"/>
    </w:pPr>
    <w:rPr>
      <w:rFonts w:ascii="Book Antiqua" w:eastAsia="Times New Roman" w:hAnsi="Book Antiqua"/>
      <w:bCs/>
      <w:sz w:val="22"/>
      <w:szCs w:val="20"/>
      <w:u w:val="none"/>
      <w:lang w:val="en-GB"/>
    </w:rPr>
  </w:style>
  <w:style w:type="paragraph" w:customStyle="1" w:styleId="Appendix4">
    <w:name w:val="Appendix 4"/>
    <w:basedOn w:val="Heading4"/>
    <w:next w:val="Normal"/>
    <w:uiPriority w:val="99"/>
    <w:pPr>
      <w:numPr>
        <w:ilvl w:val="3"/>
      </w:numPr>
      <w:tabs>
        <w:tab w:val="num" w:pos="1296"/>
      </w:tabs>
      <w:spacing w:before="60" w:after="220" w:line="271" w:lineRule="auto"/>
      <w:ind w:left="1296" w:hanging="1296"/>
      <w:outlineLvl w:val="9"/>
    </w:pPr>
    <w:rPr>
      <w:rFonts w:ascii="Book Antiqua" w:eastAsia="Times New Roman" w:hAnsi="Book Antiqua"/>
      <w:bCs/>
      <w:iCs w:val="0"/>
      <w:sz w:val="22"/>
      <w:szCs w:val="20"/>
      <w:u w:val="none"/>
    </w:rPr>
  </w:style>
  <w:style w:type="paragraph" w:customStyle="1" w:styleId="Appendix5">
    <w:name w:val="Appendix 5"/>
    <w:basedOn w:val="Heading5"/>
    <w:next w:val="Normal"/>
    <w:uiPriority w:val="99"/>
    <w:pPr>
      <w:keepLines w:val="0"/>
      <w:tabs>
        <w:tab w:val="num" w:pos="1296"/>
      </w:tabs>
      <w:spacing w:before="60" w:after="220" w:line="271" w:lineRule="auto"/>
      <w:ind w:left="1296" w:hanging="1296"/>
      <w:outlineLvl w:val="9"/>
    </w:pPr>
    <w:rPr>
      <w:rFonts w:ascii="Book Antiqua" w:eastAsia="Times New Roman" w:hAnsi="Book Antiqua" w:cs="Times New Roman"/>
      <w:b/>
      <w:bCs/>
      <w:iCs w:val="0"/>
      <w:snapToGrid/>
      <w:color w:val="auto"/>
      <w:sz w:val="22"/>
      <w:lang w:val="en-GB" w:eastAsia="en-US"/>
    </w:rPr>
  </w:style>
  <w:style w:type="character" w:customStyle="1" w:styleId="BodyTextChar1">
    <w:name w:val="Body Text Char1"/>
    <w:aliases w:val="Corpo del testo Char"/>
    <w:uiPriority w:val="99"/>
    <w:rPr>
      <w:rFonts w:ascii="Arial" w:eastAsia="SimSun" w:hAnsi="Arial" w:cs="Mangal"/>
      <w:color w:val="3F3A38"/>
      <w:spacing w:val="-6"/>
      <w:kern w:val="1"/>
      <w:sz w:val="16"/>
      <w:szCs w:val="24"/>
      <w:lang w:val="en-GB" w:eastAsia="zh-CN" w:bidi="hi-IN"/>
    </w:rPr>
  </w:style>
  <w:style w:type="paragraph" w:styleId="Closing">
    <w:name w:val="Closing"/>
    <w:basedOn w:val="Normal"/>
    <w:link w:val="ClosingChar"/>
    <w:uiPriority w:val="99"/>
    <w:pPr>
      <w:spacing w:after="300" w:line="271" w:lineRule="auto"/>
      <w:ind w:left="4320"/>
      <w:jc w:val="both"/>
    </w:pPr>
    <w:rPr>
      <w:rFonts w:ascii="Book Antiqua" w:eastAsia="Times New Roman" w:hAnsi="Book Antiqua" w:cs="Times New Roman"/>
      <w:sz w:val="22"/>
      <w:szCs w:val="20"/>
      <w:lang w:val="en-GB"/>
    </w:rPr>
  </w:style>
  <w:style w:type="character" w:customStyle="1" w:styleId="ClosingChar">
    <w:name w:val="Closing Char"/>
    <w:basedOn w:val="DefaultParagraphFont"/>
    <w:link w:val="Closing"/>
    <w:uiPriority w:val="99"/>
    <w:rPr>
      <w:rFonts w:ascii="Book Antiqua" w:eastAsia="Times New Roman" w:hAnsi="Book Antiqua" w:cs="Times New Roman"/>
      <w:szCs w:val="20"/>
      <w:lang w:val="en-GB"/>
    </w:rPr>
  </w:style>
  <w:style w:type="character" w:customStyle="1" w:styleId="CommentTextChar1">
    <w:name w:val="Comment Text Char1"/>
    <w:uiPriority w:val="99"/>
    <w:semiHidden/>
    <w:rPr>
      <w:rFonts w:ascii="Arial" w:eastAsia="SimSun" w:hAnsi="Arial" w:cs="Mangal"/>
      <w:color w:val="3F3A38"/>
      <w:spacing w:val="-6"/>
      <w:kern w:val="1"/>
      <w:szCs w:val="18"/>
      <w:lang w:val="en-GB" w:eastAsia="zh-CN" w:bidi="hi-IN"/>
    </w:rPr>
  </w:style>
  <w:style w:type="paragraph" w:styleId="Date">
    <w:name w:val="Date"/>
    <w:basedOn w:val="Normal"/>
    <w:next w:val="Normal"/>
    <w:link w:val="DateChar"/>
    <w:uiPriority w:val="99"/>
    <w:pPr>
      <w:spacing w:after="300" w:line="271" w:lineRule="auto"/>
      <w:jc w:val="both"/>
    </w:pPr>
    <w:rPr>
      <w:rFonts w:ascii="Book Antiqua" w:eastAsia="Times New Roman" w:hAnsi="Book Antiqua" w:cs="Times New Roman"/>
      <w:sz w:val="22"/>
      <w:szCs w:val="20"/>
      <w:lang w:val="en-GB"/>
    </w:rPr>
  </w:style>
  <w:style w:type="character" w:customStyle="1" w:styleId="DateChar">
    <w:name w:val="Date Char"/>
    <w:basedOn w:val="DefaultParagraphFont"/>
    <w:link w:val="Date"/>
    <w:uiPriority w:val="99"/>
    <w:rPr>
      <w:rFonts w:ascii="Book Antiqua" w:eastAsia="Times New Roman" w:hAnsi="Book Antiqua" w:cs="Times New Roman"/>
      <w:szCs w:val="20"/>
      <w:lang w:val="en-GB"/>
    </w:rPr>
  </w:style>
  <w:style w:type="character" w:customStyle="1" w:styleId="EndnoteTextChar1">
    <w:name w:val="Endnote Text Char1"/>
    <w:uiPriority w:val="99"/>
    <w:semiHidden/>
    <w:rPr>
      <w:rFonts w:ascii="Georgia" w:hAnsi="Georgia"/>
      <w:snapToGrid w:val="0"/>
      <w:sz w:val="20"/>
      <w:szCs w:val="20"/>
    </w:rPr>
  </w:style>
  <w:style w:type="paragraph" w:styleId="EnvelopeAddress">
    <w:name w:val="envelope address"/>
    <w:basedOn w:val="Normal"/>
    <w:uiPriority w:val="99"/>
    <w:pPr>
      <w:framePr w:w="7920" w:hSpace="187" w:vSpace="187" w:wrap="around" w:hAnchor="page" w:xAlign="center" w:yAlign="bottom"/>
      <w:spacing w:after="300" w:line="271" w:lineRule="auto"/>
      <w:ind w:left="2880"/>
      <w:jc w:val="both"/>
    </w:pPr>
    <w:rPr>
      <w:rFonts w:ascii="Book Antiqua" w:eastAsia="Times New Roman" w:hAnsi="Book Antiqua" w:cs="Times New Roman"/>
      <w:szCs w:val="20"/>
      <w:lang w:val="en-GB"/>
    </w:rPr>
  </w:style>
  <w:style w:type="paragraph" w:styleId="EnvelopeReturn">
    <w:name w:val="envelope return"/>
    <w:basedOn w:val="Normal"/>
    <w:uiPriority w:val="99"/>
    <w:pPr>
      <w:spacing w:after="300" w:line="271" w:lineRule="auto"/>
      <w:jc w:val="both"/>
    </w:pPr>
    <w:rPr>
      <w:rFonts w:ascii="Book Antiqua" w:eastAsia="Times New Roman" w:hAnsi="Book Antiqua" w:cs="Times New Roman"/>
      <w:sz w:val="22"/>
      <w:szCs w:val="20"/>
      <w:lang w:val="en-GB"/>
    </w:rPr>
  </w:style>
  <w:style w:type="paragraph" w:customStyle="1" w:styleId="HeadingA">
    <w:name w:val="Heading A"/>
    <w:basedOn w:val="Heading1"/>
    <w:next w:val="Normal"/>
    <w:uiPriority w:val="99"/>
    <w:pPr>
      <w:numPr>
        <w:numId w:val="0"/>
      </w:numPr>
      <w:tabs>
        <w:tab w:val="left" w:pos="-720"/>
        <w:tab w:val="left" w:pos="0"/>
        <w:tab w:val="num" w:pos="648"/>
        <w:tab w:val="left" w:pos="720"/>
        <w:tab w:val="left" w:pos="1440"/>
      </w:tabs>
      <w:spacing w:before="0" w:after="300" w:line="271" w:lineRule="auto"/>
      <w:ind w:left="648" w:hanging="648"/>
      <w:jc w:val="left"/>
      <w:outlineLvl w:val="9"/>
    </w:pPr>
    <w:rPr>
      <w:rFonts w:ascii="Book Antiqua" w:hAnsi="Book Antiqua"/>
      <w:b w:val="0"/>
      <w:bCs/>
      <w:caps/>
      <w:smallCaps w:val="0"/>
      <w:sz w:val="28"/>
    </w:rPr>
  </w:style>
  <w:style w:type="paragraph" w:customStyle="1" w:styleId="TextBox">
    <w:name w:val="TextBox"/>
    <w:basedOn w:val="Normal"/>
    <w:next w:val="Normal"/>
    <w:uiPriority w:val="99"/>
    <w:pPr>
      <w:pBdr>
        <w:top w:val="single" w:sz="6" w:space="12" w:color="auto"/>
        <w:left w:val="single" w:sz="6" w:space="12" w:color="auto"/>
        <w:bottom w:val="single" w:sz="6" w:space="12" w:color="auto"/>
        <w:right w:val="single" w:sz="6" w:space="12" w:color="auto"/>
      </w:pBdr>
      <w:spacing w:after="300" w:line="271" w:lineRule="auto"/>
      <w:ind w:left="240" w:right="240"/>
      <w:jc w:val="both"/>
    </w:pPr>
    <w:rPr>
      <w:rFonts w:ascii="Book Antiqua" w:eastAsia="Times New Roman" w:hAnsi="Book Antiqua" w:cs="Times New Roman"/>
      <w:sz w:val="22"/>
      <w:szCs w:val="20"/>
      <w:lang w:val="en-GB"/>
    </w:rPr>
  </w:style>
  <w:style w:type="paragraph" w:customStyle="1" w:styleId="VacReq0">
    <w:name w:val="VacReq"/>
    <w:basedOn w:val="Normal"/>
    <w:uiPriority w:val="99"/>
    <w:pPr>
      <w:tabs>
        <w:tab w:val="left" w:pos="720"/>
        <w:tab w:val="left" w:pos="2160"/>
      </w:tabs>
      <w:spacing w:after="300" w:line="271" w:lineRule="auto"/>
      <w:ind w:left="2160" w:hanging="2160"/>
      <w:jc w:val="both"/>
    </w:pPr>
    <w:rPr>
      <w:rFonts w:ascii="Book Antiqua" w:eastAsia="Times New Roman" w:hAnsi="Book Antiqua" w:cs="Times New Roman"/>
      <w:b/>
      <w:sz w:val="22"/>
      <w:szCs w:val="20"/>
      <w:lang w:val="en-GB"/>
    </w:rPr>
  </w:style>
  <w:style w:type="paragraph" w:styleId="List5">
    <w:name w:val="List 5"/>
    <w:basedOn w:val="Normal"/>
    <w:uiPriority w:val="99"/>
    <w:pPr>
      <w:spacing w:after="300" w:line="271" w:lineRule="auto"/>
      <w:ind w:left="3600" w:hanging="720"/>
      <w:jc w:val="both"/>
    </w:pPr>
    <w:rPr>
      <w:rFonts w:ascii="Book Antiqua" w:eastAsia="Times New Roman" w:hAnsi="Book Antiqua" w:cs="Times New Roman"/>
      <w:sz w:val="22"/>
      <w:szCs w:val="20"/>
      <w:lang w:val="en-GB"/>
    </w:rPr>
  </w:style>
  <w:style w:type="paragraph" w:styleId="ListContinue5">
    <w:name w:val="List Continue 5"/>
    <w:basedOn w:val="Normal"/>
    <w:uiPriority w:val="99"/>
    <w:pPr>
      <w:spacing w:after="120" w:line="271" w:lineRule="auto"/>
      <w:ind w:left="3600"/>
      <w:jc w:val="both"/>
    </w:pPr>
    <w:rPr>
      <w:rFonts w:ascii="Book Antiqua" w:eastAsia="Times New Roman" w:hAnsi="Book Antiqua" w:cs="Times New Roman"/>
      <w:sz w:val="22"/>
      <w:szCs w:val="20"/>
      <w:lang w:val="en-GB"/>
    </w:rPr>
  </w:style>
  <w:style w:type="paragraph" w:customStyle="1" w:styleId="text">
    <w:name w:val="text"/>
    <w:uiPriority w:val="99"/>
    <w:pPr>
      <w:widowControl w:val="0"/>
      <w:tabs>
        <w:tab w:val="left" w:pos="-1440"/>
        <w:tab w:val="left" w:pos="-663"/>
        <w:tab w:val="left" w:pos="28"/>
        <w:tab w:val="left" w:pos="648"/>
        <w:tab w:val="left" w:pos="1296"/>
        <w:tab w:val="left" w:pos="1944"/>
        <w:tab w:val="left" w:pos="2592"/>
        <w:tab w:val="left" w:pos="3096"/>
        <w:tab w:val="left" w:pos="3600"/>
        <w:tab w:val="left" w:pos="4176"/>
        <w:tab w:val="left" w:pos="4896"/>
        <w:tab w:val="left" w:pos="5616"/>
        <w:tab w:val="left" w:pos="6336"/>
        <w:tab w:val="left" w:pos="7056"/>
        <w:tab w:val="left" w:pos="7776"/>
        <w:tab w:val="left" w:pos="8496"/>
      </w:tabs>
      <w:suppressAutoHyphens/>
      <w:spacing w:after="160" w:line="271" w:lineRule="auto"/>
      <w:jc w:val="both"/>
    </w:pPr>
    <w:rPr>
      <w:rFonts w:ascii="Kino MT" w:eastAsia="Times New Roman" w:hAnsi="Kino MT"/>
      <w:spacing w:val="-2"/>
      <w:lang w:val="en-GB"/>
    </w:rPr>
  </w:style>
  <w:style w:type="paragraph" w:styleId="Salutation">
    <w:name w:val="Salutation"/>
    <w:basedOn w:val="Normal"/>
    <w:link w:val="SalutationChar"/>
    <w:uiPriority w:val="99"/>
    <w:pPr>
      <w:numPr>
        <w:numId w:val="56"/>
      </w:numPr>
      <w:tabs>
        <w:tab w:val="clear" w:pos="360"/>
      </w:tabs>
      <w:spacing w:after="0" w:line="259" w:lineRule="auto"/>
      <w:ind w:left="0" w:firstLine="0"/>
    </w:pPr>
    <w:rPr>
      <w:rFonts w:eastAsia="Times New Roman" w:cs="Times New Roman"/>
      <w:sz w:val="22"/>
      <w:szCs w:val="20"/>
      <w:lang w:val="en-GB"/>
    </w:rPr>
  </w:style>
  <w:style w:type="character" w:customStyle="1" w:styleId="SalutationChar">
    <w:name w:val="Salutation Char"/>
    <w:basedOn w:val="DefaultParagraphFont"/>
    <w:link w:val="Salutation"/>
    <w:uiPriority w:val="99"/>
    <w:rPr>
      <w:rFonts w:ascii="Times New Roman" w:eastAsia="Times New Roman" w:hAnsi="Times New Roman" w:cs="Times New Roman"/>
      <w:szCs w:val="20"/>
      <w:lang w:val="en-GB"/>
    </w:rPr>
  </w:style>
  <w:style w:type="character" w:customStyle="1" w:styleId="BalloonTextChar1">
    <w:name w:val="Balloon Text Char1"/>
    <w:uiPriority w:val="99"/>
    <w:semiHidden/>
    <w:rPr>
      <w:rFonts w:ascii="Segoe UI" w:eastAsia="SimSun" w:hAnsi="Segoe UI" w:cs="Mangal"/>
      <w:color w:val="3F3A38"/>
      <w:spacing w:val="-6"/>
      <w:kern w:val="1"/>
      <w:sz w:val="18"/>
      <w:szCs w:val="16"/>
      <w:lang w:val="en-GB" w:eastAsia="zh-CN" w:bidi="hi-IN"/>
    </w:rPr>
  </w:style>
  <w:style w:type="character" w:customStyle="1" w:styleId="fieldtitle">
    <w:name w:val="field_title"/>
    <w:uiPriority w:val="99"/>
    <w:rPr>
      <w:rFonts w:cs="Times New Roman"/>
    </w:rPr>
  </w:style>
  <w:style w:type="character" w:customStyle="1" w:styleId="citation">
    <w:name w:val="citation"/>
    <w:uiPriority w:val="99"/>
    <w:rPr>
      <w:rFonts w:cs="Times New Roman"/>
    </w:rPr>
  </w:style>
  <w:style w:type="character" w:customStyle="1" w:styleId="fieldauthors">
    <w:name w:val="field_authors"/>
    <w:uiPriority w:val="99"/>
    <w:rPr>
      <w:rFonts w:cs="Times New Roman"/>
    </w:rPr>
  </w:style>
  <w:style w:type="character" w:customStyle="1" w:styleId="personname">
    <w:name w:val="person_name"/>
    <w:uiPriority w:val="99"/>
    <w:rPr>
      <w:rFonts w:cs="Times New Roman"/>
    </w:rPr>
  </w:style>
  <w:style w:type="character" w:customStyle="1" w:styleId="fieldyear">
    <w:name w:val="field_year"/>
    <w:uiPriority w:val="99"/>
    <w:rPr>
      <w:rFonts w:cs="Times New Roman"/>
    </w:rPr>
  </w:style>
  <w:style w:type="character" w:customStyle="1" w:styleId="field-content">
    <w:name w:val="field-content"/>
  </w:style>
  <w:style w:type="character" w:customStyle="1" w:styleId="date-display-single">
    <w:name w:val="date-display-single"/>
  </w:style>
  <w:style w:type="paragraph" w:customStyle="1" w:styleId="EuropassSectionDetails">
    <w:name w:val="Europass_SectionDetails"/>
    <w:basedOn w:val="Normal"/>
    <w:pPr>
      <w:widowControl w:val="0"/>
      <w:suppressLineNumbers/>
      <w:suppressAutoHyphens/>
      <w:autoSpaceDE w:val="0"/>
      <w:spacing w:before="28" w:after="56" w:line="100" w:lineRule="atLeast"/>
    </w:pPr>
    <w:rPr>
      <w:rFonts w:ascii="Arial" w:eastAsia="SimSun" w:hAnsi="Arial" w:cs="Mangal"/>
      <w:color w:val="3F3A38"/>
      <w:spacing w:val="-6"/>
      <w:kern w:val="1"/>
      <w:sz w:val="18"/>
      <w:szCs w:val="24"/>
      <w:lang w:val="en-GB" w:eastAsia="en-GB" w:bidi="hi-IN"/>
    </w:rPr>
  </w:style>
  <w:style w:type="paragraph" w:customStyle="1" w:styleId="CVHeading2-FirstLine">
    <w:name w:val="CV Heading 2 - First Line"/>
    <w:basedOn w:val="Normal"/>
    <w:next w:val="Normal"/>
    <w:pPr>
      <w:suppressAutoHyphens/>
      <w:spacing w:before="74" w:after="0" w:line="259" w:lineRule="auto"/>
      <w:ind w:left="113" w:right="113"/>
      <w:jc w:val="right"/>
    </w:pPr>
    <w:rPr>
      <w:rFonts w:ascii="Arial Narrow" w:eastAsia="Times New Roman" w:hAnsi="Arial Narrow" w:cs="Times New Roman"/>
      <w:sz w:val="22"/>
      <w:szCs w:val="20"/>
      <w:lang w:val="en-US" w:eastAsia="ar-SA"/>
    </w:rPr>
  </w:style>
  <w:style w:type="paragraph" w:customStyle="1" w:styleId="CVHeadingLanguage">
    <w:name w:val="CV Heading Language"/>
    <w:basedOn w:val="Normal"/>
    <w:next w:val="LevelAssessment-Code"/>
    <w:pPr>
      <w:suppressAutoHyphens/>
      <w:spacing w:after="0" w:line="259" w:lineRule="auto"/>
      <w:ind w:left="113" w:right="113"/>
      <w:jc w:val="right"/>
    </w:pPr>
    <w:rPr>
      <w:rFonts w:ascii="Arial Narrow" w:eastAsia="Times New Roman" w:hAnsi="Arial Narrow" w:cs="Times New Roman"/>
      <w:b/>
      <w:sz w:val="22"/>
      <w:szCs w:val="20"/>
      <w:lang w:val="en-US" w:eastAsia="ar-SA"/>
    </w:rPr>
  </w:style>
  <w:style w:type="paragraph" w:customStyle="1" w:styleId="LevelAssessment-Code">
    <w:name w:val="Level Assessment - Code"/>
    <w:basedOn w:val="Normal"/>
    <w:next w:val="LevelAssessment-Description"/>
    <w:pPr>
      <w:suppressAutoHyphens/>
      <w:spacing w:after="0" w:line="259" w:lineRule="auto"/>
      <w:ind w:left="28"/>
      <w:jc w:val="center"/>
    </w:pPr>
    <w:rPr>
      <w:rFonts w:ascii="Arial Narrow" w:eastAsia="Times New Roman" w:hAnsi="Arial Narrow" w:cs="Times New Roman"/>
      <w:sz w:val="18"/>
      <w:szCs w:val="20"/>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Normal"/>
    <w:next w:val="Normal"/>
    <w:pPr>
      <w:suppressAutoHyphens/>
      <w:spacing w:after="0" w:line="259" w:lineRule="auto"/>
      <w:ind w:left="113" w:right="113"/>
      <w:jc w:val="right"/>
      <w:textAlignment w:val="center"/>
    </w:pPr>
    <w:rPr>
      <w:rFonts w:ascii="Arial Narrow" w:eastAsia="Times New Roman" w:hAnsi="Arial Narrow" w:cs="Times New Roman"/>
      <w:i/>
      <w:sz w:val="22"/>
      <w:szCs w:val="20"/>
      <w:lang w:val="en-US" w:eastAsia="ar-SA"/>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line="259" w:lineRule="auto"/>
      <w:ind w:left="57" w:right="57"/>
      <w:jc w:val="center"/>
    </w:pPr>
    <w:rPr>
      <w:rFonts w:ascii="Arial Narrow" w:eastAsia="Times New Roman" w:hAnsi="Arial Narrow" w:cs="Times New Roman"/>
      <w:sz w:val="18"/>
      <w:szCs w:val="20"/>
      <w:lang w:val="en-US" w:eastAsia="ar-SA"/>
    </w:rPr>
  </w:style>
  <w:style w:type="paragraph" w:customStyle="1" w:styleId="Aaoeeu">
    <w:name w:val="Aaoeeu"/>
    <w:pPr>
      <w:widowControl w:val="0"/>
      <w:suppressAutoHyphens/>
      <w:spacing w:after="160" w:line="259" w:lineRule="auto"/>
    </w:pPr>
    <w:rPr>
      <w:rFonts w:ascii="Times New Roman" w:eastAsia="Arial" w:hAnsi="Times New Roman"/>
      <w:lang w:val="en-US" w:eastAsia="ar-SA"/>
    </w:rPr>
  </w:style>
  <w:style w:type="paragraph" w:customStyle="1" w:styleId="Aeeaoaeaa1">
    <w:name w:val="A?eeaoae?aa 1"/>
    <w:basedOn w:val="Aaoeeu"/>
    <w:next w:val="Aaoeeu"/>
    <w:pPr>
      <w:keepNext/>
      <w:jc w:val="right"/>
    </w:pPr>
    <w:rPr>
      <w:b/>
      <w:bCs/>
    </w:rPr>
  </w:style>
  <w:style w:type="paragraph" w:customStyle="1" w:styleId="CVHeading2">
    <w:name w:val="CV Heading 2"/>
    <w:basedOn w:val="Normal"/>
    <w:next w:val="Normal"/>
    <w:pPr>
      <w:suppressAutoHyphens/>
      <w:spacing w:after="0" w:line="259" w:lineRule="auto"/>
      <w:ind w:left="113" w:right="113"/>
      <w:jc w:val="right"/>
    </w:pPr>
    <w:rPr>
      <w:rFonts w:ascii="Arial Narrow" w:eastAsia="Times New Roman" w:hAnsi="Arial Narrow" w:cs="Times New Roman"/>
      <w:sz w:val="22"/>
      <w:szCs w:val="20"/>
      <w:lang w:val="en-US" w:eastAsia="ar-SA"/>
    </w:rPr>
  </w:style>
  <w:style w:type="paragraph" w:customStyle="1" w:styleId="CVMedium-FirstLine">
    <w:name w:val="CV Medium - First Line"/>
    <w:basedOn w:val="Normal"/>
    <w:next w:val="Normal"/>
    <w:pPr>
      <w:suppressAutoHyphens/>
      <w:spacing w:before="74" w:after="0" w:line="259" w:lineRule="auto"/>
      <w:ind w:left="113" w:right="113"/>
    </w:pPr>
    <w:rPr>
      <w:rFonts w:ascii="Arial Narrow" w:eastAsia="Times New Roman" w:hAnsi="Arial Narrow" w:cs="Times New Roman"/>
      <w:b/>
      <w:sz w:val="22"/>
      <w:szCs w:val="20"/>
      <w:lang w:val="en-US" w:eastAsia="ar-SA"/>
    </w:rPr>
  </w:style>
  <w:style w:type="paragraph" w:customStyle="1" w:styleId="EQStyle">
    <w:name w:val="EQ Style"/>
    <w:basedOn w:val="ListParagraph"/>
    <w:link w:val="EQStyleChar"/>
    <w:pPr>
      <w:numPr>
        <w:numId w:val="54"/>
      </w:numPr>
      <w:spacing w:after="200" w:line="259" w:lineRule="auto"/>
      <w:ind w:left="720" w:firstLine="0"/>
    </w:pPr>
    <w:rPr>
      <w:rFonts w:ascii="Verdana" w:hAnsi="Verdana"/>
      <w:sz w:val="20"/>
      <w:lang w:val="en-US"/>
    </w:rPr>
  </w:style>
  <w:style w:type="character" w:customStyle="1" w:styleId="EQStyleChar">
    <w:name w:val="EQ Style Char"/>
    <w:link w:val="EQStyle"/>
    <w:rPr>
      <w:rFonts w:ascii="Verdana" w:eastAsia="Times New Roman" w:hAnsi="Verdana" w:cs="Times New Roman"/>
      <w:sz w:val="20"/>
      <w:szCs w:val="20"/>
      <w:lang w:val="en-US"/>
    </w:rPr>
  </w:style>
  <w:style w:type="paragraph" w:customStyle="1" w:styleId="Bullet">
    <w:name w:val="Bullet"/>
    <w:basedOn w:val="Normal"/>
    <w:pPr>
      <w:numPr>
        <w:numId w:val="58"/>
      </w:numPr>
      <w:spacing w:after="0" w:line="360" w:lineRule="auto"/>
      <w:jc w:val="both"/>
    </w:pPr>
    <w:rPr>
      <w:rFonts w:ascii="Verdana" w:eastAsia="Calibri" w:hAnsi="Verdana" w:cs="Arial"/>
      <w:sz w:val="16"/>
      <w:szCs w:val="18"/>
      <w:lang w:val="en-US"/>
    </w:rPr>
  </w:style>
  <w:style w:type="character" w:customStyle="1" w:styleId="UnresolvedMention4">
    <w:name w:val="Unresolved Mention4"/>
    <w:uiPriority w:val="99"/>
    <w:semiHidden/>
    <w:unhideWhenUsed/>
    <w:rPr>
      <w:color w:val="808080"/>
      <w:shd w:val="clear" w:color="auto" w:fill="E6E6E6"/>
    </w:rPr>
  </w:style>
  <w:style w:type="character" w:customStyle="1" w:styleId="UnresolvedMention5">
    <w:name w:val="Unresolved Mention5"/>
    <w:uiPriority w:val="99"/>
    <w:semiHidden/>
    <w:unhideWhenUsed/>
    <w:rPr>
      <w:color w:val="808080"/>
      <w:shd w:val="clear" w:color="auto" w:fill="E6E6E6"/>
    </w:rPr>
  </w:style>
  <w:style w:type="paragraph" w:customStyle="1" w:styleId="paragraph">
    <w:name w:val="paragraph"/>
    <w:basedOn w:val="Normal"/>
    <w:pPr>
      <w:spacing w:before="100" w:beforeAutospacing="1" w:after="100" w:afterAutospacing="1" w:line="259" w:lineRule="auto"/>
    </w:pPr>
    <w:rPr>
      <w:rFonts w:eastAsia="Times New Roman" w:cs="Times New Roman"/>
      <w:szCs w:val="24"/>
      <w:lang w:val="fr-LU" w:eastAsia="fr-LU"/>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paragraph" w:customStyle="1" w:styleId="list-bullet-color-table">
    <w:name w:val="list-bullet-color-table"/>
    <w:basedOn w:val="DefaultText"/>
    <w:pPr>
      <w:numPr>
        <w:numId w:val="59"/>
      </w:numPr>
      <w:ind w:left="0" w:firstLine="0"/>
    </w:pPr>
  </w:style>
  <w:style w:type="paragraph" w:customStyle="1" w:styleId="m3946350689199770744msolistparagraph">
    <w:name w:val="m_3946350689199770744msolistparagraph"/>
    <w:basedOn w:val="Normal"/>
    <w:pPr>
      <w:spacing w:before="100" w:beforeAutospacing="1" w:after="100" w:afterAutospacing="1" w:line="259" w:lineRule="auto"/>
    </w:pPr>
    <w:rPr>
      <w:rFonts w:eastAsia="Times New Roman" w:cs="Times New Roman"/>
      <w:szCs w:val="24"/>
      <w:lang w:val="en-GB" w:eastAsia="en-GB"/>
    </w:rPr>
  </w:style>
  <w:style w:type="character" w:customStyle="1" w:styleId="m3946350689199770744msohyperlink">
    <w:name w:val="m_3946350689199770744msohyperlink"/>
    <w:basedOn w:val="DefaultParagraphFont"/>
  </w:style>
  <w:style w:type="character" w:customStyle="1" w:styleId="EuropassTextSubscript">
    <w:name w:val="Europass_Text_Subscript"/>
    <w:rPr>
      <w:vertAlign w:val="subscript"/>
    </w:rPr>
  </w:style>
  <w:style w:type="character" w:customStyle="1" w:styleId="EuropassTextSuperscript">
    <w:name w:val="Europass_Text_Superscript"/>
    <w:rPr>
      <w:vertAlign w:val="superscript"/>
    </w:rPr>
  </w:style>
  <w:style w:type="character" w:customStyle="1" w:styleId="EuropassTextBold">
    <w:name w:val="Europass_Text_Bold"/>
    <w:rPr>
      <w:rFonts w:ascii="Arial" w:hAnsi="Arial"/>
      <w:b/>
    </w:rPr>
  </w:style>
  <w:style w:type="character" w:customStyle="1" w:styleId="EuropassTextUnderline">
    <w:name w:val="Europass_Text_Underline"/>
    <w:rPr>
      <w:rFonts w:ascii="Arial" w:hAnsi="Arial"/>
      <w:u w:val="single"/>
    </w:rPr>
  </w:style>
  <w:style w:type="character" w:customStyle="1" w:styleId="EuropassTextItalics">
    <w:name w:val="Europass_Text_Italics"/>
    <w:rPr>
      <w:rFonts w:ascii="Arial" w:hAnsi="Arial"/>
      <w:i/>
    </w:rPr>
  </w:style>
  <w:style w:type="character" w:customStyle="1" w:styleId="EuropassTextBoldAndUnderline">
    <w:name w:val="Europass_Text_Bold_And_Underline"/>
    <w:rPr>
      <w:rFonts w:ascii="Arial" w:hAnsi="Arial"/>
      <w:b/>
      <w:u w:val="single"/>
    </w:rPr>
  </w:style>
  <w:style w:type="character" w:customStyle="1" w:styleId="EuropassTextBoldAndItalics">
    <w:name w:val="Europass_Text_Bold_And_Italics"/>
    <w:rPr>
      <w:rFonts w:ascii="Arial" w:hAnsi="Arial"/>
      <w:b/>
      <w:i/>
    </w:rPr>
  </w:style>
  <w:style w:type="character" w:customStyle="1" w:styleId="EuropassTextBoldAndUnderlineAndItalics">
    <w:name w:val="Europass_Text_Bold_And_Underline_And_Italics"/>
    <w:rPr>
      <w:rFonts w:ascii="Arial" w:hAnsi="Arial"/>
      <w:b/>
      <w:i/>
      <w:u w:val="single"/>
    </w:rPr>
  </w:style>
  <w:style w:type="character" w:customStyle="1" w:styleId="EuropassTextUnderlineAndItalics">
    <w:name w:val="Europass_Text_Underline_And_Italics"/>
    <w:rPr>
      <w:rFonts w:ascii="Arial" w:hAnsi="Arial"/>
      <w:i/>
      <w:u w:val="single"/>
    </w:rPr>
  </w:style>
  <w:style w:type="paragraph" w:customStyle="1" w:styleId="ECVFirstPageParagraph">
    <w:name w:val="_ECV_First_Page_Paragraph"/>
    <w:basedOn w:val="ECVRightHeading"/>
  </w:style>
  <w:style w:type="paragraph" w:customStyle="1" w:styleId="ECVPersonalStatement">
    <w:name w:val="_ECV_PersonalStatement"/>
    <w:basedOn w:val="ECVRightColumn"/>
  </w:style>
  <w:style w:type="paragraph" w:customStyle="1" w:styleId="ECVOccupationalFieldHeadingPersonal">
    <w:name w:val="_ECV_OccupationalFieldHeadingPersonal"/>
    <w:basedOn w:val="ECVLeftHeading"/>
  </w:style>
  <w:style w:type="paragraph" w:customStyle="1" w:styleId="ECVNextPagesParagraph">
    <w:name w:val="_ECV_Next_Pages_Paragraph"/>
    <w:basedOn w:val="ECVFirstPageParagraph"/>
    <w:pPr>
      <w:tabs>
        <w:tab w:val="left" w:pos="2807"/>
        <w:tab w:val="right" w:pos="10350"/>
      </w:tabs>
      <w:spacing w:before="153"/>
      <w:jc w:val="right"/>
    </w:pPr>
    <w:rPr>
      <w:color w:val="1593CB"/>
      <w:sz w:val="20"/>
      <w:lang w:eastAsia="zh-CN"/>
    </w:rPr>
  </w:style>
  <w:style w:type="paragraph" w:customStyle="1" w:styleId="ESPPagesParagraph">
    <w:name w:val="_ESP_Pages_Paragraph"/>
    <w:basedOn w:val="ECVNextPagesParagraph"/>
  </w:style>
  <w:style w:type="paragraph" w:customStyle="1" w:styleId="FooterLeft0">
    <w:name w:val="Footer Left"/>
    <w:basedOn w:val="Normal"/>
    <w:pPr>
      <w:widowControl w:val="0"/>
      <w:suppressLineNumbers/>
      <w:tabs>
        <w:tab w:val="center" w:pos="5188"/>
        <w:tab w:val="right" w:pos="10376"/>
      </w:tab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FooterRight0">
    <w:name w:val="Footer Right"/>
    <w:basedOn w:val="Normal"/>
    <w:pPr>
      <w:widowControl w:val="0"/>
      <w:suppressLineNumbers/>
      <w:tabs>
        <w:tab w:val="center" w:pos="5188"/>
        <w:tab w:val="right" w:pos="10376"/>
      </w:tab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europass5fnumbered5flist">
    <w:name w:val="europass_5f_numbered_5f_list"/>
    <w:basedOn w:val="EuropassSectionDetails"/>
  </w:style>
  <w:style w:type="paragraph" w:customStyle="1" w:styleId="europass5fbulleted5flist">
    <w:name w:val="europass_5f_bulleted_5f_list"/>
    <w:basedOn w:val="EuropassSectionDetails"/>
  </w:style>
  <w:style w:type="paragraph" w:customStyle="1" w:styleId="europassparagraphindented">
    <w:name w:val="europass_paragraph_indented"/>
    <w:basedOn w:val="EuropassSectionDetails"/>
    <w:pPr>
      <w:ind w:left="567"/>
    </w:pPr>
  </w:style>
  <w:style w:type="paragraph" w:customStyle="1" w:styleId="europassparagraphindent1">
    <w:name w:val="europass_paragraph_indent1"/>
    <w:basedOn w:val="EuropassSectionDetails"/>
    <w:pPr>
      <w:ind w:left="567"/>
    </w:pPr>
  </w:style>
  <w:style w:type="paragraph" w:customStyle="1" w:styleId="europassparagraphindent2">
    <w:name w:val="europass_paragraph_indent2"/>
    <w:basedOn w:val="EuropassSectionDetails"/>
    <w:pPr>
      <w:ind w:left="1134"/>
    </w:pPr>
  </w:style>
  <w:style w:type="paragraph" w:customStyle="1" w:styleId="europassparagraphindent3">
    <w:name w:val="europass_paragraph_indent3"/>
    <w:basedOn w:val="EuropassSectionDetails"/>
    <w:pPr>
      <w:ind w:left="1701"/>
    </w:pPr>
  </w:style>
  <w:style w:type="paragraph" w:customStyle="1" w:styleId="europassparagraphalignjustify">
    <w:name w:val="europass_paragraph_align_justify"/>
    <w:basedOn w:val="EuropassSectionDetails"/>
    <w:pPr>
      <w:jc w:val="both"/>
    </w:pPr>
  </w:style>
  <w:style w:type="paragraph" w:customStyle="1" w:styleId="europassparagraphindent1justify">
    <w:name w:val="europass_paragraph_indent1_justify"/>
    <w:basedOn w:val="EuropassSectionDetails"/>
    <w:pPr>
      <w:ind w:left="567"/>
      <w:jc w:val="both"/>
    </w:pPr>
  </w:style>
  <w:style w:type="paragraph" w:customStyle="1" w:styleId="europassparagraphindent2justify">
    <w:name w:val="europass_paragraph_indent2_justify"/>
    <w:basedOn w:val="EuropassSectionDetails"/>
    <w:pPr>
      <w:ind w:left="1134"/>
      <w:jc w:val="both"/>
    </w:pPr>
  </w:style>
  <w:style w:type="paragraph" w:customStyle="1" w:styleId="europassparagraphindent3justify">
    <w:name w:val="europass_paragraph_indent3_justify"/>
    <w:basedOn w:val="EuropassSectionDetails"/>
    <w:pPr>
      <w:ind w:left="1701"/>
      <w:jc w:val="both"/>
    </w:pPr>
  </w:style>
  <w:style w:type="paragraph" w:customStyle="1" w:styleId="m4316450850814509265gmail-msolistparagraph">
    <w:name w:val="m_4316450850814509265gmail-msolistparagraph"/>
    <w:basedOn w:val="Normal"/>
    <w:pPr>
      <w:spacing w:before="100" w:beforeAutospacing="1" w:after="100" w:afterAutospacing="1" w:line="259" w:lineRule="auto"/>
    </w:pPr>
    <w:rPr>
      <w:rFonts w:eastAsia="Times New Roman" w:cs="Times New Roman"/>
      <w:szCs w:val="24"/>
      <w:lang w:val="en-US"/>
    </w:rPr>
  </w:style>
  <w:style w:type="paragraph" w:customStyle="1" w:styleId="ECVContactDetails1">
    <w:name w:val="_ECV_ContactDetails1"/>
    <w:basedOn w:val="ECVNameField"/>
  </w:style>
  <w:style w:type="character" w:customStyle="1" w:styleId="UnresolvedMention6">
    <w:name w:val="Unresolved Mention6"/>
    <w:uiPriority w:val="99"/>
    <w:unhideWhenUsed/>
    <w:rPr>
      <w:color w:val="808080"/>
      <w:shd w:val="clear" w:color="auto" w:fill="E6E6E6"/>
    </w:rPr>
  </w:style>
  <w:style w:type="table" w:customStyle="1" w:styleId="ListTable4-Accent15">
    <w:name w:val="List Table 4 - Accent 15"/>
    <w:basedOn w:val="TableNormal"/>
    <w:uiPriority w:val="49"/>
    <w:pPr>
      <w:spacing w:after="0" w:line="240" w:lineRule="auto"/>
    </w:pPr>
    <w:rPr>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3">
    <w:name w:val="List Table 3 - Accent 13"/>
    <w:basedOn w:val="TableNormal"/>
    <w:uiPriority w:val="48"/>
    <w:pPr>
      <w:spacing w:after="0" w:line="240" w:lineRule="auto"/>
    </w:pPr>
    <w:rPr>
      <w:lang w:val="en-GB" w:eastAsia="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22">
    <w:name w:val="Grid Table 1 Light - Accent 22"/>
    <w:basedOn w:val="TableNormal"/>
    <w:uiPriority w:val="46"/>
    <w:pPr>
      <w:spacing w:after="0" w:line="240" w:lineRule="auto"/>
    </w:pPr>
    <w:rPr>
      <w:lang w:val="en-GB" w:eastAsia="en-GB"/>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CVFooterLeft">
    <w:name w:val="CV Footer Left"/>
    <w:pPr>
      <w:pBdr>
        <w:top w:val="nil"/>
        <w:left w:val="nil"/>
        <w:bottom w:val="nil"/>
        <w:right w:val="nil"/>
        <w:between w:val="nil"/>
        <w:bar w:val="nil"/>
      </w:pBdr>
      <w:suppressAutoHyphens/>
      <w:spacing w:after="0" w:line="240" w:lineRule="auto"/>
      <w:ind w:firstLine="360"/>
      <w:jc w:val="right"/>
    </w:pPr>
    <w:rPr>
      <w:rFonts w:ascii="Arial Narrow" w:eastAsia="Arial Unicode MS" w:hAnsi="Arial Narrow" w:cs="Arial Unicode MS"/>
      <w:color w:val="000000"/>
      <w:sz w:val="16"/>
      <w:szCs w:val="16"/>
      <w:u w:color="000000"/>
      <w:bdr w:val="nil"/>
      <w:lang w:val="en-US" w:eastAsia="en-GB"/>
    </w:rPr>
  </w:style>
  <w:style w:type="paragraph" w:customStyle="1" w:styleId="CVFooterRight">
    <w:name w:val="CV Footer Right"/>
    <w:pPr>
      <w:pBdr>
        <w:top w:val="nil"/>
        <w:left w:val="nil"/>
        <w:bottom w:val="nil"/>
        <w:right w:val="nil"/>
        <w:between w:val="nil"/>
        <w:bar w:val="nil"/>
      </w:pBdr>
      <w:suppressAutoHyphens/>
      <w:spacing w:after="0" w:line="240" w:lineRule="auto"/>
    </w:pPr>
    <w:rPr>
      <w:rFonts w:ascii="Arial Narrow" w:eastAsia="Arial Unicode MS" w:hAnsi="Arial Narrow" w:cs="Arial Unicode MS"/>
      <w:color w:val="000000"/>
      <w:sz w:val="16"/>
      <w:szCs w:val="16"/>
      <w:u w:color="000000"/>
      <w:bdr w:val="nil"/>
      <w:lang w:val="de-DE" w:eastAsia="en-GB"/>
    </w:rPr>
  </w:style>
  <w:style w:type="paragraph" w:customStyle="1" w:styleId="CVTitle">
    <w:name w:val="CV Title"/>
    <w:pPr>
      <w:pBdr>
        <w:top w:val="nil"/>
        <w:left w:val="nil"/>
        <w:bottom w:val="nil"/>
        <w:right w:val="nil"/>
        <w:between w:val="nil"/>
        <w:bar w:val="nil"/>
      </w:pBdr>
      <w:suppressAutoHyphens/>
      <w:spacing w:after="0" w:line="240" w:lineRule="auto"/>
      <w:ind w:left="113" w:right="113"/>
      <w:jc w:val="right"/>
    </w:pPr>
    <w:rPr>
      <w:rFonts w:ascii="Arial Narrow" w:eastAsia="Arial Unicode MS" w:hAnsi="Arial Narrow" w:cs="Arial Unicode MS"/>
      <w:b/>
      <w:bCs/>
      <w:color w:val="000000"/>
      <w:spacing w:val="10"/>
      <w:sz w:val="28"/>
      <w:szCs w:val="28"/>
      <w:u w:color="000000"/>
      <w:bdr w:val="nil"/>
      <w:lang w:val="fr-FR" w:eastAsia="en-GB"/>
    </w:rPr>
  </w:style>
  <w:style w:type="paragraph" w:customStyle="1" w:styleId="CVHeading1">
    <w:name w:val="CV Heading 1"/>
    <w:next w:val="Normal"/>
    <w:pPr>
      <w:pBdr>
        <w:top w:val="nil"/>
        <w:left w:val="nil"/>
        <w:bottom w:val="nil"/>
        <w:right w:val="nil"/>
        <w:between w:val="nil"/>
        <w:bar w:val="nil"/>
      </w:pBdr>
      <w:suppressAutoHyphens/>
      <w:spacing w:before="74" w:after="0" w:line="240" w:lineRule="auto"/>
      <w:ind w:left="113" w:right="113"/>
      <w:jc w:val="right"/>
    </w:pPr>
    <w:rPr>
      <w:rFonts w:ascii="Arial Narrow" w:eastAsia="Arial Unicode MS" w:hAnsi="Arial Narrow" w:cs="Arial Unicode MS"/>
      <w:b/>
      <w:bCs/>
      <w:color w:val="000000"/>
      <w:sz w:val="24"/>
      <w:szCs w:val="24"/>
      <w:u w:color="000000"/>
      <w:bdr w:val="nil"/>
      <w:lang w:val="en-US" w:eastAsia="en-GB"/>
    </w:rPr>
  </w:style>
  <w:style w:type="paragraph" w:customStyle="1" w:styleId="CVMajor-FirstLine">
    <w:name w:val="CV Major - First Line"/>
    <w:pPr>
      <w:pBdr>
        <w:top w:val="nil"/>
        <w:left w:val="nil"/>
        <w:bottom w:val="nil"/>
        <w:right w:val="nil"/>
        <w:between w:val="nil"/>
        <w:bar w:val="nil"/>
      </w:pBdr>
      <w:suppressAutoHyphens/>
      <w:spacing w:before="74" w:after="0" w:line="240" w:lineRule="auto"/>
      <w:ind w:left="113" w:right="113"/>
    </w:pPr>
    <w:rPr>
      <w:rFonts w:ascii="Arial Narrow" w:eastAsia="Arial Unicode MS" w:hAnsi="Arial Narrow" w:cs="Arial Unicode MS"/>
      <w:b/>
      <w:bCs/>
      <w:color w:val="000000"/>
      <w:sz w:val="24"/>
      <w:szCs w:val="24"/>
      <w:u w:color="000000"/>
      <w:bdr w:val="nil"/>
      <w:lang w:val="en-US" w:eastAsia="en-GB"/>
    </w:rPr>
  </w:style>
  <w:style w:type="paragraph" w:customStyle="1" w:styleId="CVHeading3-FirstLine">
    <w:name w:val="CV Heading 3 - First Line"/>
    <w:next w:val="CVHeading3"/>
    <w:pPr>
      <w:pBdr>
        <w:top w:val="nil"/>
        <w:left w:val="nil"/>
        <w:bottom w:val="nil"/>
        <w:right w:val="nil"/>
        <w:between w:val="nil"/>
        <w:bar w:val="nil"/>
      </w:pBdr>
      <w:suppressAutoHyphens/>
      <w:spacing w:before="74" w:after="0" w:line="240" w:lineRule="auto"/>
      <w:ind w:left="113" w:right="113"/>
      <w:jc w:val="right"/>
    </w:pPr>
    <w:rPr>
      <w:rFonts w:ascii="Arial Narrow" w:eastAsia="Arial Unicode MS" w:hAnsi="Arial Narrow" w:cs="Arial Unicode MS"/>
      <w:color w:val="000000"/>
      <w:sz w:val="20"/>
      <w:szCs w:val="20"/>
      <w:u w:color="000000"/>
      <w:bdr w:val="nil"/>
      <w:lang w:val="en-US" w:eastAsia="en-GB"/>
    </w:rPr>
  </w:style>
  <w:style w:type="paragraph" w:customStyle="1" w:styleId="LevelAssessment-Note">
    <w:name w:val="Level Assessment - Note"/>
    <w:pPr>
      <w:pBdr>
        <w:top w:val="nil"/>
        <w:left w:val="nil"/>
        <w:bottom w:val="nil"/>
        <w:right w:val="nil"/>
        <w:between w:val="nil"/>
        <w:bar w:val="nil"/>
      </w:pBdr>
      <w:suppressAutoHyphens/>
      <w:spacing w:after="0" w:line="240" w:lineRule="auto"/>
      <w:ind w:left="113"/>
    </w:pPr>
    <w:rPr>
      <w:rFonts w:ascii="Arial Narrow" w:eastAsia="Arial Unicode MS" w:hAnsi="Arial Narrow" w:cs="Arial Unicode MS"/>
      <w:i/>
      <w:iCs/>
      <w:color w:val="000000"/>
      <w:sz w:val="18"/>
      <w:szCs w:val="18"/>
      <w:u w:color="000000"/>
      <w:bdr w:val="nil"/>
      <w:lang w:val="en-US" w:eastAsia="en-GB"/>
    </w:rPr>
  </w:style>
  <w:style w:type="character" w:customStyle="1" w:styleId="Nessuno">
    <w:name w:val="Nessuno"/>
  </w:style>
  <w:style w:type="character" w:customStyle="1" w:styleId="Hyperlink0">
    <w:name w:val="Hyperlink.0"/>
    <w:rPr>
      <w:color w:val="0000FF"/>
      <w:u w:val="single" w:color="0000FF"/>
      <w:lang w:val="en-US"/>
    </w:rPr>
  </w:style>
  <w:style w:type="paragraph" w:customStyle="1" w:styleId="references0">
    <w:name w:val="references"/>
    <w:basedOn w:val="Normal"/>
    <w:pPr>
      <w:numPr>
        <w:numId w:val="60"/>
      </w:numPr>
      <w:spacing w:after="0" w:line="259" w:lineRule="auto"/>
    </w:pPr>
    <w:rPr>
      <w:rFonts w:eastAsia="Times New Roman" w:cs="Times New Roman"/>
      <w:sz w:val="20"/>
      <w:szCs w:val="24"/>
      <w:lang w:val="nl-NL"/>
    </w:rPr>
  </w:style>
  <w:style w:type="paragraph" w:customStyle="1" w:styleId="Aeeaoaeaa2">
    <w:name w:val="A?eeaoae?aa 2"/>
    <w:basedOn w:val="Aaoeeu"/>
    <w:next w:val="Aaoeeu"/>
    <w:pPr>
      <w:keepNext/>
      <w:suppressAutoHyphens w:val="0"/>
      <w:spacing w:after="0" w:line="240" w:lineRule="auto"/>
      <w:jc w:val="right"/>
    </w:pPr>
    <w:rPr>
      <w:rFonts w:eastAsia="Times New Roman" w:cs="Times New Roman"/>
      <w:i/>
      <w:sz w:val="20"/>
      <w:szCs w:val="20"/>
      <w:lang w:eastAsia="en-GB"/>
    </w:rPr>
  </w:style>
  <w:style w:type="character" w:customStyle="1" w:styleId="niaeeaaiYicanaiiaoioaenU">
    <w:name w:val="?nia?eeaaiYic anaiiaoioaenU"/>
    <w:rPr>
      <w:sz w:val="20"/>
    </w:rPr>
  </w:style>
  <w:style w:type="paragraph" w:customStyle="1" w:styleId="OioYeeai">
    <w:name w:val="O?ioYeeai"/>
    <w:basedOn w:val="Aaoeeu"/>
    <w:pPr>
      <w:tabs>
        <w:tab w:val="center" w:pos="4153"/>
        <w:tab w:val="right" w:pos="8306"/>
      </w:tabs>
      <w:suppressAutoHyphens w:val="0"/>
      <w:spacing w:after="0" w:line="240" w:lineRule="auto"/>
    </w:pPr>
    <w:rPr>
      <w:rFonts w:eastAsia="Times New Roman" w:cs="Times New Roman"/>
      <w:sz w:val="20"/>
      <w:szCs w:val="20"/>
      <w:lang w:eastAsia="en-GB"/>
    </w:rPr>
  </w:style>
  <w:style w:type="character" w:customStyle="1" w:styleId="Aneeiuooaeaao">
    <w:name w:val="Aneeiuo oae?aao"/>
  </w:style>
  <w:style w:type="paragraph" w:customStyle="1" w:styleId="OiaeaeiYiio">
    <w:name w:val="O?ia eaeiYiio"/>
    <w:basedOn w:val="Aaoeeu"/>
    <w:pPr>
      <w:suppressAutoHyphens w:val="0"/>
      <w:spacing w:after="0" w:line="240" w:lineRule="auto"/>
      <w:jc w:val="right"/>
    </w:pPr>
    <w:rPr>
      <w:rFonts w:eastAsia="Times New Roman" w:cs="Times New Roman"/>
      <w:sz w:val="20"/>
      <w:szCs w:val="20"/>
      <w:lang w:eastAsia="en-GB"/>
    </w:rPr>
  </w:style>
  <w:style w:type="paragraph" w:customStyle="1" w:styleId="OiaeaeiYiio3">
    <w:name w:val="O?ia eaeiYiio 3"/>
    <w:basedOn w:val="Aaoeeu"/>
    <w:pPr>
      <w:suppressAutoHyphens w:val="0"/>
      <w:spacing w:after="0" w:line="240" w:lineRule="auto"/>
      <w:jc w:val="right"/>
    </w:pPr>
    <w:rPr>
      <w:rFonts w:eastAsia="Times New Roman" w:cs="Times New Roman"/>
      <w:b/>
      <w:sz w:val="20"/>
      <w:szCs w:val="20"/>
      <w:lang w:eastAsia="en-GB"/>
    </w:rPr>
  </w:style>
  <w:style w:type="paragraph" w:customStyle="1" w:styleId="a">
    <w:name w:val="Êåöáëßäá"/>
    <w:basedOn w:val="Normal"/>
    <w:pPr>
      <w:widowControl w:val="0"/>
      <w:tabs>
        <w:tab w:val="center" w:pos="4153"/>
        <w:tab w:val="right" w:pos="8306"/>
      </w:tabs>
      <w:spacing w:after="0" w:line="259" w:lineRule="auto"/>
    </w:pPr>
    <w:rPr>
      <w:rFonts w:eastAsia="Times New Roman" w:cs="Times New Roman"/>
      <w:sz w:val="20"/>
      <w:szCs w:val="20"/>
      <w:lang w:val="el-GR" w:eastAsia="en-GB"/>
    </w:rPr>
  </w:style>
  <w:style w:type="paragraph" w:customStyle="1" w:styleId="a0">
    <w:name w:val="ÕðïóÝëéäï"/>
    <w:basedOn w:val="Normal"/>
    <w:pPr>
      <w:widowControl w:val="0"/>
      <w:tabs>
        <w:tab w:val="center" w:pos="4153"/>
        <w:tab w:val="right" w:pos="8306"/>
      </w:tabs>
      <w:spacing w:after="0" w:line="259" w:lineRule="auto"/>
    </w:pPr>
    <w:rPr>
      <w:rFonts w:eastAsia="Times New Roman" w:cs="Times New Roman"/>
      <w:sz w:val="20"/>
      <w:szCs w:val="20"/>
      <w:lang w:val="el-GR" w:eastAsia="en-GB"/>
    </w:rPr>
  </w:style>
  <w:style w:type="character" w:customStyle="1" w:styleId="a1">
    <w:name w:val="Áñéèìüò óåëßäáò"/>
    <w:rPr>
      <w:sz w:val="20"/>
    </w:rPr>
  </w:style>
  <w:style w:type="paragraph" w:customStyle="1" w:styleId="a2">
    <w:name w:val="Âáóéêü"/>
    <w:pPr>
      <w:widowControl w:val="0"/>
      <w:spacing w:after="0" w:line="240" w:lineRule="auto"/>
    </w:pPr>
    <w:rPr>
      <w:rFonts w:ascii="Times New Roman" w:eastAsia="Times New Roman" w:hAnsi="Times New Roman" w:cs="Times New Roman"/>
      <w:sz w:val="20"/>
      <w:szCs w:val="20"/>
      <w:lang w:val="el-GR" w:eastAsia="en-GB"/>
    </w:rPr>
  </w:style>
  <w:style w:type="paragraph" w:customStyle="1" w:styleId="References">
    <w:name w:val="References"/>
    <w:basedOn w:val="Normal"/>
    <w:link w:val="ReferencesChar"/>
    <w:uiPriority w:val="99"/>
    <w:pPr>
      <w:widowControl w:val="0"/>
      <w:numPr>
        <w:numId w:val="61"/>
      </w:numPr>
      <w:spacing w:after="100" w:line="259" w:lineRule="auto"/>
      <w:jc w:val="both"/>
    </w:pPr>
    <w:rPr>
      <w:rFonts w:ascii="Tahoma" w:eastAsia="Times New Roman" w:hAnsi="Tahoma" w:cs="Times New Roman"/>
      <w:snapToGrid w:val="0"/>
      <w:sz w:val="20"/>
      <w:szCs w:val="20"/>
      <w:lang w:val="en-GB"/>
    </w:rPr>
  </w:style>
  <w:style w:type="paragraph" w:customStyle="1" w:styleId="StyleH2Before12ptAfter12pt">
    <w:name w:val="Style H2 + Before:  12 pt After:  12 pt"/>
    <w:basedOn w:val="Normal"/>
    <w:pPr>
      <w:keepNext/>
      <w:widowControl w:val="0"/>
      <w:spacing w:before="240" w:after="240" w:line="259" w:lineRule="auto"/>
      <w:jc w:val="both"/>
      <w:outlineLvl w:val="2"/>
    </w:pPr>
    <w:rPr>
      <w:rFonts w:ascii="Tahoma" w:eastAsia="Times New Roman" w:hAnsi="Tahoma" w:cs="Times New Roman"/>
      <w:b/>
      <w:bCs/>
      <w:snapToGrid w:val="0"/>
      <w:sz w:val="28"/>
      <w:szCs w:val="20"/>
      <w:lang w:val="en-GB"/>
    </w:rPr>
  </w:style>
  <w:style w:type="paragraph" w:customStyle="1" w:styleId="StyleReferencesBold">
    <w:name w:val="Style References + Bold"/>
    <w:basedOn w:val="References"/>
    <w:link w:val="StyleReferencesBoldChar"/>
    <w:rPr>
      <w:b/>
      <w:bCs/>
    </w:rPr>
  </w:style>
  <w:style w:type="character" w:customStyle="1" w:styleId="ReferencesChar">
    <w:name w:val="References Char"/>
    <w:link w:val="References"/>
    <w:uiPriority w:val="99"/>
    <w:rPr>
      <w:rFonts w:ascii="Tahoma" w:eastAsia="Times New Roman" w:hAnsi="Tahoma" w:cs="Times New Roman"/>
      <w:snapToGrid w:val="0"/>
      <w:sz w:val="20"/>
      <w:szCs w:val="20"/>
      <w:lang w:val="en-GB"/>
    </w:rPr>
  </w:style>
  <w:style w:type="character" w:customStyle="1" w:styleId="StyleReferencesBoldChar">
    <w:name w:val="Style References + Bold Char"/>
    <w:link w:val="StyleReferencesBold"/>
    <w:rPr>
      <w:rFonts w:ascii="Tahoma" w:eastAsia="Times New Roman" w:hAnsi="Tahoma" w:cs="Times New Roman"/>
      <w:b/>
      <w:bCs/>
      <w:snapToGrid w:val="0"/>
      <w:sz w:val="20"/>
      <w:szCs w:val="20"/>
      <w:lang w:val="en-GB"/>
    </w:rPr>
  </w:style>
  <w:style w:type="paragraph" w:customStyle="1" w:styleId="StyleStyleReferencesBoldNotBold">
    <w:name w:val="Style Style References + Bold + Not Bold"/>
    <w:basedOn w:val="StyleReferencesBold"/>
    <w:link w:val="StyleStyleReferencesBoldNotBoldChar"/>
    <w:rPr>
      <w:rFonts w:ascii="Arial Narrow" w:hAnsi="Arial Narrow"/>
    </w:rPr>
  </w:style>
  <w:style w:type="character" w:customStyle="1" w:styleId="StyleStyleReferencesBoldNotBoldChar">
    <w:name w:val="Style Style References + Bold + Not Bold Char"/>
    <w:link w:val="StyleStyleReferencesBoldNotBold"/>
    <w:rPr>
      <w:rFonts w:ascii="Arial Narrow" w:eastAsia="Times New Roman" w:hAnsi="Arial Narrow" w:cs="Times New Roman"/>
      <w:b/>
      <w:bCs/>
      <w:snapToGrid w:val="0"/>
      <w:sz w:val="20"/>
      <w:szCs w:val="20"/>
      <w:lang w:val="en-GB"/>
    </w:rPr>
  </w:style>
  <w:style w:type="paragraph" w:customStyle="1" w:styleId="NormalShadowed">
    <w:name w:val="Normal Shadowed"/>
    <w:basedOn w:val="Normal"/>
    <w:uiPriority w:val="99"/>
    <w:pPr>
      <w:spacing w:before="60" w:after="60" w:line="259" w:lineRule="auto"/>
    </w:pPr>
    <w:rPr>
      <w:rFonts w:ascii="Lucida Sans Unicode" w:eastAsia="Times New Roman" w:hAnsi="Lucida Sans Unicode" w:cs="Times New Roman"/>
      <w:sz w:val="20"/>
      <w:szCs w:val="20"/>
      <w:lang w:val="en-GB"/>
      <w14:shadow w14:blurRad="50800" w14:dist="38100" w14:dir="2700000" w14:sx="100000" w14:sy="100000" w14:kx="0" w14:ky="0" w14:algn="tl">
        <w14:srgbClr w14:val="000000">
          <w14:alpha w14:val="60000"/>
        </w14:srgbClr>
      </w14:shadow>
    </w:rPr>
  </w:style>
  <w:style w:type="paragraph" w:customStyle="1" w:styleId="Subsection">
    <w:name w:val="Subsection"/>
    <w:basedOn w:val="Heading2"/>
    <w:uiPriority w:val="99"/>
    <w:pPr>
      <w:keepLines/>
      <w:numPr>
        <w:ilvl w:val="0"/>
        <w:numId w:val="0"/>
      </w:numPr>
      <w:spacing w:after="0" w:line="259" w:lineRule="auto"/>
      <w:jc w:val="left"/>
    </w:pPr>
    <w:rPr>
      <w:rFonts w:ascii="Century Gothic" w:eastAsia="HGSMinchoB" w:hAnsi="Century Gothic"/>
      <w:b w:val="0"/>
      <w:bCs/>
      <w:i/>
      <w:color w:val="93A299"/>
      <w:sz w:val="21"/>
      <w:szCs w:val="26"/>
      <w:lang w:val="en-US"/>
    </w:rPr>
  </w:style>
  <w:style w:type="paragraph" w:customStyle="1" w:styleId="CVSpacer">
    <w:name w:val="CV Spacer"/>
    <w:basedOn w:val="CVNormal"/>
    <w:rPr>
      <w:sz w:val="4"/>
    </w:rPr>
  </w:style>
  <w:style w:type="character" w:customStyle="1" w:styleId="NichtaufgelsteErwhnung1">
    <w:name w:val="Nicht aufgelöste Erwähnung1"/>
    <w:uiPriority w:val="99"/>
    <w:semiHidden/>
    <w:unhideWhenUsed/>
    <w:rPr>
      <w:color w:val="605E5C"/>
      <w:shd w:val="clear" w:color="auto" w:fill="E1DFDD"/>
    </w:rPr>
  </w:style>
  <w:style w:type="paragraph" w:customStyle="1" w:styleId="Char1">
    <w:name w:val="Char1"/>
    <w:basedOn w:val="Normal"/>
    <w:next w:val="ListBullet"/>
    <w:autoRedefine/>
    <w:uiPriority w:val="99"/>
    <w:qFormat/>
    <w:pPr>
      <w:spacing w:after="120" w:line="264" w:lineRule="auto"/>
      <w:jc w:val="both"/>
    </w:pPr>
    <w:rPr>
      <w:rFonts w:ascii="Georgia" w:hAnsi="Georgia"/>
      <w:sz w:val="22"/>
      <w:lang w:val="en-GB" w:eastAsia="en-GB"/>
    </w:rPr>
  </w:style>
  <w:style w:type="character" w:customStyle="1" w:styleId="fr1">
    <w:name w:val="fr1"/>
    <w:qFormat/>
    <w:rPr>
      <w:rFonts w:ascii="Georgia" w:hAnsi="Georgia" w:cs="Times New Roman"/>
      <w:color w:val="000000"/>
      <w:sz w:val="16"/>
      <w:vertAlign w:val="superscript"/>
      <w:lang w:val="en-US"/>
    </w:rPr>
  </w:style>
  <w:style w:type="table" w:customStyle="1" w:styleId="ListTable2-Accent11">
    <w:name w:val="List Table 2 - Accent 11"/>
    <w:basedOn w:val="TableNormal"/>
    <w:next w:val="ListTable2-Accent12"/>
    <w:uiPriority w:val="47"/>
    <w:pPr>
      <w:spacing w:after="0" w:line="240" w:lineRule="auto"/>
    </w:pPr>
    <w:rPr>
      <w:rFonts w:eastAsia="Calibri" w:cs="Arial"/>
      <w:lang w:val="en-US"/>
    </w:rPr>
    <w:tblPr>
      <w:tblStyleRowBandSize w:val="1"/>
      <w:tblStyleColBandSize w:val="1"/>
      <w:tblBorders>
        <w:top w:val="single" w:sz="4" w:space="0" w:color="6DC5B6"/>
        <w:bottom w:val="single" w:sz="4" w:space="0" w:color="6DC5B6"/>
        <w:insideH w:val="single" w:sz="4" w:space="0" w:color="6DC5B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BE6"/>
      </w:tcPr>
    </w:tblStylePr>
    <w:tblStylePr w:type="band1Horz">
      <w:tblPr/>
      <w:tcPr>
        <w:shd w:val="clear" w:color="auto" w:fill="CEEBE6"/>
      </w:tcPr>
    </w:tblStylePr>
  </w:style>
  <w:style w:type="table" w:customStyle="1" w:styleId="ListTable2-Accent12">
    <w:name w:val="List Table 2 - Accent 12"/>
    <w:basedOn w:val="TableNormal"/>
    <w:uiPriority w:val="47"/>
    <w:pPr>
      <w:spacing w:after="0" w:line="240" w:lineRule="auto"/>
    </w:pPr>
    <w:rPr>
      <w:rFonts w:eastAsia="Times New Roman" w:cstheme="minorHAnsi"/>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Text">
    <w:name w:val="TableText"/>
    <w:basedOn w:val="Normal"/>
    <w:pPr>
      <w:keepNext/>
      <w:keepLines/>
      <w:spacing w:before="60" w:after="60" w:line="259" w:lineRule="auto"/>
      <w:ind w:left="10"/>
    </w:pPr>
    <w:rPr>
      <w:rFonts w:ascii="Arial" w:eastAsia="Times New Roman" w:hAnsi="Arial" w:cs="Arial"/>
      <w:sz w:val="16"/>
      <w:szCs w:val="24"/>
      <w:lang w:val="en-US"/>
    </w:rPr>
  </w:style>
  <w:style w:type="table" w:customStyle="1" w:styleId="GridTable4-Accent15">
    <w:name w:val="Grid Table 4 - Accent 15"/>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62">
    <w:name w:val="Grid Table 5 Dark - Accent 62"/>
    <w:basedOn w:val="TableNormal"/>
    <w:uiPriority w:val="50"/>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2">
    <w:name w:val="Grid Table 4 - Accent 62"/>
    <w:basedOn w:val="TableNormal"/>
    <w:uiPriority w:val="49"/>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62">
    <w:name w:val="Grid Table 2 - Accent 62"/>
    <w:basedOn w:val="TableNormal"/>
    <w:uiPriority w:val="47"/>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24">
    <w:name w:val="Grid Table 4 - Accent 24"/>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15">
    <w:name w:val="Grid Table 5 Dark - Accent 15"/>
    <w:basedOn w:val="TableNormal"/>
    <w:uiPriority w:val="50"/>
    <w:pPr>
      <w:spacing w:after="0" w:line="240" w:lineRule="auto"/>
    </w:pPr>
    <w:rPr>
      <w:rFonts w:eastAsia="Times New Roman" w:cs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2">
    <w:name w:val="List Table 42"/>
    <w:basedOn w:val="TableNormal"/>
    <w:uiPriority w:val="49"/>
    <w:pPr>
      <w:spacing w:after="160" w:line="259" w:lineRule="auto"/>
    </w:pPr>
    <w:rPr>
      <w:lang w:val="en-GB" w:eastAsia="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tcBorders>
        <w:shd w:val="clear" w:color="auto" w:fill="5F5F5F"/>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stTable4-Accent16">
    <w:name w:val="List Table 4 - Accent 16"/>
    <w:basedOn w:val="TableNormal"/>
    <w:uiPriority w:val="49"/>
    <w:pPr>
      <w:spacing w:after="0" w:line="240" w:lineRule="auto"/>
    </w:pPr>
    <w:rPr>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4">
    <w:name w:val="List Table 3 - Accent 14"/>
    <w:basedOn w:val="TableNormal"/>
    <w:uiPriority w:val="48"/>
    <w:pPr>
      <w:spacing w:after="0" w:line="240" w:lineRule="auto"/>
    </w:pPr>
    <w:rPr>
      <w:lang w:val="en-GB" w:eastAsia="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23">
    <w:name w:val="Grid Table 1 Light - Accent 23"/>
    <w:basedOn w:val="TableNormal"/>
    <w:uiPriority w:val="46"/>
    <w:pPr>
      <w:spacing w:after="0" w:line="240" w:lineRule="auto"/>
    </w:pPr>
    <w:rPr>
      <w:lang w:val="en-GB" w:eastAsia="en-GB"/>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stTable2-Accent13">
    <w:name w:val="List Table 2 - Accent 13"/>
    <w:basedOn w:val="TableNormal"/>
    <w:uiPriority w:val="47"/>
    <w:pPr>
      <w:spacing w:after="0" w:line="240" w:lineRule="auto"/>
    </w:pPr>
    <w:rPr>
      <w:rFonts w:eastAsia="Times New Roman" w:cstheme="minorHAnsi"/>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ichtaufgelsteErwhnung2">
    <w:name w:val="Nicht aufgelöste Erwähnung2"/>
    <w:uiPriority w:val="99"/>
    <w:semiHidden/>
    <w:unhideWhenUsed/>
    <w:rPr>
      <w:color w:val="605E5C"/>
      <w:shd w:val="clear" w:color="auto" w:fill="E1DFDD"/>
    </w:rPr>
  </w:style>
  <w:style w:type="character" w:customStyle="1" w:styleId="Menzionenonrisolta1">
    <w:name w:val="Menzione non risolta1"/>
    <w:uiPriority w:val="99"/>
    <w:semiHidden/>
    <w:unhideWhenUsed/>
    <w:rPr>
      <w:color w:val="605E5C"/>
      <w:shd w:val="clear" w:color="auto" w:fill="E1DFDD"/>
    </w:rPr>
  </w:style>
  <w:style w:type="table" w:customStyle="1" w:styleId="ListTable3Accent5">
    <w:name w:val="List Table 3 Accent 5"/>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m1774568365881080084msolistparagraph">
    <w:name w:val="m_1774568365881080084msolistparagraph"/>
    <w:basedOn w:val="Normal"/>
    <w:pPr>
      <w:spacing w:before="100" w:beforeAutospacing="1" w:after="100" w:afterAutospacing="1" w:line="259" w:lineRule="auto"/>
    </w:pPr>
    <w:rPr>
      <w:rFonts w:eastAsia="Times New Roman" w:cs="Times New Roman"/>
      <w:szCs w:val="24"/>
      <w:lang w:val="en-GB" w:eastAsia="en-GB"/>
    </w:rPr>
  </w:style>
  <w:style w:type="paragraph" w:customStyle="1" w:styleId="Notes">
    <w:name w:val="Notes"/>
    <w:basedOn w:val="Normal"/>
    <w:link w:val="NotesChar"/>
    <w:qFormat/>
    <w:pPr>
      <w:spacing w:after="0" w:line="240" w:lineRule="auto"/>
      <w:jc w:val="both"/>
    </w:pPr>
    <w:rPr>
      <w:i/>
      <w:sz w:val="20"/>
      <w:lang w:val="en-GB"/>
    </w:rPr>
  </w:style>
  <w:style w:type="paragraph" w:customStyle="1" w:styleId="VISUAL">
    <w:name w:val="VISUAL"/>
    <w:basedOn w:val="Normal"/>
    <w:link w:val="VISUALChar"/>
    <w:qFormat/>
    <w:pPr>
      <w:spacing w:after="0"/>
      <w:jc w:val="both"/>
    </w:pPr>
    <w:rPr>
      <w:lang w:val="en-GB"/>
    </w:rPr>
  </w:style>
  <w:style w:type="character" w:customStyle="1" w:styleId="NotesChar">
    <w:name w:val="Notes Char"/>
    <w:basedOn w:val="DefaultParagraphFont"/>
    <w:link w:val="Notes"/>
    <w:rPr>
      <w:rFonts w:ascii="Times New Roman" w:hAnsi="Times New Roman"/>
      <w:i/>
      <w:sz w:val="20"/>
      <w:lang w:val="en-GB"/>
    </w:rPr>
  </w:style>
  <w:style w:type="character" w:customStyle="1" w:styleId="VISUALChar">
    <w:name w:val="VISUAL Char"/>
    <w:basedOn w:val="DefaultParagraphFont"/>
    <w:link w:val="VISUAL"/>
    <w:rPr>
      <w:rFonts w:ascii="Times New Roman" w:hAnsi="Times New Roman"/>
      <w:sz w:val="24"/>
      <w:lang w:val="en-GB"/>
    </w:rPr>
  </w:style>
  <w:style w:type="paragraph" w:styleId="Caption">
    <w:name w:val="caption"/>
    <w:basedOn w:val="Normal"/>
    <w:next w:val="Normal"/>
    <w:uiPriority w:val="99"/>
    <w:unhideWhenUsed/>
    <w:qFormat/>
    <w:pPr>
      <w:spacing w:line="240" w:lineRule="auto"/>
    </w:pPr>
    <w:rPr>
      <w:i/>
      <w:iCs/>
      <w:color w:val="1F497D" w:themeColor="text2"/>
      <w:sz w:val="18"/>
      <w:szCs w:val="18"/>
    </w:rPr>
  </w:style>
  <w:style w:type="paragraph" w:customStyle="1" w:styleId="SecurityMarking">
    <w:name w:val="SecurityMarking"/>
    <w:basedOn w:val="Normal"/>
    <w:pPr>
      <w:spacing w:after="0"/>
      <w:ind w:left="5103"/>
    </w:pPr>
    <w:rPr>
      <w:rFonts w:cs="Times New Roman"/>
      <w:sz w:val="28"/>
    </w:rPr>
  </w:style>
  <w:style w:type="paragraph" w:customStyle="1" w:styleId="DateMarking">
    <w:name w:val="DateMarking"/>
    <w:basedOn w:val="Normal"/>
    <w:pPr>
      <w:spacing w:after="0"/>
      <w:ind w:left="5103"/>
    </w:pPr>
    <w:rPr>
      <w:rFonts w:cs="Times New Roman"/>
      <w:i/>
      <w:sz w:val="28"/>
    </w:rPr>
  </w:style>
  <w:style w:type="paragraph" w:customStyle="1" w:styleId="ReleasableTo">
    <w:name w:val="ReleasableTo"/>
    <w:basedOn w:val="Normal"/>
    <w:pPr>
      <w:spacing w:after="0"/>
      <w:ind w:left="5103"/>
    </w:pPr>
    <w:rPr>
      <w:rFonts w:cs="Times New Roman"/>
      <w:i/>
      <w:sz w:val="28"/>
    </w:rPr>
  </w:style>
  <w:style w:type="paragraph" w:customStyle="1" w:styleId="HeaderSensitivityRight">
    <w:name w:val="Header Sensitivity Right"/>
    <w:basedOn w:val="Normal"/>
    <w:pPr>
      <w:spacing w:after="120" w:line="240" w:lineRule="auto"/>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qFormat="1"/>
    <w:lsdException w:name="toc 7" w:uiPriority="39"/>
    <w:lsdException w:name="toc 8" w:uiPriority="39"/>
    <w:lsdException w:name="toc 9" w:uiPriority="39"/>
    <w:lsdException w:name="footnote text" w:qFormat="1"/>
    <w:lsdException w:name="index heading" w:uiPriority="0"/>
    <w:lsdException w:name="caption" w:qFormat="1"/>
    <w:lsdException w:name="footnote reference" w:uiPriority="0" w:qFormat="1"/>
    <w:lsdException w:name="line number" w:uiPriority="0"/>
    <w:lsdException w:name="table of authorities" w:uiPriority="0"/>
    <w:lsdException w:name="macro" w:uiPriority="0"/>
    <w:lsdException w:name="toa heading" w:uiPriority="0"/>
    <w:lsdException w:name="List Bullet" w:qFormat="1"/>
    <w:lsdException w:name="Title" w:semiHidden="0" w:unhideWhenUsed="0" w:qFormat="1"/>
    <w:lsdException w:name="Signature" w:uiPriority="0"/>
    <w:lsdException w:name="Default Paragraph Font" w:uiPriority="1"/>
    <w:lsdException w:name="Subtitle" w:semiHidden="0" w:uiPriority="48" w:unhideWhenUsed="0" w:qFormat="1"/>
    <w:lsdException w:name="Body Text 2" w:qFormat="1"/>
    <w:lsdException w:name="Strong" w:semiHidden="0" w:uiPriority="22" w:unhideWhenUsed="0" w:qFormat="1"/>
    <w:lsdException w:name="Emphasis" w:semiHidden="0" w:unhideWhenUsed="0" w:qFormat="1"/>
    <w:lsdException w:name="Plain Text" w:uiPriority="0"/>
    <w:lsdException w:name="Table Classic 2" w:uiPriority="0"/>
    <w:lsdException w:name="Table Classic 3" w:uiPriority="0"/>
    <w:lsdException w:name="Table List 1" w:uiPriority="0"/>
    <w:lsdException w:name="Table Contemporary"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17" w:unhideWhenUsed="0" w:qFormat="1"/>
    <w:lsdException w:name="Subtle Reference" w:semiHidden="0" w:uiPriority="31"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aliases w:val="Title Number 1,H1,Titre1"/>
    <w:basedOn w:val="Normal"/>
    <w:next w:val="Text1"/>
    <w:link w:val="Heading1Char"/>
    <w:uiPriority w:val="99"/>
    <w:qFormat/>
    <w:pPr>
      <w:keepNext/>
      <w:numPr>
        <w:numId w:val="20"/>
      </w:numPr>
      <w:spacing w:before="240" w:after="240" w:line="240" w:lineRule="auto"/>
      <w:jc w:val="both"/>
      <w:outlineLvl w:val="0"/>
    </w:pPr>
    <w:rPr>
      <w:rFonts w:eastAsia="Times New Roman" w:cs="Times New Roman"/>
      <w:b/>
      <w:smallCaps/>
      <w:szCs w:val="20"/>
      <w:lang w:val="en-GB"/>
    </w:rPr>
  </w:style>
  <w:style w:type="paragraph" w:styleId="Heading2">
    <w:name w:val="heading 2"/>
    <w:aliases w:val="Title Number 2,H2,Titre2,T2"/>
    <w:basedOn w:val="Heading1"/>
    <w:next w:val="Normal"/>
    <w:link w:val="Heading2Char"/>
    <w:uiPriority w:val="99"/>
    <w:qFormat/>
    <w:pPr>
      <w:numPr>
        <w:ilvl w:val="1"/>
      </w:numPr>
      <w:spacing w:before="0" w:after="200"/>
      <w:outlineLvl w:val="1"/>
    </w:pPr>
    <w:rPr>
      <w:smallCaps w:val="0"/>
    </w:rPr>
  </w:style>
  <w:style w:type="paragraph" w:styleId="Heading3">
    <w:name w:val="heading 3"/>
    <w:aliases w:val="Title Number 3"/>
    <w:basedOn w:val="Normal"/>
    <w:next w:val="Normal"/>
    <w:link w:val="Heading3Char"/>
    <w:uiPriority w:val="99"/>
    <w:unhideWhenUsed/>
    <w:qFormat/>
    <w:pPr>
      <w:keepNext/>
      <w:keepLines/>
      <w:spacing w:line="240" w:lineRule="auto"/>
      <w:ind w:left="454" w:hanging="341"/>
      <w:outlineLvl w:val="2"/>
    </w:pPr>
    <w:rPr>
      <w:rFonts w:eastAsiaTheme="majorEastAsia" w:cs="Times New Roman"/>
      <w:i/>
      <w:szCs w:val="24"/>
      <w:u w:val="single"/>
    </w:rPr>
  </w:style>
  <w:style w:type="paragraph" w:styleId="Heading4">
    <w:name w:val="heading 4"/>
    <w:aliases w:val="Title Number 4,Titre alinéa"/>
    <w:basedOn w:val="Normal"/>
    <w:next w:val="Normal"/>
    <w:link w:val="Heading4Char"/>
    <w:uiPriority w:val="99"/>
    <w:unhideWhenUsed/>
    <w:qFormat/>
    <w:pPr>
      <w:keepNext/>
      <w:ind w:left="113"/>
      <w:jc w:val="both"/>
      <w:outlineLvl w:val="3"/>
    </w:pPr>
    <w:rPr>
      <w:rFonts w:cs="Times New Roman"/>
      <w:b/>
      <w:iCs/>
      <w:u w:val="single"/>
      <w:lang w:val="en-GB"/>
    </w:rPr>
  </w:style>
  <w:style w:type="paragraph" w:styleId="Heading5">
    <w:name w:val="heading 5"/>
    <w:aliases w:val="Title No Number 1"/>
    <w:basedOn w:val="Heading4"/>
    <w:next w:val="Normal"/>
    <w:link w:val="Heading5Char"/>
    <w:uiPriority w:val="99"/>
    <w:unhideWhenUsed/>
    <w:qFormat/>
    <w:pPr>
      <w:keepLines/>
      <w:numPr>
        <w:ilvl w:val="3"/>
      </w:numPr>
      <w:spacing w:before="240" w:after="240"/>
      <w:ind w:left="1134" w:hanging="1134"/>
      <w:jc w:val="left"/>
      <w:outlineLvl w:val="4"/>
    </w:pPr>
    <w:rPr>
      <w:rFonts w:ascii="Verdana" w:eastAsiaTheme="majorEastAsia" w:hAnsi="Verdana" w:cstheme="majorBidi"/>
      <w:b w:val="0"/>
      <w:i/>
      <w:snapToGrid w:val="0"/>
      <w:color w:val="000000" w:themeColor="text1"/>
      <w:sz w:val="20"/>
      <w:szCs w:val="20"/>
      <w:u w:val="none"/>
      <w:lang w:val="de-DE" w:eastAsia="de-DE"/>
    </w:rPr>
  </w:style>
  <w:style w:type="paragraph" w:styleId="Heading6">
    <w:name w:val="heading 6"/>
    <w:aliases w:val="Title No Number 2"/>
    <w:basedOn w:val="Heading5"/>
    <w:next w:val="Normal"/>
    <w:link w:val="Heading6Char"/>
    <w:uiPriority w:val="99"/>
    <w:unhideWhenUsed/>
    <w:qFormat/>
    <w:pPr>
      <w:numPr>
        <w:ilvl w:val="0"/>
      </w:numPr>
      <w:ind w:left="1134" w:hanging="1134"/>
      <w:outlineLvl w:val="5"/>
    </w:pPr>
  </w:style>
  <w:style w:type="paragraph" w:styleId="Heading7">
    <w:name w:val="heading 7"/>
    <w:aliases w:val="Title No Number 3"/>
    <w:basedOn w:val="Normal"/>
    <w:next w:val="Normal"/>
    <w:link w:val="Heading7Char"/>
    <w:uiPriority w:val="99"/>
    <w:unhideWhenUsed/>
    <w:qFormat/>
    <w:pPr>
      <w:keepNext/>
      <w:keepLines/>
      <w:spacing w:before="40" w:after="0" w:line="259" w:lineRule="auto"/>
      <w:ind w:left="-684" w:hanging="1296"/>
      <w:jc w:val="both"/>
      <w:outlineLvl w:val="6"/>
    </w:pPr>
    <w:rPr>
      <w:rFonts w:asciiTheme="majorHAnsi" w:eastAsiaTheme="majorEastAsia" w:hAnsiTheme="majorHAnsi" w:cstheme="majorBidi"/>
      <w:i/>
      <w:iCs/>
      <w:snapToGrid w:val="0"/>
      <w:color w:val="243F60" w:themeColor="accent1" w:themeShade="7F"/>
      <w:sz w:val="20"/>
      <w:szCs w:val="20"/>
      <w:lang w:val="de-DE" w:eastAsia="de-DE"/>
    </w:rPr>
  </w:style>
  <w:style w:type="paragraph" w:styleId="Heading8">
    <w:name w:val="heading 8"/>
    <w:aliases w:val="WS H4 No Numbers Set"/>
    <w:basedOn w:val="Normal"/>
    <w:next w:val="Normal"/>
    <w:link w:val="Heading8Char"/>
    <w:uiPriority w:val="99"/>
    <w:unhideWhenUsed/>
    <w:qFormat/>
    <w:pPr>
      <w:keepNext/>
      <w:keepLines/>
      <w:spacing w:before="40" w:after="0" w:line="259" w:lineRule="auto"/>
      <w:ind w:left="-540" w:hanging="1440"/>
      <w:jc w:val="both"/>
      <w:outlineLvl w:val="7"/>
    </w:pPr>
    <w:rPr>
      <w:rFonts w:asciiTheme="majorHAnsi" w:eastAsiaTheme="majorEastAsia" w:hAnsiTheme="majorHAnsi" w:cs="Times New Roman"/>
      <w:color w:val="272727" w:themeColor="text1" w:themeTint="D8"/>
      <w:sz w:val="21"/>
      <w:szCs w:val="21"/>
      <w:lang w:val="en-US"/>
    </w:rPr>
  </w:style>
  <w:style w:type="paragraph" w:styleId="Heading9">
    <w:name w:val="heading 9"/>
    <w:basedOn w:val="Normal"/>
    <w:next w:val="Normal"/>
    <w:link w:val="Heading9Char"/>
    <w:uiPriority w:val="99"/>
    <w:unhideWhenUsed/>
    <w:qFormat/>
    <w:pPr>
      <w:keepNext/>
      <w:keepLines/>
      <w:spacing w:before="40" w:after="0" w:line="259" w:lineRule="auto"/>
      <w:jc w:val="both"/>
      <w:outlineLvl w:val="8"/>
    </w:pPr>
    <w:rPr>
      <w:rFonts w:asciiTheme="majorHAnsi" w:eastAsiaTheme="majorEastAsia" w:hAnsiTheme="majorHAnsi" w:cs="Times New Roman"/>
      <w:i/>
      <w:iCs/>
      <w:color w:val="272727" w:themeColor="text1" w:themeTint="D8"/>
      <w:sz w:val="21"/>
      <w:szCs w:val="21"/>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Title Number 1 Char,H1 Char,Titre1 Char"/>
    <w:basedOn w:val="DefaultParagraphFont"/>
    <w:link w:val="Heading1"/>
    <w:uiPriority w:val="99"/>
    <w:rPr>
      <w:rFonts w:ascii="Times New Roman" w:eastAsia="Times New Roman" w:hAnsi="Times New Roman" w:cs="Times New Roman"/>
      <w:b/>
      <w:smallCaps/>
      <w:sz w:val="24"/>
      <w:szCs w:val="20"/>
      <w:lang w:val="en-GB"/>
    </w:rPr>
  </w:style>
  <w:style w:type="character" w:customStyle="1" w:styleId="Heading2Char">
    <w:name w:val="Heading 2 Char"/>
    <w:aliases w:val="Title Number 2 Char,H2 Char,Titre2 Char,T2 Char"/>
    <w:basedOn w:val="DefaultParagraphFont"/>
    <w:link w:val="Heading2"/>
    <w:uiPriority w:val="99"/>
    <w:rPr>
      <w:rFonts w:ascii="Times New Roman" w:eastAsia="Times New Roman" w:hAnsi="Times New Roman" w:cs="Times New Roman"/>
      <w:b/>
      <w:sz w:val="24"/>
      <w:szCs w:val="20"/>
      <w:lang w:val="en-GB"/>
    </w:rPr>
  </w:style>
  <w:style w:type="paragraph" w:customStyle="1" w:styleId="Text1">
    <w:name w:val="Text 1"/>
    <w:basedOn w:val="Normal"/>
    <w:link w:val="Text1Char"/>
    <w:pPr>
      <w:spacing w:after="240" w:line="240" w:lineRule="auto"/>
      <w:ind w:left="482"/>
      <w:jc w:val="both"/>
    </w:pPr>
    <w:rPr>
      <w:rFonts w:eastAsia="Times New Roman" w:cs="Times New Roman"/>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60" w:line="240" w:lineRule="auto"/>
      <w:ind w:left="357" w:hanging="357"/>
      <w:jc w:val="both"/>
    </w:pPr>
    <w:rPr>
      <w:rFonts w:eastAsia="Times New Roman"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lang w:val="en-GB"/>
    </w:rPr>
  </w:style>
  <w:style w:type="paragraph" w:styleId="ListBullet">
    <w:name w:val="List Bullet"/>
    <w:aliases w:val="List 1,Enum1,KS List Bullet Level 1,BULLET,*List Bullet,IPA Bullet"/>
    <w:basedOn w:val="Normal"/>
    <w:uiPriority w:val="99"/>
    <w:qFormat/>
    <w:pPr>
      <w:numPr>
        <w:numId w:val="1"/>
      </w:numPr>
      <w:spacing w:after="240" w:line="240" w:lineRule="auto"/>
      <w:jc w:val="both"/>
    </w:pPr>
    <w:rPr>
      <w:rFonts w:eastAsia="Times New Roman" w:cs="Times New Roman"/>
      <w:szCs w:val="20"/>
      <w:lang w:val="en-GB"/>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eastAsia="Times New Roman" w:cs="Times New Roman"/>
      <w:b/>
      <w:sz w:val="40"/>
      <w:szCs w:val="20"/>
      <w:lang w:val="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eastAsia="Times New Roman" w:cs="Times New Roman"/>
      <w:caps/>
      <w:sz w:val="22"/>
      <w:szCs w:val="20"/>
      <w:lang w:val="en-GB"/>
    </w:rPr>
  </w:style>
  <w:style w:type="paragraph" w:customStyle="1" w:styleId="ListDash1">
    <w:name w:val="List Dash 1"/>
    <w:basedOn w:val="Text1"/>
    <w:link w:val="ListDash1Char"/>
    <w:pPr>
      <w:ind w:left="0"/>
    </w:p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lang w:val="en-GB"/>
    </w:rPr>
  </w:style>
  <w:style w:type="table" w:styleId="TableGrid">
    <w:name w:val="Table Grid"/>
    <w:aliases w:val="Document Table,CV1,Table Grid IDEA,TabelEcorys,Tabellengitternetz,Deloitte"/>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lang w:val="en-GB"/>
    </w:rPr>
  </w:style>
  <w:style w:type="character" w:styleId="Hyperlink">
    <w:name w:val="Hyperlink"/>
    <w:basedOn w:val="DefaultParagraphFont"/>
    <w:uiPriority w:val="99"/>
    <w:unhideWhenUsed/>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
    <w:basedOn w:val="Normal"/>
    <w:link w:val="ListParagraphChar"/>
    <w:uiPriority w:val="34"/>
    <w:qFormat/>
    <w:pPr>
      <w:spacing w:after="240" w:line="240" w:lineRule="auto"/>
      <w:ind w:left="720"/>
      <w:contextualSpacing/>
      <w:jc w:val="both"/>
    </w:pPr>
    <w:rPr>
      <w:rFonts w:eastAsia="Times New Roman" w:cs="Times New Roman"/>
      <w:szCs w:val="20"/>
      <w:lang w:val="en-GB"/>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WS Bold,KS Bold"/>
    <w:basedOn w:val="DefaultParagraphFont"/>
    <w:uiPriority w:val="22"/>
    <w:qFormat/>
    <w:rPr>
      <w:b/>
      <w:bCs/>
    </w:r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Footnote symbol,Voetnootverwijzing,Times 10 Point,Exposant 3 Point,Appel note de bas de p,BVI fnr,Footnote Reference Superscript,Footnote symboFußnotenzeichen,Footnote sign,EN Footnote Reference,fr,o,Footnote reference numbe,callout"/>
    <w:basedOn w:val="DefaultParagraphFont"/>
    <w:unhideWhenUsed/>
    <w:qFormat/>
    <w:rPr>
      <w:rFonts w:ascii="Times New Roman" w:hAnsi="Times New Roman" w:cs="Times New Roman"/>
      <w:vertAlign w:val="superscript"/>
    </w:rPr>
  </w:style>
  <w:style w:type="character" w:styleId="CommentReference">
    <w:name w:val="annotation reference"/>
    <w:basedOn w:val="DefaultParagraphFont"/>
    <w:uiPriority w:val="99"/>
    <w:unhideWhenUsed/>
    <w:rPr>
      <w:rFonts w:ascii="Times New Roman" w:hAnsi="Times New Roman" w:cs="Times New Roman" w:hint="default"/>
      <w:sz w:val="16"/>
      <w:szCs w:val="16"/>
    </w:rPr>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styleId="FollowedHyperlink">
    <w:name w:val="FollowedHyperlink"/>
    <w:basedOn w:val="DefaultParagraphFont"/>
    <w:uiPriority w:val="99"/>
    <w:unhideWhenUsed/>
    <w:rPr>
      <w:color w:val="800080" w:themeColor="followedHyperlink"/>
      <w:u w:val="single"/>
    </w:r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
    <w:name w:val="Grid Table 6 Colorful Accent 1"/>
    <w:basedOn w:val="TableNormal"/>
    <w:uiPriority w:val="5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5">
    <w:name w:val="Grid Table 2 Accent 5"/>
    <w:basedOn w:val="TableNormal"/>
    <w:uiPriority w:val="4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1">
    <w:name w:val="List Table 6 Colorful Accent 1"/>
    <w:basedOn w:val="TableNormal"/>
    <w:uiPriority w:val="51"/>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4">
    <w:name w:val="Grid Table 5 Dark - Accent 14"/>
    <w:basedOn w:val="TableNormal"/>
    <w:uiPriority w:val="50"/>
    <w:pPr>
      <w:spacing w:after="0" w:line="240" w:lineRule="auto"/>
    </w:pPr>
    <w:rPr>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EB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17C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17C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17C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17C6F"/>
      </w:tcPr>
    </w:tblStylePr>
    <w:tblStylePr w:type="band1Vert">
      <w:tblPr/>
      <w:tcPr>
        <w:shd w:val="clear" w:color="auto" w:fill="9ED8CE"/>
      </w:tcPr>
    </w:tblStylePr>
    <w:tblStylePr w:type="band1Horz">
      <w:tblPr/>
      <w:tcPr>
        <w:shd w:val="clear" w:color="auto" w:fill="9ED8CE"/>
      </w:tcPr>
    </w:tblStylePr>
  </w:style>
  <w:style w:type="table" w:customStyle="1" w:styleId="GridTable2Accent1">
    <w:name w:val="Grid Table 2 Accent 1"/>
    <w:basedOn w:val="TableNormal"/>
    <w:uiPriority w:val="4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1LightAccent1">
    <w:name w:val="List Table 1 Light Accent 1"/>
    <w:basedOn w:val="TableNormal"/>
    <w:uiPriority w:val="4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imes New Roman" w:eastAsia="Times New Roman" w:hAnsi="Times New Roman" w:cs="Times New Roman"/>
      <w:sz w:val="24"/>
      <w:szCs w:val="20"/>
      <w:lang w:val="en-GB"/>
    </w:rPr>
  </w:style>
  <w:style w:type="character" w:customStyle="1" w:styleId="Heading3Char">
    <w:name w:val="Heading 3 Char"/>
    <w:aliases w:val="Title Number 3 Char"/>
    <w:basedOn w:val="DefaultParagraphFont"/>
    <w:link w:val="Heading3"/>
    <w:uiPriority w:val="99"/>
    <w:rPr>
      <w:rFonts w:ascii="Times New Roman" w:eastAsiaTheme="majorEastAsia" w:hAnsi="Times New Roman" w:cs="Times New Roman"/>
      <w:i/>
      <w:sz w:val="24"/>
      <w:szCs w:val="24"/>
      <w:u w:val="single"/>
    </w:rPr>
  </w:style>
  <w:style w:type="character" w:customStyle="1" w:styleId="Heading4Char">
    <w:name w:val="Heading 4 Char"/>
    <w:aliases w:val="Title Number 4 Char,Titre alinéa Char"/>
    <w:basedOn w:val="DefaultParagraphFont"/>
    <w:link w:val="Heading4"/>
    <w:uiPriority w:val="99"/>
    <w:rPr>
      <w:rFonts w:ascii="Times New Roman" w:hAnsi="Times New Roman" w:cs="Times New Roman"/>
      <w:b/>
      <w:iCs/>
      <w:sz w:val="24"/>
      <w:u w:val="single"/>
      <w:lang w:val="en-GB"/>
    </w:rPr>
  </w:style>
  <w:style w:type="table" w:customStyle="1" w:styleId="GridTable7ColorfulAccent1">
    <w:name w:val="Grid Table 7 Colorful Accent 1"/>
    <w:basedOn w:val="TableNormal"/>
    <w:uiPriority w:val="5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7ColorfulAccent1">
    <w:name w:val="List Table 7 Colorful Accent 1"/>
    <w:basedOn w:val="TableNormal"/>
    <w:uiPriority w:val="52"/>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2">
    <w:name w:val="toc 2"/>
    <w:basedOn w:val="Normal"/>
    <w:next w:val="Normal"/>
    <w:autoRedefine/>
    <w:uiPriority w:val="39"/>
    <w:unhideWhenUsed/>
    <w:pPr>
      <w:tabs>
        <w:tab w:val="left" w:pos="880"/>
        <w:tab w:val="right" w:leader="dot" w:pos="8608"/>
      </w:tabs>
      <w:spacing w:after="100"/>
      <w:ind w:left="220"/>
    </w:pPr>
    <w:rPr>
      <w:noProof/>
      <w:sz w:val="22"/>
    </w:rPr>
  </w:style>
  <w:style w:type="paragraph" w:customStyle="1" w:styleId="caption2">
    <w:name w:val="caption2"/>
    <w:aliases w:val="Title table,Tabelkop,Caption-tables,Table legend,Tab_Überschrift,Figure reference,TR-Caption,Inscription,Beschriftung,Caption1"/>
    <w:basedOn w:val="Normal"/>
    <w:next w:val="Normal"/>
    <w:uiPriority w:val="99"/>
    <w:unhideWhenUsed/>
    <w:qFormat/>
    <w:pPr>
      <w:keepNext/>
      <w:keepLines/>
      <w:spacing w:after="120" w:line="240" w:lineRule="auto"/>
    </w:pPr>
    <w:rPr>
      <w:b/>
      <w:iCs/>
      <w:szCs w:val="18"/>
      <w:lang w:val="en-GB"/>
    </w:rPr>
  </w:style>
  <w:style w:type="paragraph" w:customStyle="1" w:styleId="Firstlevellist">
    <w:name w:val="First_level_list"/>
    <w:basedOn w:val="FirstlevellistLAST"/>
    <w:link w:val="FirstlevellistChar"/>
    <w:qFormat/>
    <w:pPr>
      <w:spacing w:after="120"/>
    </w:pPr>
  </w:style>
  <w:style w:type="paragraph" w:customStyle="1" w:styleId="FirstlevellistLAST">
    <w:name w:val="First level list LAST"/>
    <w:basedOn w:val="ListDash1"/>
    <w:link w:val="FirstlevellistLASTChar"/>
    <w:qFormat/>
    <w:pPr>
      <w:numPr>
        <w:numId w:val="6"/>
      </w:numPr>
      <w:spacing w:line="276" w:lineRule="auto"/>
    </w:pPr>
  </w:style>
  <w:style w:type="character" w:customStyle="1" w:styleId="Text1Char">
    <w:name w:val="Text 1 Char"/>
    <w:basedOn w:val="DefaultParagraphFont"/>
    <w:link w:val="Text1"/>
    <w:rPr>
      <w:rFonts w:ascii="Times New Roman" w:eastAsia="Times New Roman" w:hAnsi="Times New Roman" w:cs="Times New Roman"/>
      <w:sz w:val="24"/>
      <w:szCs w:val="20"/>
      <w:lang w:val="en-GB"/>
    </w:rPr>
  </w:style>
  <w:style w:type="character" w:customStyle="1" w:styleId="ListDash1Char">
    <w:name w:val="List Dash 1 Char"/>
    <w:basedOn w:val="Text1Char"/>
    <w:link w:val="ListDash1"/>
    <w:rPr>
      <w:rFonts w:ascii="Times New Roman" w:eastAsia="Times New Roman" w:hAnsi="Times New Roman" w:cs="Times New Roman"/>
      <w:sz w:val="24"/>
      <w:szCs w:val="20"/>
      <w:lang w:val="en-GB"/>
    </w:rPr>
  </w:style>
  <w:style w:type="character" w:customStyle="1" w:styleId="FirstlevellistChar">
    <w:name w:val="First_level_list Char"/>
    <w:basedOn w:val="ListDash1Char"/>
    <w:link w:val="Firstlevellist"/>
    <w:rPr>
      <w:rFonts w:ascii="Times New Roman" w:eastAsia="Times New Roman" w:hAnsi="Times New Roman" w:cs="Times New Roman"/>
      <w:sz w:val="24"/>
      <w:szCs w:val="20"/>
      <w:lang w:val="en-GB"/>
    </w:rPr>
  </w:style>
  <w:style w:type="paragraph" w:customStyle="1" w:styleId="TableNormal0">
    <w:name w:val="Table_Normal"/>
    <w:basedOn w:val="Normal"/>
    <w:qFormat/>
    <w:pPr>
      <w:spacing w:before="60" w:after="60" w:line="240" w:lineRule="auto"/>
      <w:jc w:val="both"/>
    </w:pPr>
    <w:rPr>
      <w:rFonts w:cs="Times New Roman"/>
      <w:sz w:val="22"/>
      <w:szCs w:val="24"/>
      <w:lang w:val="en-GB"/>
    </w:rPr>
  </w:style>
  <w:style w:type="character" w:customStyle="1" w:styleId="FirstlevellistLASTChar">
    <w:name w:val="First level list LAST Char"/>
    <w:basedOn w:val="ListDash1Char"/>
    <w:link w:val="FirstlevellistLAST"/>
    <w:rPr>
      <w:rFonts w:ascii="Times New Roman" w:eastAsia="Times New Roman" w:hAnsi="Times New Roman" w:cs="Times New Roman"/>
      <w:sz w:val="24"/>
      <w:szCs w:val="20"/>
      <w:lang w:val="en-GB"/>
    </w:rPr>
  </w:style>
  <w:style w:type="table" w:customStyle="1" w:styleId="ListTable4Accent1">
    <w:name w:val="List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otnote1">
    <w:name w:val="Footnote1"/>
    <w:basedOn w:val="Normal"/>
    <w:next w:val="FootnoteText"/>
    <w:autoRedefine/>
    <w:uiPriority w:val="99"/>
    <w:qFormat/>
    <w:pPr>
      <w:spacing w:after="0" w:line="264" w:lineRule="auto"/>
      <w:jc w:val="both"/>
    </w:pPr>
    <w:rPr>
      <w:rFonts w:ascii="Georgia" w:hAnsi="Georgia"/>
      <w:color w:val="000000"/>
      <w:sz w:val="16"/>
      <w:szCs w:val="20"/>
      <w:lang w:val="en-US"/>
    </w:rPr>
  </w:style>
  <w:style w:type="table" w:customStyle="1" w:styleId="GridTable5Dark-Accent211">
    <w:name w:val="Grid Table 5 Dark - Accent 211"/>
    <w:basedOn w:val="TableNormal"/>
    <w:uiPriority w:val="50"/>
    <w:pPr>
      <w:spacing w:after="0" w:line="240" w:lineRule="auto"/>
    </w:pPr>
    <w:rPr>
      <w:rFonts w:eastAsia="Times New Roman"/>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EB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17C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17C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17C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17C6F"/>
      </w:tcPr>
    </w:tblStylePr>
    <w:tblStylePr w:type="band1Vert">
      <w:tblPr/>
      <w:tcPr>
        <w:shd w:val="clear" w:color="auto" w:fill="9ED8CE"/>
      </w:tcPr>
    </w:tblStylePr>
    <w:tblStylePr w:type="band1Horz">
      <w:tblPr/>
      <w:tcPr>
        <w:shd w:val="clear" w:color="auto" w:fill="9ED8CE"/>
      </w:tcPr>
    </w:tblStylePr>
  </w:style>
  <w:style w:type="paragraph" w:styleId="TOC3">
    <w:name w:val="toc 3"/>
    <w:basedOn w:val="Normal"/>
    <w:next w:val="Normal"/>
    <w:autoRedefine/>
    <w:uiPriority w:val="39"/>
    <w:unhideWhenUsed/>
    <w:qFormat/>
    <w:pPr>
      <w:tabs>
        <w:tab w:val="left" w:pos="880"/>
        <w:tab w:val="right" w:leader="dot" w:pos="8608"/>
      </w:tabs>
      <w:spacing w:after="100"/>
      <w:ind w:left="482"/>
    </w:pPr>
    <w:rPr>
      <w:sz w:val="22"/>
    </w:rPr>
  </w:style>
  <w:style w:type="numbering" w:styleId="111111">
    <w:name w:val="Outline List 2"/>
    <w:basedOn w:val="NoList"/>
    <w:uiPriority w:val="99"/>
    <w:semiHidden/>
    <w:unhideWhenUsed/>
    <w:pPr>
      <w:numPr>
        <w:numId w:val="18"/>
      </w:numPr>
    </w:pPr>
  </w:style>
  <w:style w:type="paragraph" w:customStyle="1" w:styleId="Note">
    <w:name w:val="Note"/>
    <w:basedOn w:val="Normal"/>
    <w:link w:val="NoteChar"/>
    <w:qFormat/>
    <w:pPr>
      <w:spacing w:after="0" w:line="259" w:lineRule="auto"/>
      <w:jc w:val="center"/>
    </w:pPr>
    <w:rPr>
      <w:rFonts w:ascii="Verdana" w:eastAsia="Times New Roman" w:hAnsi="Verdana" w:cs="Times New Roman"/>
      <w:i/>
      <w:sz w:val="16"/>
      <w:szCs w:val="20"/>
      <w:lang w:val="en-GB"/>
    </w:rPr>
  </w:style>
  <w:style w:type="character" w:customStyle="1" w:styleId="NoteChar">
    <w:name w:val="Note Char"/>
    <w:basedOn w:val="DefaultParagraphFont"/>
    <w:link w:val="Note"/>
    <w:rPr>
      <w:rFonts w:ascii="Verdana" w:eastAsia="Times New Roman" w:hAnsi="Verdana" w:cs="Times New Roman"/>
      <w:i/>
      <w:sz w:val="16"/>
      <w:szCs w:val="20"/>
      <w:lang w:val="en-GB"/>
    </w:rPr>
  </w:style>
  <w:style w:type="table" w:customStyle="1" w:styleId="GridTable5Dark-Accent11">
    <w:name w:val="Grid Table 5 Dark - Accent 11"/>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b/>
      <w:bCs/>
      <w:sz w:val="20"/>
      <w:szCs w:val="20"/>
    </w:rPr>
  </w:style>
  <w:style w:type="character" w:customStyle="1" w:styleId="Heading5Char">
    <w:name w:val="Heading 5 Char"/>
    <w:aliases w:val="Title No Number 1 Char"/>
    <w:basedOn w:val="DefaultParagraphFont"/>
    <w:link w:val="Heading5"/>
    <w:uiPriority w:val="99"/>
    <w:rPr>
      <w:rFonts w:ascii="Verdana" w:eastAsiaTheme="majorEastAsia" w:hAnsi="Verdana" w:cstheme="majorBidi"/>
      <w:i/>
      <w:iCs/>
      <w:snapToGrid w:val="0"/>
      <w:color w:val="000000" w:themeColor="text1"/>
      <w:sz w:val="20"/>
      <w:szCs w:val="20"/>
      <w:lang w:val="de-DE" w:eastAsia="de-DE"/>
    </w:rPr>
  </w:style>
  <w:style w:type="character" w:customStyle="1" w:styleId="Heading6Char">
    <w:name w:val="Heading 6 Char"/>
    <w:aliases w:val="Title No Number 2 Char"/>
    <w:basedOn w:val="DefaultParagraphFont"/>
    <w:link w:val="Heading6"/>
    <w:uiPriority w:val="99"/>
    <w:rPr>
      <w:rFonts w:ascii="Verdana" w:eastAsiaTheme="majorEastAsia" w:hAnsi="Verdana" w:cstheme="majorBidi"/>
      <w:i/>
      <w:iCs/>
      <w:snapToGrid w:val="0"/>
      <w:color w:val="000000" w:themeColor="text1"/>
      <w:sz w:val="20"/>
      <w:szCs w:val="20"/>
      <w:lang w:val="de-DE" w:eastAsia="de-DE"/>
    </w:rPr>
  </w:style>
  <w:style w:type="character" w:customStyle="1" w:styleId="Heading7Char">
    <w:name w:val="Heading 7 Char"/>
    <w:aliases w:val="Title No Number 3 Char"/>
    <w:basedOn w:val="DefaultParagraphFont"/>
    <w:link w:val="Heading7"/>
    <w:uiPriority w:val="99"/>
    <w:rPr>
      <w:rFonts w:asciiTheme="majorHAnsi" w:eastAsiaTheme="majorEastAsia" w:hAnsiTheme="majorHAnsi" w:cstheme="majorBidi"/>
      <w:i/>
      <w:iCs/>
      <w:snapToGrid w:val="0"/>
      <w:color w:val="243F60" w:themeColor="accent1" w:themeShade="7F"/>
      <w:sz w:val="20"/>
      <w:szCs w:val="20"/>
      <w:lang w:val="de-DE" w:eastAsia="de-DE"/>
    </w:rPr>
  </w:style>
  <w:style w:type="character" w:customStyle="1" w:styleId="Heading8Char">
    <w:name w:val="Heading 8 Char"/>
    <w:aliases w:val="WS H4 No Numbers Set Char"/>
    <w:basedOn w:val="DefaultParagraphFont"/>
    <w:link w:val="Heading8"/>
    <w:uiPriority w:val="99"/>
    <w:rPr>
      <w:rFonts w:asciiTheme="majorHAnsi" w:eastAsiaTheme="majorEastAsia" w:hAnsiTheme="majorHAnsi" w:cs="Times New Roman"/>
      <w:color w:val="272727" w:themeColor="text1" w:themeTint="D8"/>
      <w:sz w:val="21"/>
      <w:szCs w:val="21"/>
      <w:lang w:val="en-US"/>
    </w:rPr>
  </w:style>
  <w:style w:type="character" w:customStyle="1" w:styleId="Heading9Char">
    <w:name w:val="Heading 9 Char"/>
    <w:basedOn w:val="DefaultParagraphFont"/>
    <w:link w:val="Heading9"/>
    <w:uiPriority w:val="99"/>
    <w:rPr>
      <w:rFonts w:asciiTheme="majorHAnsi" w:eastAsiaTheme="majorEastAsia" w:hAnsiTheme="majorHAnsi" w:cs="Times New Roman"/>
      <w:i/>
      <w:iCs/>
      <w:color w:val="272727" w:themeColor="text1" w:themeTint="D8"/>
      <w:sz w:val="21"/>
      <w:szCs w:val="21"/>
      <w:lang w:val="en-US"/>
    </w:rPr>
  </w:style>
  <w:style w:type="paragraph" w:customStyle="1" w:styleId="DefaultText">
    <w:name w:val="Default Text"/>
    <w:basedOn w:val="Normal"/>
    <w:link w:val="DefaultTextChar"/>
    <w:qFormat/>
    <w:pPr>
      <w:spacing w:after="0" w:line="280" w:lineRule="atLeast"/>
    </w:pPr>
    <w:rPr>
      <w:rFonts w:ascii="Arial" w:eastAsia="Times New Roman" w:hAnsi="Arial" w:cs="Times New Roman"/>
      <w:sz w:val="21"/>
      <w:szCs w:val="24"/>
      <w:lang w:val="en-US" w:eastAsia="nl-NL"/>
    </w:rPr>
  </w:style>
  <w:style w:type="character" w:customStyle="1" w:styleId="DefaultTextChar">
    <w:name w:val="Default Text Char"/>
    <w:basedOn w:val="DefaultParagraphFont"/>
    <w:link w:val="DefaultText"/>
    <w:locked/>
    <w:rPr>
      <w:rFonts w:ascii="Arial" w:eastAsia="Times New Roman" w:hAnsi="Arial" w:cs="Times New Roman"/>
      <w:sz w:val="21"/>
      <w:szCs w:val="24"/>
      <w:lang w:val="en-US" w:eastAsia="nl-NL"/>
    </w:rPr>
  </w:style>
  <w:style w:type="paragraph" w:styleId="Title">
    <w:name w:val="Title"/>
    <w:aliases w:val="WS Title"/>
    <w:basedOn w:val="Normal"/>
    <w:link w:val="TitleChar"/>
    <w:uiPriority w:val="99"/>
    <w:qFormat/>
    <w:pPr>
      <w:spacing w:after="0" w:line="259" w:lineRule="auto"/>
      <w:jc w:val="center"/>
    </w:pPr>
    <w:rPr>
      <w:rFonts w:ascii="Verdana" w:eastAsia="Times New Roman" w:hAnsi="Verdana"/>
      <w:b/>
      <w:sz w:val="44"/>
      <w:szCs w:val="24"/>
      <w:lang w:eastAsia="fr-BE"/>
    </w:rPr>
  </w:style>
  <w:style w:type="character" w:customStyle="1" w:styleId="TitleChar">
    <w:name w:val="Title Char"/>
    <w:aliases w:val="WS Title Char"/>
    <w:basedOn w:val="DefaultParagraphFont"/>
    <w:link w:val="Title"/>
    <w:uiPriority w:val="99"/>
    <w:rPr>
      <w:rFonts w:ascii="Verdana" w:eastAsia="Times New Roman" w:hAnsi="Verdana"/>
      <w:b/>
      <w:sz w:val="44"/>
      <w:szCs w:val="24"/>
      <w:lang w:eastAsia="fr-BE"/>
    </w:rPr>
  </w:style>
  <w:style w:type="paragraph" w:styleId="NoSpacing">
    <w:name w:val="No Spacing"/>
    <w:aliases w:val="WS No Spacing After"/>
    <w:link w:val="NoSpacingChar"/>
    <w:uiPriority w:val="1"/>
    <w:qFormat/>
    <w:pPr>
      <w:spacing w:after="0" w:line="240" w:lineRule="auto"/>
      <w:jc w:val="both"/>
    </w:pPr>
    <w:rPr>
      <w:rFonts w:ascii="Georgia" w:eastAsia="Times New Roman" w:hAnsi="Georgia" w:cs="Times New Roman"/>
      <w:lang w:val="en-US"/>
    </w:rPr>
  </w:style>
  <w:style w:type="character" w:styleId="SubtleEmphasis">
    <w:name w:val="Subtle Emphasis"/>
    <w:aliases w:val="WS Italic"/>
    <w:basedOn w:val="DefaultParagraphFont"/>
    <w:uiPriority w:val="19"/>
    <w:qFormat/>
    <w:rPr>
      <w:rFonts w:cs="Times New Roman"/>
      <w:i/>
      <w:iCs/>
      <w:color w:val="404040" w:themeColor="text1" w:themeTint="BF"/>
    </w:rPr>
  </w:style>
  <w:style w:type="character" w:styleId="SubtleReference">
    <w:name w:val="Subtle Reference"/>
    <w:basedOn w:val="DefaultParagraphFont"/>
    <w:uiPriority w:val="31"/>
    <w:qFormat/>
    <w:rPr>
      <w:rFonts w:cs="Times New Roman"/>
      <w:i/>
      <w:sz w:val="20"/>
    </w:rPr>
  </w:style>
  <w:style w:type="table" w:customStyle="1" w:styleId="GridTable5Dark-Accent21">
    <w:name w:val="Grid Table 5 Dark - Accent 21"/>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paragraph" w:styleId="TOC4">
    <w:name w:val="toc 4"/>
    <w:basedOn w:val="Normal"/>
    <w:next w:val="Normal"/>
    <w:uiPriority w:val="99"/>
    <w:pPr>
      <w:tabs>
        <w:tab w:val="right" w:leader="dot" w:pos="8641"/>
      </w:tabs>
      <w:spacing w:before="60" w:after="60" w:line="259" w:lineRule="auto"/>
      <w:ind w:left="2880" w:right="720" w:hanging="964"/>
      <w:jc w:val="both"/>
    </w:pPr>
    <w:rPr>
      <w:rFonts w:ascii="Verdana" w:eastAsia="Times New Roman" w:hAnsi="Verdana" w:cs="Times New Roman"/>
      <w:sz w:val="18"/>
      <w:szCs w:val="20"/>
      <w:lang w:val="fr-FR"/>
    </w:rPr>
  </w:style>
  <w:style w:type="table" w:customStyle="1" w:styleId="GridTable5Dark-Accent115">
    <w:name w:val="Grid Table 5 Dark - Accent 115"/>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paragraph" w:styleId="NormalWeb">
    <w:name w:val="Normal (Web)"/>
    <w:basedOn w:val="Normal"/>
    <w:uiPriority w:val="99"/>
    <w:unhideWhenUsed/>
    <w:pPr>
      <w:spacing w:before="100" w:beforeAutospacing="1" w:after="100" w:afterAutospacing="1" w:line="259" w:lineRule="auto"/>
    </w:pPr>
    <w:rPr>
      <w:rFonts w:eastAsiaTheme="minorEastAsia" w:cs="Times New Roman"/>
      <w:szCs w:val="24"/>
      <w:lang w:val="nl-NL" w:eastAsia="nl-NL"/>
    </w:rPr>
  </w:style>
  <w:style w:type="character" w:customStyle="1" w:styleId="CommentSubjectChar1">
    <w:name w:val="Comment Subject Char1"/>
    <w:basedOn w:val="CommentTextChar"/>
    <w:uiPriority w:val="99"/>
    <w:semiHidden/>
    <w:rPr>
      <w:rFonts w:ascii="Georgia" w:hAnsi="Georgia" w:cs="Times New Roman"/>
      <w:b/>
      <w:bCs/>
      <w:sz w:val="20"/>
      <w:szCs w:val="20"/>
    </w:rPr>
  </w:style>
  <w:style w:type="table" w:styleId="MediumGrid1-Accent3">
    <w:name w:val="Medium Grid 1 Accent 3"/>
    <w:basedOn w:val="TableNormal"/>
    <w:uiPriority w:val="67"/>
    <w:pPr>
      <w:spacing w:after="0" w:line="240" w:lineRule="auto"/>
    </w:pPr>
    <w:rPr>
      <w:rFonts w:eastAsia="Times New Roman" w:cs="Times New Roman"/>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rFonts w:cs="Times New Roman"/>
        <w:b/>
        <w:bCs/>
      </w:rPr>
    </w:tblStylePr>
    <w:tblStylePr w:type="lastRow">
      <w:rPr>
        <w:rFonts w:cs="Times New Roman"/>
        <w:b/>
        <w:bCs/>
      </w:rPr>
      <w:tblPr/>
      <w:tcPr>
        <w:tcBorders>
          <w:top w:val="single" w:sz="18" w:space="0" w:color="B3CC82"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hemeFill="accent3" w:themeFillTint="7F"/>
      </w:tcPr>
    </w:tblStylePr>
    <w:tblStylePr w:type="band1Horz">
      <w:rPr>
        <w:rFonts w:cs="Times New Roman"/>
      </w:rPr>
      <w:tblPr/>
      <w:tcPr>
        <w:shd w:val="clear" w:color="auto" w:fill="CDDDAC" w:themeFill="accent3" w:themeFillTint="7F"/>
      </w:tcPr>
    </w:tblStylePr>
  </w:style>
  <w:style w:type="table" w:styleId="LightList-Accent5">
    <w:name w:val="Light List Accent 5"/>
    <w:basedOn w:val="TableNormal"/>
    <w:uiPriority w:val="61"/>
    <w:pPr>
      <w:spacing w:after="0" w:line="240" w:lineRule="auto"/>
    </w:pPr>
    <w:rPr>
      <w:rFonts w:eastAsia="Times New Roman" w:cs="Times New Roman"/>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PS">
    <w:name w:val="EPS"/>
    <w:basedOn w:val="TableNormal"/>
    <w:uiPriority w:val="63"/>
    <w:pPr>
      <w:spacing w:after="0" w:line="240" w:lineRule="auto"/>
    </w:pPr>
    <w:rPr>
      <w:rFonts w:ascii="Cambria" w:eastAsia="Times New Roman" w:hAnsi="Cambria" w:cs="Times New Roman"/>
      <w:sz w:val="24"/>
      <w:szCs w:val="24"/>
      <w:lang w:val="it-I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pPr>
      <w:rPr>
        <w:rFonts w:cs="Times New Roman"/>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pPr>
      <w:rPr>
        <w:rFonts w:cs="Times New Roman"/>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hemeFill="text1" w:themeFillTint="3F"/>
      </w:tcPr>
    </w:tblStylePr>
    <w:tblStylePr w:type="band1Horz">
      <w:rPr>
        <w:rFonts w:cs="Times New Roman"/>
      </w:rPr>
      <w:tblPr/>
      <w:tcPr>
        <w:tcBorders>
          <w:insideH w:val="nil"/>
          <w:insideV w:val="nil"/>
        </w:tcBorders>
        <w:shd w:val="clear" w:color="auto" w:fill="C0C0C0" w:themeFill="text1" w:themeFillTint="3F"/>
      </w:tcPr>
    </w:tblStylePr>
    <w:tblStylePr w:type="band2Horz">
      <w:rPr>
        <w:rFonts w:cs="Times New Roman"/>
      </w:rPr>
      <w:tblPr/>
      <w:tcPr>
        <w:tcBorders>
          <w:insideH w:val="nil"/>
          <w:insideV w:val="nil"/>
        </w:tcBorders>
      </w:tcPr>
    </w:tblStylePr>
  </w:style>
  <w:style w:type="table" w:customStyle="1" w:styleId="GridTable4-Accent21">
    <w:name w:val="Grid Table 4 - Accent 2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Default">
    <w:name w:val="Default"/>
    <w:pPr>
      <w:autoSpaceDE w:val="0"/>
      <w:autoSpaceDN w:val="0"/>
      <w:adjustRightInd w:val="0"/>
      <w:spacing w:after="0" w:line="240" w:lineRule="auto"/>
    </w:pPr>
    <w:rPr>
      <w:rFonts w:ascii="Georgia" w:eastAsia="Times New Roman" w:hAnsi="Georgia" w:cs="Georgia"/>
      <w:color w:val="000000"/>
      <w:sz w:val="24"/>
      <w:szCs w:val="24"/>
      <w:lang w:val="nl-NL"/>
    </w:rPr>
  </w:style>
  <w:style w:type="paragraph" w:customStyle="1" w:styleId="aanhef">
    <w:name w:val="aanhef"/>
    <w:basedOn w:val="DefaultText"/>
    <w:pPr>
      <w:spacing w:after="280"/>
    </w:pPr>
    <w:rPr>
      <w:sz w:val="18"/>
      <w:lang w:val="nl-NL"/>
    </w:rPr>
  </w:style>
  <w:style w:type="paragraph" w:customStyle="1" w:styleId="aboutecorys">
    <w:name w:val="aboutecorys"/>
    <w:basedOn w:val="DefaultText"/>
    <w:next w:val="DefaultText"/>
    <w:pPr>
      <w:spacing w:after="840"/>
    </w:pPr>
    <w:rPr>
      <w:color w:val="006DB6"/>
      <w:sz w:val="36"/>
      <w:lang w:val="nl-NL"/>
    </w:rPr>
  </w:style>
  <w:style w:type="paragraph" w:customStyle="1" w:styleId="adres">
    <w:name w:val="adres"/>
    <w:basedOn w:val="DefaultText"/>
    <w:rPr>
      <w:sz w:val="18"/>
      <w:lang w:val="nl-NL"/>
    </w:rPr>
  </w:style>
  <w:style w:type="paragraph" w:customStyle="1" w:styleId="afzendgegevens">
    <w:name w:val="afzendgegevens"/>
    <w:basedOn w:val="DefaultText"/>
    <w:pPr>
      <w:spacing w:line="220" w:lineRule="atLeast"/>
    </w:pPr>
    <w:rPr>
      <w:sz w:val="14"/>
      <w:lang w:val="nl-NL"/>
    </w:rPr>
  </w:style>
  <w:style w:type="paragraph" w:customStyle="1" w:styleId="afzendgegevensachter">
    <w:name w:val="afzendgegevensachter"/>
    <w:basedOn w:val="DefaultText"/>
    <w:rPr>
      <w:color w:val="003C64"/>
      <w:sz w:val="16"/>
      <w:lang w:val="nl-NL"/>
    </w:rPr>
  </w:style>
  <w:style w:type="paragraph" w:customStyle="1" w:styleId="afzendgegevensachter-vet">
    <w:name w:val="afzendgegevensachter-vet"/>
    <w:basedOn w:val="afzendgegevensachter"/>
    <w:rPr>
      <w:b/>
    </w:rPr>
  </w:style>
  <w:style w:type="paragraph" w:customStyle="1" w:styleId="bronvermelding">
    <w:name w:val="bronvermelding"/>
    <w:basedOn w:val="DefaultText"/>
    <w:next w:val="DefaultText"/>
    <w:rPr>
      <w:sz w:val="14"/>
      <w:lang w:val="nl-NL"/>
    </w:rPr>
  </w:style>
  <w:style w:type="paragraph" w:customStyle="1" w:styleId="DefaultTextBold">
    <w:name w:val="Default Text Bold"/>
    <w:basedOn w:val="DefaultText"/>
    <w:next w:val="DefaultText"/>
    <w:rPr>
      <w:b/>
      <w:sz w:val="18"/>
      <w:lang w:val="nl-NL"/>
    </w:rPr>
  </w:style>
  <w:style w:type="paragraph" w:customStyle="1" w:styleId="doctype">
    <w:name w:val="doctype"/>
    <w:basedOn w:val="Normal"/>
    <w:pPr>
      <w:spacing w:after="0" w:line="280" w:lineRule="atLeast"/>
    </w:pPr>
    <w:rPr>
      <w:rFonts w:ascii="Arial" w:eastAsia="Times New Roman" w:hAnsi="Arial" w:cs="Times New Roman"/>
      <w:b/>
      <w:caps/>
      <w:sz w:val="32"/>
      <w:szCs w:val="24"/>
      <w:lang w:val="nl-NL" w:eastAsia="nl-NL"/>
    </w:rPr>
  </w:style>
  <w:style w:type="paragraph" w:styleId="DocumentMap">
    <w:name w:val="Document Map"/>
    <w:basedOn w:val="Normal"/>
    <w:link w:val="DocumentMapChar"/>
    <w:uiPriority w:val="99"/>
    <w:pPr>
      <w:shd w:val="clear" w:color="auto" w:fill="000080"/>
      <w:spacing w:after="0" w:line="280" w:lineRule="atLeast"/>
    </w:pPr>
    <w:rPr>
      <w:rFonts w:ascii="Tahoma" w:eastAsia="Times New Roman" w:hAnsi="Tahoma" w:cs="Tahoma"/>
      <w:sz w:val="20"/>
      <w:szCs w:val="20"/>
      <w:lang w:val="nl-NL" w:eastAsia="nl-NL"/>
    </w:rPr>
  </w:style>
  <w:style w:type="character" w:customStyle="1" w:styleId="DocumentMapChar">
    <w:name w:val="Document Map Char"/>
    <w:basedOn w:val="DefaultParagraphFont"/>
    <w:link w:val="DocumentMap"/>
    <w:uiPriority w:val="99"/>
    <w:rPr>
      <w:rFonts w:ascii="Tahoma" w:eastAsia="Times New Roman" w:hAnsi="Tahoma" w:cs="Tahoma"/>
      <w:sz w:val="20"/>
      <w:szCs w:val="20"/>
      <w:shd w:val="clear" w:color="auto" w:fill="000080"/>
      <w:lang w:val="nl-NL" w:eastAsia="nl-NL"/>
    </w:rPr>
  </w:style>
  <w:style w:type="character" w:styleId="EndnoteReference">
    <w:name w:val="endnote reference"/>
    <w:basedOn w:val="DefaultParagraphFont"/>
    <w:uiPriority w:val="99"/>
    <w:rPr>
      <w:vertAlign w:val="superscript"/>
    </w:rPr>
  </w:style>
  <w:style w:type="paragraph" w:styleId="EndnoteText">
    <w:name w:val="endnote text"/>
    <w:basedOn w:val="Normal"/>
    <w:link w:val="EndnoteTextChar"/>
    <w:uiPriority w:val="99"/>
    <w:pPr>
      <w:spacing w:after="0" w:line="280" w:lineRule="atLeast"/>
    </w:pPr>
    <w:rPr>
      <w:rFonts w:ascii="Arial" w:eastAsia="Times New Roman" w:hAnsi="Arial" w:cs="Times New Roman"/>
      <w:sz w:val="20"/>
      <w:szCs w:val="20"/>
      <w:lang w:val="nl-NL" w:eastAsia="nl-NL"/>
    </w:rPr>
  </w:style>
  <w:style w:type="character" w:customStyle="1" w:styleId="EndnoteTextChar">
    <w:name w:val="Endnote Text Char"/>
    <w:basedOn w:val="DefaultParagraphFont"/>
    <w:link w:val="EndnoteText"/>
    <w:uiPriority w:val="99"/>
    <w:rPr>
      <w:rFonts w:ascii="Arial" w:eastAsia="Times New Roman" w:hAnsi="Arial" w:cs="Times New Roman"/>
      <w:sz w:val="20"/>
      <w:szCs w:val="20"/>
      <w:lang w:val="nl-NL" w:eastAsia="nl-NL"/>
    </w:rPr>
  </w:style>
  <w:style w:type="paragraph" w:customStyle="1" w:styleId="filename">
    <w:name w:val="filename"/>
    <w:basedOn w:val="DefaultText"/>
    <w:rPr>
      <w:noProof/>
      <w:color w:val="000000"/>
      <w:sz w:val="16"/>
      <w:lang w:val="nl-NL"/>
    </w:rPr>
  </w:style>
  <w:style w:type="paragraph" w:customStyle="1" w:styleId="front-inbetween">
    <w:name w:val="front-inbetween"/>
    <w:basedOn w:val="DefaultText"/>
    <w:next w:val="Normal"/>
    <w:pPr>
      <w:spacing w:line="320" w:lineRule="atLeast"/>
    </w:pPr>
    <w:rPr>
      <w:sz w:val="18"/>
      <w:lang w:val="nl-NL"/>
    </w:rPr>
  </w:style>
  <w:style w:type="paragraph" w:customStyle="1" w:styleId="groetregel">
    <w:name w:val="groetregel"/>
    <w:basedOn w:val="DefaultText"/>
    <w:pPr>
      <w:spacing w:before="560" w:after="840"/>
    </w:pPr>
    <w:rPr>
      <w:sz w:val="18"/>
      <w:lang w:val="nl-NL"/>
    </w:rPr>
  </w:style>
  <w:style w:type="paragraph" w:customStyle="1" w:styleId="heading-blue-1">
    <w:name w:val="heading-blue-1"/>
    <w:basedOn w:val="DefaultText"/>
    <w:next w:val="DefaultText"/>
    <w:pPr>
      <w:keepNext/>
      <w:keepLines/>
      <w:spacing w:after="840"/>
      <w:outlineLvl w:val="0"/>
    </w:pPr>
    <w:rPr>
      <w:b/>
      <w:color w:val="006DB6"/>
      <w:sz w:val="36"/>
      <w:lang w:val="nl-NL"/>
    </w:rPr>
  </w:style>
  <w:style w:type="paragraph" w:customStyle="1" w:styleId="heading-blue-2">
    <w:name w:val="heading-blue-2"/>
    <w:basedOn w:val="DefaultText"/>
    <w:next w:val="DefaultText"/>
    <w:pPr>
      <w:keepNext/>
      <w:keepLines/>
      <w:spacing w:after="280"/>
      <w:outlineLvl w:val="1"/>
    </w:pPr>
    <w:rPr>
      <w:color w:val="006DB6"/>
      <w:sz w:val="22"/>
      <w:lang w:val="nl-NL"/>
    </w:rPr>
  </w:style>
  <w:style w:type="paragraph" w:customStyle="1" w:styleId="heading-blue-3">
    <w:name w:val="heading-blue-3"/>
    <w:basedOn w:val="DefaultText"/>
    <w:next w:val="DefaultText"/>
    <w:pPr>
      <w:keepNext/>
      <w:keepLines/>
      <w:outlineLvl w:val="2"/>
    </w:pPr>
    <w:rPr>
      <w:i/>
      <w:color w:val="006DB6"/>
      <w:sz w:val="18"/>
      <w:lang w:val="nl-NL"/>
    </w:rPr>
  </w:style>
  <w:style w:type="paragraph" w:customStyle="1" w:styleId="heading-blue-4">
    <w:name w:val="heading-blue-4"/>
    <w:basedOn w:val="DefaultText"/>
    <w:next w:val="DefaultText"/>
    <w:pPr>
      <w:keepNext/>
      <w:keepLines/>
      <w:outlineLvl w:val="3"/>
    </w:pPr>
    <w:rPr>
      <w:i/>
      <w:color w:val="006DB6"/>
      <w:sz w:val="18"/>
      <w:lang w:val="nl-NL"/>
    </w:rPr>
  </w:style>
  <w:style w:type="paragraph" w:customStyle="1" w:styleId="heading-blue-5">
    <w:name w:val="heading-blue-5"/>
    <w:basedOn w:val="DefaultText"/>
    <w:next w:val="DefaultText"/>
    <w:pPr>
      <w:keepNext/>
      <w:keepLines/>
      <w:outlineLvl w:val="4"/>
    </w:pPr>
    <w:rPr>
      <w:b/>
      <w:color w:val="006DB6"/>
      <w:sz w:val="18"/>
      <w:lang w:val="nl-NL"/>
    </w:rPr>
  </w:style>
  <w:style w:type="paragraph" w:customStyle="1" w:styleId="heading-blue-6">
    <w:name w:val="heading-blue-6"/>
    <w:basedOn w:val="DefaultText"/>
    <w:next w:val="DefaultText"/>
    <w:pPr>
      <w:keepNext/>
      <w:keepLines/>
      <w:outlineLvl w:val="5"/>
    </w:pPr>
    <w:rPr>
      <w:color w:val="006DB6"/>
      <w:sz w:val="18"/>
      <w:lang w:val="nl-NL"/>
    </w:rPr>
  </w:style>
  <w:style w:type="paragraph" w:styleId="Index1">
    <w:name w:val="index 1"/>
    <w:basedOn w:val="Normal"/>
    <w:next w:val="Normal"/>
    <w:autoRedefine/>
    <w:pPr>
      <w:spacing w:after="0" w:line="280" w:lineRule="atLeast"/>
      <w:ind w:left="190" w:hanging="190"/>
    </w:pPr>
    <w:rPr>
      <w:rFonts w:ascii="Arial" w:eastAsia="Times New Roman" w:hAnsi="Arial" w:cs="Times New Roman"/>
      <w:sz w:val="18"/>
      <w:szCs w:val="24"/>
      <w:lang w:val="nl-NL" w:eastAsia="nl-NL"/>
    </w:rPr>
  </w:style>
  <w:style w:type="paragraph" w:styleId="Index2">
    <w:name w:val="index 2"/>
    <w:basedOn w:val="Normal"/>
    <w:next w:val="Normal"/>
    <w:autoRedefine/>
    <w:uiPriority w:val="99"/>
    <w:pPr>
      <w:spacing w:after="0" w:line="280" w:lineRule="atLeast"/>
      <w:ind w:left="380" w:hanging="190"/>
    </w:pPr>
    <w:rPr>
      <w:rFonts w:ascii="Arial" w:eastAsia="Times New Roman" w:hAnsi="Arial" w:cs="Times New Roman"/>
      <w:sz w:val="18"/>
      <w:szCs w:val="24"/>
      <w:lang w:val="nl-NL" w:eastAsia="nl-NL"/>
    </w:rPr>
  </w:style>
  <w:style w:type="paragraph" w:styleId="Index3">
    <w:name w:val="index 3"/>
    <w:basedOn w:val="Normal"/>
    <w:next w:val="Normal"/>
    <w:autoRedefine/>
    <w:uiPriority w:val="99"/>
    <w:pPr>
      <w:spacing w:after="0" w:line="280" w:lineRule="atLeast"/>
      <w:ind w:left="570" w:hanging="190"/>
    </w:pPr>
    <w:rPr>
      <w:rFonts w:ascii="Arial" w:eastAsia="Times New Roman" w:hAnsi="Arial" w:cs="Times New Roman"/>
      <w:sz w:val="18"/>
      <w:szCs w:val="24"/>
      <w:lang w:val="nl-NL" w:eastAsia="nl-NL"/>
    </w:rPr>
  </w:style>
  <w:style w:type="paragraph" w:styleId="Index4">
    <w:name w:val="index 4"/>
    <w:basedOn w:val="Normal"/>
    <w:next w:val="Normal"/>
    <w:autoRedefine/>
    <w:uiPriority w:val="99"/>
    <w:pPr>
      <w:spacing w:after="0" w:line="280" w:lineRule="atLeast"/>
      <w:ind w:left="760" w:hanging="190"/>
    </w:pPr>
    <w:rPr>
      <w:rFonts w:ascii="Arial" w:eastAsia="Times New Roman" w:hAnsi="Arial" w:cs="Times New Roman"/>
      <w:sz w:val="18"/>
      <w:szCs w:val="24"/>
      <w:lang w:val="nl-NL" w:eastAsia="nl-NL"/>
    </w:rPr>
  </w:style>
  <w:style w:type="paragraph" w:styleId="Index5">
    <w:name w:val="index 5"/>
    <w:basedOn w:val="Normal"/>
    <w:next w:val="Normal"/>
    <w:autoRedefine/>
    <w:uiPriority w:val="99"/>
    <w:pPr>
      <w:spacing w:after="0" w:line="280" w:lineRule="atLeast"/>
      <w:ind w:left="950" w:hanging="190"/>
    </w:pPr>
    <w:rPr>
      <w:rFonts w:ascii="Arial" w:eastAsia="Times New Roman" w:hAnsi="Arial" w:cs="Times New Roman"/>
      <w:sz w:val="18"/>
      <w:szCs w:val="24"/>
      <w:lang w:val="nl-NL" w:eastAsia="nl-NL"/>
    </w:rPr>
  </w:style>
  <w:style w:type="paragraph" w:styleId="Index6">
    <w:name w:val="index 6"/>
    <w:basedOn w:val="Normal"/>
    <w:next w:val="Normal"/>
    <w:autoRedefine/>
    <w:uiPriority w:val="99"/>
    <w:pPr>
      <w:spacing w:after="0" w:line="280" w:lineRule="atLeast"/>
      <w:ind w:left="1140" w:hanging="190"/>
    </w:pPr>
    <w:rPr>
      <w:rFonts w:ascii="Arial" w:eastAsia="Times New Roman" w:hAnsi="Arial" w:cs="Times New Roman"/>
      <w:sz w:val="18"/>
      <w:szCs w:val="24"/>
      <w:lang w:val="nl-NL" w:eastAsia="nl-NL"/>
    </w:rPr>
  </w:style>
  <w:style w:type="paragraph" w:styleId="Index7">
    <w:name w:val="index 7"/>
    <w:basedOn w:val="Normal"/>
    <w:next w:val="Normal"/>
    <w:autoRedefine/>
    <w:uiPriority w:val="99"/>
    <w:pPr>
      <w:spacing w:after="0" w:line="280" w:lineRule="atLeast"/>
      <w:ind w:left="1330" w:hanging="190"/>
    </w:pPr>
    <w:rPr>
      <w:rFonts w:ascii="Arial" w:eastAsia="Times New Roman" w:hAnsi="Arial" w:cs="Times New Roman"/>
      <w:sz w:val="18"/>
      <w:szCs w:val="24"/>
      <w:lang w:val="nl-NL" w:eastAsia="nl-NL"/>
    </w:rPr>
  </w:style>
  <w:style w:type="paragraph" w:styleId="Index8">
    <w:name w:val="index 8"/>
    <w:basedOn w:val="Normal"/>
    <w:next w:val="Normal"/>
    <w:autoRedefine/>
    <w:uiPriority w:val="99"/>
    <w:pPr>
      <w:spacing w:after="0" w:line="280" w:lineRule="atLeast"/>
      <w:ind w:left="1520" w:hanging="190"/>
    </w:pPr>
    <w:rPr>
      <w:rFonts w:ascii="Arial" w:eastAsia="Times New Roman" w:hAnsi="Arial" w:cs="Times New Roman"/>
      <w:sz w:val="18"/>
      <w:szCs w:val="24"/>
      <w:lang w:val="nl-NL" w:eastAsia="nl-NL"/>
    </w:rPr>
  </w:style>
  <w:style w:type="paragraph" w:styleId="Index9">
    <w:name w:val="index 9"/>
    <w:basedOn w:val="Normal"/>
    <w:next w:val="Normal"/>
    <w:autoRedefine/>
    <w:uiPriority w:val="99"/>
    <w:pPr>
      <w:spacing w:after="0" w:line="280" w:lineRule="atLeast"/>
      <w:ind w:left="1710" w:hanging="190"/>
    </w:pPr>
    <w:rPr>
      <w:rFonts w:ascii="Arial" w:eastAsia="Times New Roman" w:hAnsi="Arial" w:cs="Times New Roman"/>
      <w:sz w:val="18"/>
      <w:szCs w:val="24"/>
      <w:lang w:val="nl-NL" w:eastAsia="nl-NL"/>
    </w:rPr>
  </w:style>
  <w:style w:type="paragraph" w:styleId="IndexHeading">
    <w:name w:val="index heading"/>
    <w:basedOn w:val="Normal"/>
    <w:next w:val="Index1"/>
    <w:pPr>
      <w:spacing w:after="0" w:line="280" w:lineRule="atLeast"/>
    </w:pPr>
    <w:rPr>
      <w:rFonts w:ascii="Arial" w:eastAsia="Times New Roman" w:hAnsi="Arial" w:cs="Arial"/>
      <w:b/>
      <w:bCs/>
      <w:sz w:val="18"/>
      <w:szCs w:val="24"/>
      <w:lang w:val="nl-NL" w:eastAsia="nl-NL"/>
    </w:rPr>
  </w:style>
  <w:style w:type="paragraph" w:customStyle="1" w:styleId="kaderkop">
    <w:name w:val="kaderkop"/>
    <w:basedOn w:val="DefaultText"/>
    <w:pPr>
      <w:ind w:left="340"/>
    </w:pPr>
    <w:rPr>
      <w:b/>
      <w:color w:val="006DB6"/>
      <w:sz w:val="16"/>
      <w:lang w:val="nl-NL"/>
    </w:rPr>
  </w:style>
  <w:style w:type="paragraph" w:customStyle="1" w:styleId="kadertekst">
    <w:name w:val="kadertekst"/>
    <w:basedOn w:val="DefaultText"/>
    <w:pPr>
      <w:ind w:left="346"/>
    </w:pPr>
    <w:rPr>
      <w:color w:val="006DB6"/>
      <w:sz w:val="16"/>
      <w:lang w:val="nl-NL"/>
    </w:rPr>
  </w:style>
  <w:style w:type="paragraph" w:customStyle="1" w:styleId="landnamen">
    <w:name w:val="landnamen"/>
    <w:basedOn w:val="DefaultText"/>
    <w:pPr>
      <w:spacing w:line="144" w:lineRule="atLeast"/>
      <w:jc w:val="center"/>
    </w:pPr>
    <w:rPr>
      <w:b/>
      <w:smallCaps/>
      <w:color w:val="9C9D9F"/>
      <w:spacing w:val="-2"/>
      <w:sz w:val="11"/>
      <w:lang w:val="nl-NL"/>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urier New" w:eastAsia="Times New Roman" w:hAnsi="Courier New" w:cs="Courier New"/>
      <w:sz w:val="20"/>
      <w:szCs w:val="20"/>
      <w:lang w:val="nl-NL" w:eastAsia="nl-NL"/>
    </w:rPr>
  </w:style>
  <w:style w:type="character" w:customStyle="1" w:styleId="MacroTextChar">
    <w:name w:val="Macro Text Char"/>
    <w:basedOn w:val="DefaultParagraphFont"/>
    <w:link w:val="MacroText"/>
    <w:rPr>
      <w:rFonts w:ascii="Courier New" w:eastAsia="Times New Roman" w:hAnsi="Courier New" w:cs="Courier New"/>
      <w:sz w:val="20"/>
      <w:szCs w:val="20"/>
      <w:lang w:val="nl-NL" w:eastAsia="nl-NL"/>
    </w:rPr>
  </w:style>
  <w:style w:type="paragraph" w:customStyle="1" w:styleId="no-heading-blue-1">
    <w:name w:val="no-heading-blue-1"/>
    <w:basedOn w:val="DefaultText"/>
    <w:next w:val="DefaultText"/>
    <w:pPr>
      <w:keepNext/>
      <w:keepLines/>
      <w:pageBreakBefore/>
      <w:spacing w:after="840"/>
      <w:outlineLvl w:val="0"/>
    </w:pPr>
    <w:rPr>
      <w:b/>
      <w:color w:val="006DB6"/>
      <w:sz w:val="36"/>
      <w:lang w:val="nl-NL"/>
    </w:rPr>
  </w:style>
  <w:style w:type="paragraph" w:customStyle="1" w:styleId="no-heading-blue-2">
    <w:name w:val="no-heading-blue-2"/>
    <w:basedOn w:val="DefaultText"/>
    <w:next w:val="DefaultText"/>
    <w:pPr>
      <w:keepNext/>
      <w:keepLines/>
      <w:spacing w:after="280"/>
      <w:outlineLvl w:val="1"/>
    </w:pPr>
    <w:rPr>
      <w:color w:val="006DB6"/>
      <w:sz w:val="22"/>
      <w:lang w:val="nl-NL"/>
    </w:rPr>
  </w:style>
  <w:style w:type="paragraph" w:customStyle="1" w:styleId="no-heading-blue-3">
    <w:name w:val="no-heading-blue-3"/>
    <w:basedOn w:val="DefaultText"/>
    <w:next w:val="DefaultText"/>
    <w:pPr>
      <w:keepNext/>
      <w:keepLines/>
      <w:outlineLvl w:val="2"/>
    </w:pPr>
    <w:rPr>
      <w:b/>
      <w:color w:val="006DB6"/>
      <w:sz w:val="18"/>
      <w:lang w:val="nl-NL"/>
    </w:rPr>
  </w:style>
  <w:style w:type="paragraph" w:customStyle="1" w:styleId="no-heading-blue-4">
    <w:name w:val="no-heading-blue-4"/>
    <w:basedOn w:val="DefaultText"/>
    <w:next w:val="DefaultText"/>
    <w:pPr>
      <w:keepNext/>
      <w:keepLines/>
      <w:outlineLvl w:val="3"/>
    </w:pPr>
    <w:rPr>
      <w:i/>
      <w:color w:val="006DB6"/>
      <w:sz w:val="18"/>
      <w:lang w:val="nl-NL"/>
    </w:rPr>
  </w:style>
  <w:style w:type="character" w:styleId="PageNumber">
    <w:name w:val="page number"/>
    <w:basedOn w:val="DefaultParagraphFont"/>
    <w:uiPriority w:val="99"/>
    <w:rPr>
      <w:rFonts w:cs="Times New Roman"/>
    </w:rPr>
  </w:style>
  <w:style w:type="paragraph" w:customStyle="1" w:styleId="paginanummer">
    <w:name w:val="paginanummer"/>
    <w:basedOn w:val="DefaultText"/>
    <w:pPr>
      <w:spacing w:after="142" w:line="200" w:lineRule="atLeast"/>
      <w:jc w:val="center"/>
    </w:pPr>
    <w:rPr>
      <w:sz w:val="14"/>
      <w:lang w:val="nl-NL"/>
    </w:rPr>
  </w:style>
  <w:style w:type="paragraph" w:customStyle="1" w:styleId="paginanummering">
    <w:name w:val="paginanummering"/>
    <w:basedOn w:val="DefaultText"/>
    <w:pPr>
      <w:jc w:val="right"/>
    </w:pPr>
    <w:rPr>
      <w:sz w:val="14"/>
      <w:lang w:val="nl-NL"/>
    </w:rPr>
  </w:style>
  <w:style w:type="paragraph" w:customStyle="1" w:styleId="refdata-frontpage">
    <w:name w:val="refdata-frontpage"/>
    <w:basedOn w:val="DefaultText"/>
    <w:pPr>
      <w:spacing w:line="560" w:lineRule="atLeast"/>
    </w:pPr>
    <w:rPr>
      <w:color w:val="003C64"/>
      <w:sz w:val="22"/>
      <w:lang w:val="nl-NL"/>
    </w:rPr>
  </w:style>
  <w:style w:type="paragraph" w:customStyle="1" w:styleId="referentiegegevens">
    <w:name w:val="referentiegegevens"/>
    <w:basedOn w:val="DefaultText"/>
    <w:rPr>
      <w:sz w:val="18"/>
      <w:lang w:val="nl-NL"/>
    </w:rPr>
  </w:style>
  <w:style w:type="paragraph" w:customStyle="1" w:styleId="referentiekopjes">
    <w:name w:val="referentiekopjes"/>
    <w:basedOn w:val="DefaultText"/>
    <w:rPr>
      <w:sz w:val="14"/>
      <w:lang w:val="nl-NL"/>
    </w:rPr>
  </w:style>
  <w:style w:type="paragraph" w:customStyle="1" w:styleId="rubricering">
    <w:name w:val="rubricering"/>
    <w:basedOn w:val="DefaultText"/>
    <w:rPr>
      <w:color w:val="A0A5A5"/>
      <w:sz w:val="144"/>
      <w:lang w:val="nl-NL"/>
    </w:rPr>
  </w:style>
  <w:style w:type="paragraph" w:customStyle="1" w:styleId="slogan">
    <w:name w:val="slogan"/>
    <w:basedOn w:val="DefaultText"/>
    <w:rPr>
      <w:b/>
      <w:i/>
      <w:color w:val="006DB6"/>
      <w:sz w:val="22"/>
      <w:lang w:val="nl-NL"/>
    </w:rPr>
  </w:style>
  <w:style w:type="paragraph" w:customStyle="1" w:styleId="subtitle-inside">
    <w:name w:val="subtitle-inside"/>
    <w:basedOn w:val="DefaultText"/>
    <w:rPr>
      <w:sz w:val="24"/>
      <w:lang w:val="nl-NL"/>
    </w:rPr>
  </w:style>
  <w:style w:type="paragraph" w:customStyle="1" w:styleId="spacingtitleinside">
    <w:name w:val="spacingtitleinside"/>
    <w:basedOn w:val="subtitle-inside"/>
    <w:pPr>
      <w:spacing w:after="360" w:line="380" w:lineRule="atLeast"/>
    </w:pPr>
    <w:rPr>
      <w:sz w:val="72"/>
    </w:rPr>
  </w:style>
  <w:style w:type="paragraph" w:customStyle="1" w:styleId="subtitle-frontpage">
    <w:name w:val="subtitle-frontpage"/>
    <w:basedOn w:val="DefaultText"/>
    <w:next w:val="front-inbetween"/>
    <w:pPr>
      <w:spacing w:line="720" w:lineRule="atLeast"/>
    </w:pPr>
    <w:rPr>
      <w:color w:val="A0A5A5"/>
      <w:sz w:val="44"/>
      <w:lang w:val="nl-NL"/>
    </w:rPr>
  </w:style>
  <w:style w:type="paragraph" w:customStyle="1" w:styleId="tabelkop">
    <w:name w:val="tabelkop"/>
    <w:basedOn w:val="DefaultText"/>
    <w:pPr>
      <w:keepNext/>
      <w:keepLines/>
    </w:pPr>
    <w:rPr>
      <w:b/>
      <w:color w:val="FFFFFF"/>
      <w:sz w:val="16"/>
      <w:lang w:val="nl-NL"/>
    </w:rPr>
  </w:style>
  <w:style w:type="paragraph" w:customStyle="1" w:styleId="tabeltekst">
    <w:name w:val="tabeltekst"/>
    <w:basedOn w:val="DefaultText"/>
    <w:rPr>
      <w:color w:val="000000"/>
      <w:sz w:val="16"/>
      <w:lang w:val="nl-NL"/>
    </w:rPr>
  </w:style>
  <w:style w:type="paragraph" w:styleId="TableofAuthorities">
    <w:name w:val="table of authorities"/>
    <w:basedOn w:val="Normal"/>
    <w:next w:val="Normal"/>
    <w:pPr>
      <w:spacing w:after="0" w:line="280" w:lineRule="atLeast"/>
      <w:ind w:left="190" w:hanging="190"/>
    </w:pPr>
    <w:rPr>
      <w:rFonts w:ascii="Arial" w:eastAsia="Times New Roman" w:hAnsi="Arial" w:cs="Times New Roman"/>
      <w:sz w:val="18"/>
      <w:szCs w:val="24"/>
      <w:lang w:val="nl-NL" w:eastAsia="nl-NL"/>
    </w:rPr>
  </w:style>
  <w:style w:type="paragraph" w:styleId="TableofFigures">
    <w:name w:val="table of figures"/>
    <w:aliases w:val="List of of Figures"/>
    <w:basedOn w:val="Normal"/>
    <w:next w:val="DefaultText"/>
    <w:uiPriority w:val="99"/>
    <w:pPr>
      <w:spacing w:after="0" w:line="259" w:lineRule="auto"/>
      <w:ind w:left="400" w:hanging="400"/>
    </w:pPr>
    <w:rPr>
      <w:rFonts w:asciiTheme="minorHAnsi" w:eastAsia="Times New Roman" w:hAnsiTheme="minorHAnsi" w:cs="Times New Roman"/>
      <w:smallCaps/>
      <w:sz w:val="20"/>
      <w:szCs w:val="20"/>
      <w:lang w:val="en-US"/>
    </w:rPr>
  </w:style>
  <w:style w:type="paragraph" w:customStyle="1" w:styleId="table-header-zwart">
    <w:name w:val="table-header-zwart"/>
    <w:basedOn w:val="DefaultText"/>
    <w:pPr>
      <w:keepNext/>
      <w:keepLines/>
    </w:pPr>
    <w:rPr>
      <w:b/>
      <w:sz w:val="16"/>
      <w:lang w:val="nl-NL"/>
    </w:rPr>
  </w:style>
  <w:style w:type="paragraph" w:customStyle="1" w:styleId="table-header-blauw">
    <w:name w:val="table-header-blauw"/>
    <w:basedOn w:val="table-header-zwart"/>
    <w:rPr>
      <w:color w:val="006DB6"/>
    </w:rPr>
  </w:style>
  <w:style w:type="paragraph" w:customStyle="1" w:styleId="table-header-blauwgroen">
    <w:name w:val="table-header-blauwgroen"/>
    <w:basedOn w:val="table-header-zwart"/>
    <w:rPr>
      <w:color w:val="009696"/>
    </w:rPr>
  </w:style>
  <w:style w:type="paragraph" w:customStyle="1" w:styleId="table-header-donkerblauw">
    <w:name w:val="table-header-donkerblauw"/>
    <w:basedOn w:val="table-header-zwart"/>
    <w:rPr>
      <w:color w:val="003C64"/>
    </w:rPr>
  </w:style>
  <w:style w:type="paragraph" w:customStyle="1" w:styleId="table-header-grijs">
    <w:name w:val="table-header-grijs"/>
    <w:basedOn w:val="table-header-zwart"/>
    <w:rPr>
      <w:color w:val="A0A5A5"/>
    </w:rPr>
  </w:style>
  <w:style w:type="paragraph" w:customStyle="1" w:styleId="table-header-groen">
    <w:name w:val="table-header-groen"/>
    <w:basedOn w:val="table-header-zwart"/>
    <w:rPr>
      <w:color w:val="A0BE00"/>
    </w:rPr>
  </w:style>
  <w:style w:type="paragraph" w:customStyle="1" w:styleId="table-header-oranje">
    <w:name w:val="table-header-oranje"/>
    <w:basedOn w:val="table-header-zwart"/>
    <w:rPr>
      <w:color w:val="F49A00"/>
    </w:rPr>
  </w:style>
  <w:style w:type="paragraph" w:customStyle="1" w:styleId="table-header-paars">
    <w:name w:val="table-header-paars"/>
    <w:basedOn w:val="table-header-zwart"/>
    <w:rPr>
      <w:color w:val="980D7D"/>
    </w:rPr>
  </w:style>
  <w:style w:type="paragraph" w:customStyle="1" w:styleId="table-header-roze">
    <w:name w:val="table-header-roze"/>
    <w:basedOn w:val="table-header-zwart"/>
    <w:rPr>
      <w:color w:val="E30052"/>
    </w:rPr>
  </w:style>
  <w:style w:type="paragraph" w:customStyle="1" w:styleId="table-header-wit">
    <w:name w:val="table-header-wit"/>
    <w:basedOn w:val="table-header-zwart"/>
    <w:rPr>
      <w:color w:val="FFFFFF"/>
    </w:rPr>
  </w:style>
  <w:style w:type="paragraph" w:customStyle="1" w:styleId="tableofcontents">
    <w:name w:val="tableofcontents"/>
    <w:basedOn w:val="DefaultText"/>
    <w:next w:val="DefaultText"/>
    <w:rPr>
      <w:color w:val="006DB6"/>
      <w:sz w:val="36"/>
      <w:lang w:val="nl-NL"/>
    </w:rPr>
  </w:style>
  <w:style w:type="table" w:customStyle="1" w:styleId="table-style-zwart-000-outline">
    <w:name w:val="table-style-zwart-0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StyleCol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keepLines/>
      </w:pPr>
      <w:rPr>
        <w:rFonts w:ascii="Arial" w:hAnsi="Arial" w:cs="Times New Roman"/>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00-outline">
    <w:name w:val="table-style-blauw-0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pPr>
      <w:rPr>
        <w:rFonts w:ascii="Arial" w:hAnsi="Arial" w:cs="Times New Roman"/>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00-none">
    <w:name w:val="table-style-blauw-000-none"/>
    <w:basedOn w:val="table-style-blauw-000-outline"/>
    <w:tblPr>
      <w:tblStyleColBandSize w:val="1"/>
    </w:tblPr>
    <w:tblStylePr w:type="firstRow">
      <w:pPr>
        <w:keepNext/>
        <w:keepLines/>
      </w:pPr>
      <w:rPr>
        <w:rFonts w:ascii="Arial" w:hAnsi="Arial" w:cs="Times New Roman"/>
        <w:b/>
        <w:i w:val="0"/>
        <w:color w:val="006DB6"/>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40-outline">
    <w:name w:val="table-style-blauw-040-outline"/>
    <w:basedOn w:val="table-style-blauw-000-outline"/>
    <w:tblPr/>
    <w:tblStylePr w:type="firstRow">
      <w:pPr>
        <w:keepNext/>
        <w:keepLines/>
      </w:pPr>
      <w:rPr>
        <w:rFonts w:ascii="Arial" w:hAnsi="Arial" w:cs="Times New Roman"/>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40" w:color="A4BFE1" w:fill="A4BFE1"/>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40-none">
    <w:name w:val="table-style-blauw-040-none"/>
    <w:basedOn w:val="table-style-blauw-040-outline"/>
    <w:tblPr/>
    <w:tblStylePr w:type="firstRow">
      <w:pPr>
        <w:keepNext/>
        <w:keepLines/>
      </w:pPr>
      <w:rPr>
        <w:rFonts w:ascii="Arial" w:hAnsi="Arial" w:cs="Times New Roman"/>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70-outline">
    <w:name w:val="table-style-blauw-070-outline"/>
    <w:basedOn w:val="table-style-blauw-000-outline"/>
    <w:tblPr/>
    <w:tblStylePr w:type="firstRow">
      <w:pPr>
        <w:keepNext/>
        <w:keepLines/>
      </w:pPr>
      <w:rPr>
        <w:rFonts w:ascii="Arial" w:hAnsi="Arial" w:cs="Times New Roman"/>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70" w:color="4E93CA" w:fill="4E93C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070-none">
    <w:name w:val="table-style-blauw-070-none"/>
    <w:basedOn w:val="table-style-blauw-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100-outline">
    <w:name w:val="table-style-blauw-100-outline"/>
    <w:basedOn w:val="table-style-blauw-000-outline"/>
    <w:tblPr/>
    <w:tblStylePr w:type="firstRow">
      <w:pPr>
        <w:keepNext/>
        <w:keepLines/>
      </w:pPr>
      <w:rPr>
        <w:rFonts w:ascii="Arial" w:hAnsi="Arial" w:cs="Times New Roman"/>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rPr>
        <w:rFonts w:cs="Times New Roman"/>
      </w:rPr>
      <w:tblPr/>
      <w:tcPr>
        <w:tcBorders>
          <w:top w:val="single" w:sz="4" w:space="0" w:color="A6A6A6" w:themeColor="background1" w:themeShade="A6"/>
        </w:tcBorders>
      </w:tcPr>
    </w:tblStylePr>
    <w:tblStylePr w:type="band2Horz">
      <w:rPr>
        <w:rFonts w:cs="Times New Roman"/>
      </w:rPr>
      <w:tblPr/>
      <w:tcPr>
        <w:tcBorders>
          <w:top w:val="single" w:sz="4" w:space="0" w:color="A6A6A6" w:themeColor="background1" w:themeShade="A6"/>
        </w:tcBorders>
      </w:tcPr>
    </w:tblStylePr>
  </w:style>
  <w:style w:type="table" w:customStyle="1" w:styleId="table-style-blauw-100-none">
    <w:name w:val="table-style-blauw-100-none"/>
    <w:basedOn w:val="table-style-blauw-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6DB6" w:fill="006DB6"/>
      </w:tcPr>
    </w:tblStylePr>
    <w:tblStylePr w:type="band1Horz">
      <w:rPr>
        <w:rFonts w:cs="Times New Roman"/>
      </w:rPr>
      <w:tblPr/>
      <w:tcPr>
        <w:tcBorders>
          <w:top w:val="single" w:sz="4" w:space="0" w:color="A6A6A6" w:themeColor="background1" w:themeShade="A6"/>
        </w:tcBorders>
      </w:tcPr>
    </w:tblStylePr>
    <w:tblStylePr w:type="band2Horz">
      <w:rPr>
        <w:rFonts w:cs="Times New Roman"/>
      </w:rPr>
      <w:tblPr/>
      <w:tcPr>
        <w:tcBorders>
          <w:top w:val="single" w:sz="4" w:space="0" w:color="A6A6A6" w:themeColor="background1" w:themeShade="A6"/>
        </w:tcBorders>
      </w:tcPr>
    </w:tblStylePr>
  </w:style>
  <w:style w:type="table" w:customStyle="1" w:styleId="table-style-blauwgroen-000-outline">
    <w:name w:val="table-style-blauwgroen-0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9696"/>
        <w:left w:val="single" w:sz="6" w:space="0" w:color="009696"/>
        <w:bottom w:val="single" w:sz="6" w:space="0" w:color="009696"/>
        <w:right w:val="single" w:sz="6" w:space="0" w:color="009696"/>
        <w:insideV w:val="single" w:sz="6" w:space="0" w:color="009696"/>
      </w:tblBorders>
    </w:tblPr>
    <w:tblStylePr w:type="firstRow">
      <w:pPr>
        <w:keepNext/>
        <w:keepLines/>
      </w:pPr>
      <w:rPr>
        <w:rFonts w:ascii="Arial" w:hAnsi="Arial" w:cs="Times New Roman"/>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00-none">
    <w:name w:val="table-style-blauwgroen-000-none"/>
    <w:basedOn w:val="table-style-blauwgroen-000-outline"/>
    <w:tblPr>
      <w:tblStyleColBandSize w:val="1"/>
    </w:tblPr>
    <w:tblStylePr w:type="firstRow">
      <w:pPr>
        <w:keepNext/>
        <w:keepLines/>
      </w:pPr>
      <w:rPr>
        <w:rFonts w:ascii="Arial" w:hAnsi="Arial" w:cs="Times New Roman"/>
        <w:b/>
        <w:i w:val="0"/>
        <w:color w:val="009696"/>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40-outline">
    <w:name w:val="table-style-blauwgroen-040-outline"/>
    <w:basedOn w:val="table-style-blauwgroen-000-outline"/>
    <w:tblPr/>
    <w:tblStylePr w:type="firstRow">
      <w:pPr>
        <w:keepNext/>
        <w:keepLines/>
      </w:pPr>
      <w:rPr>
        <w:rFonts w:ascii="Arial" w:hAnsi="Arial" w:cs="Times New Roman"/>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40-none">
    <w:name w:val="table-style-blauwgroen-040-none"/>
    <w:basedOn w:val="table-style-blauwgroen-040-outline"/>
    <w:tblPr/>
    <w:tblStylePr w:type="firstRow">
      <w:pPr>
        <w:keepNext/>
        <w:keepLines/>
      </w:pPr>
      <w:rPr>
        <w:rFonts w:ascii="Arial" w:hAnsi="Arial" w:cs="Times New Roman"/>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70-outline">
    <w:name w:val="table-style-blauwgroen-070-outline"/>
    <w:basedOn w:val="table-style-blauwgroen-000-outline"/>
    <w:tblPr/>
    <w:tblStylePr w:type="firstRow">
      <w:pPr>
        <w:keepNext/>
        <w:keepLines/>
      </w:pPr>
      <w:rPr>
        <w:rFonts w:ascii="Arial" w:hAnsi="Arial" w:cs="Times New Roman"/>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070-none">
    <w:name w:val="table-style-blauwgroen-070-none"/>
    <w:basedOn w:val="table-style-blauwgroen-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100-outline">
    <w:name w:val="table-style-blauwgroen-100-outline"/>
    <w:basedOn w:val="table-style-blauwgroen-000-outline"/>
    <w:tblPr/>
    <w:tblStylePr w:type="firstRow">
      <w:pPr>
        <w:keepNext/>
        <w:keepLines/>
      </w:pPr>
      <w:rPr>
        <w:rFonts w:ascii="Arial" w:hAnsi="Arial" w:cs="Times New Roman"/>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blauwgroen-100-none">
    <w:name w:val="table-style-blauwgroen-100-none"/>
    <w:basedOn w:val="table-style-blauwgroen-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00-outline">
    <w:name w:val="table-style-donkerblauw-0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3C64"/>
        <w:left w:val="single" w:sz="6" w:space="0" w:color="003C64"/>
        <w:bottom w:val="single" w:sz="6" w:space="0" w:color="003C64"/>
        <w:right w:val="single" w:sz="6" w:space="0" w:color="003C64"/>
        <w:insideV w:val="single" w:sz="6" w:space="0" w:color="003C64"/>
      </w:tblBorders>
    </w:tblPr>
    <w:tblStylePr w:type="firstRow">
      <w:pPr>
        <w:keepNext/>
        <w:keepLines/>
      </w:pPr>
      <w:rPr>
        <w:rFonts w:ascii="Arial" w:hAnsi="Arial" w:cs="Times New Roman"/>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00-none">
    <w:name w:val="table-style-donkerblauw-000-none"/>
    <w:basedOn w:val="table-style-donkerblauw-000-outline"/>
    <w:tblPr>
      <w:tblStyleColBandSize w:val="1"/>
    </w:tblPr>
    <w:tblStylePr w:type="firstRow">
      <w:pPr>
        <w:keepNext/>
        <w:keepLines/>
      </w:pPr>
      <w:rPr>
        <w:rFonts w:ascii="Arial" w:hAnsi="Arial" w:cs="Times New Roman"/>
        <w:b/>
        <w:i w:val="0"/>
        <w:color w:val="003C64"/>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40-outline">
    <w:name w:val="table-style-donkerblauw-040-outline"/>
    <w:basedOn w:val="table-style-donkerblauw-000-outline"/>
    <w:tblPr/>
    <w:tblStylePr w:type="firstRow">
      <w:pPr>
        <w:keepNext/>
        <w:keepLines/>
      </w:pPr>
      <w:rPr>
        <w:rFonts w:ascii="Arial" w:hAnsi="Arial" w:cs="Times New Roman"/>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40-none">
    <w:name w:val="table-style-donkerblauw-040-none"/>
    <w:basedOn w:val="table-style-donkerblauw-040-outline"/>
    <w:tblPr/>
    <w:tblStylePr w:type="firstRow">
      <w:pPr>
        <w:keepNext/>
        <w:keepLines/>
      </w:pPr>
      <w:rPr>
        <w:rFonts w:ascii="Arial" w:hAnsi="Arial" w:cs="Times New Roman"/>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70-outline">
    <w:name w:val="table-style-donkerblauw-070-outline"/>
    <w:basedOn w:val="table-style-donkerblauw-000-outline"/>
    <w:tblPr/>
    <w:tblStylePr w:type="firstRow">
      <w:pPr>
        <w:keepNext/>
        <w:keepLines/>
      </w:pPr>
      <w:rPr>
        <w:rFonts w:ascii="Arial" w:hAnsi="Arial" w:cs="Times New Roman"/>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070-none">
    <w:name w:val="table-style-donkerblauw-070-none"/>
    <w:basedOn w:val="table-style-donkerblauw-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100-outline">
    <w:name w:val="table-style-donkerblauw-100-outline"/>
    <w:basedOn w:val="table-style-donkerblauw-000-outline"/>
    <w:tblPr/>
    <w:tblStylePr w:type="firstRow">
      <w:pPr>
        <w:keepNext/>
        <w:keepLines/>
      </w:pPr>
      <w:rPr>
        <w:rFonts w:ascii="Arial" w:hAnsi="Arial" w:cs="Times New Roman"/>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donkerblauw-100-none">
    <w:name w:val="table-style-donkerblauw-100-none"/>
    <w:basedOn w:val="table-style-donkerblauw-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00-outline">
    <w:name w:val="table-style-grijs-000-outline"/>
    <w:basedOn w:val="table-style-zwart-000-outline"/>
    <w:tblPr>
      <w:tblBorders>
        <w:top w:val="single" w:sz="6" w:space="0" w:color="A0A5A5"/>
        <w:left w:val="single" w:sz="6" w:space="0" w:color="A0A5A5"/>
        <w:bottom w:val="single" w:sz="6" w:space="0" w:color="A0A5A5"/>
        <w:right w:val="single" w:sz="6" w:space="0" w:color="A0A5A5"/>
        <w:insideV w:val="single" w:sz="6" w:space="0" w:color="A0A5A5"/>
      </w:tblBorders>
    </w:tblPr>
    <w:tblStylePr w:type="firstRow">
      <w:pPr>
        <w:keepNext/>
        <w:keepLines/>
      </w:pPr>
      <w:rPr>
        <w:rFonts w:ascii="Arial" w:hAnsi="Arial" w:cs="Times New Roman"/>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00-none">
    <w:name w:val="table-style-grijs-000-none"/>
    <w:basedOn w:val="table-style-grijs-000-outline"/>
    <w:tblPr/>
    <w:tblStylePr w:type="firstRow">
      <w:pPr>
        <w:keepNext/>
        <w:keepLines/>
      </w:pPr>
      <w:rPr>
        <w:rFonts w:ascii="Arial" w:hAnsi="Arial" w:cs="Times New Roman"/>
        <w:b/>
        <w:i w:val="0"/>
        <w:color w:val="A0A5A5"/>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40-outline">
    <w:name w:val="table-style-grijs-040-outline"/>
    <w:basedOn w:val="table-style-grijs-000-outline"/>
    <w:tblPr/>
    <w:tblStylePr w:type="firstRow">
      <w:pPr>
        <w:keepNext/>
        <w:keepLines/>
      </w:pPr>
      <w:rPr>
        <w:rFonts w:ascii="Arial" w:hAnsi="Arial" w:cs="Times New Roman"/>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40-none">
    <w:name w:val="table-style-grijs-040-none"/>
    <w:basedOn w:val="table-style-grijs-040-outline"/>
    <w:tblPr/>
    <w:tblStylePr w:type="firstRow">
      <w:pPr>
        <w:keepNext/>
        <w:keepLines/>
      </w:pPr>
      <w:rPr>
        <w:rFonts w:ascii="Arial" w:hAnsi="Arial" w:cs="Times New Roman"/>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70-outline">
    <w:name w:val="table-style-grijs-070-outline"/>
    <w:basedOn w:val="table-style-grijs-000-outline"/>
    <w:tblPr/>
    <w:tblStylePr w:type="firstRow">
      <w:pPr>
        <w:keepNext/>
        <w:keepLines/>
      </w:pPr>
      <w:rPr>
        <w:rFonts w:ascii="Arial" w:hAnsi="Arial" w:cs="Times New Roman"/>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070-none">
    <w:name w:val="table-style-grijs-070-none"/>
    <w:basedOn w:val="table-style-grijs-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100-outline">
    <w:name w:val="table-style-grijs-100-outline"/>
    <w:basedOn w:val="table-style-grijs-000-outline"/>
    <w:tblPr/>
    <w:tblStylePr w:type="firstRow">
      <w:pPr>
        <w:keepNext/>
        <w:keepLines/>
      </w:pPr>
      <w:rPr>
        <w:rFonts w:ascii="Arial" w:hAnsi="Arial" w:cs="Times New Roman"/>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ijs-100-none">
    <w:name w:val="table-style-grijs-100-none"/>
    <w:basedOn w:val="table-style-grijs-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00-outline">
    <w:name w:val="table-style-groen-000-outline"/>
    <w:basedOn w:val="table-style-zwart-000-outline"/>
    <w:tblPr>
      <w:tblBorders>
        <w:top w:val="single" w:sz="6" w:space="0" w:color="A0BE00"/>
        <w:left w:val="single" w:sz="6" w:space="0" w:color="A0BE00"/>
        <w:bottom w:val="single" w:sz="6" w:space="0" w:color="A0BE00"/>
        <w:right w:val="single" w:sz="6" w:space="0" w:color="A0BE00"/>
        <w:insideV w:val="single" w:sz="6" w:space="0" w:color="A0BE00"/>
      </w:tblBorders>
    </w:tblPr>
    <w:tblStylePr w:type="firstRow">
      <w:pPr>
        <w:keepNext/>
        <w:keepLines/>
      </w:pPr>
      <w:rPr>
        <w:rFonts w:ascii="Arial" w:hAnsi="Arial" w:cs="Times New Roman"/>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00-none">
    <w:name w:val="table-style-groen-000-none"/>
    <w:basedOn w:val="table-style-groen-000-outline"/>
    <w:tblPr/>
    <w:tblStylePr w:type="firstRow">
      <w:pPr>
        <w:keepNext/>
        <w:keepLines/>
      </w:pPr>
      <w:rPr>
        <w:rFonts w:ascii="Arial" w:hAnsi="Arial" w:cs="Times New Roman"/>
        <w:b/>
        <w:i w:val="0"/>
        <w:color w:val="A0BE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40-outline">
    <w:name w:val="table-style-groen-040-outline"/>
    <w:basedOn w:val="table-style-groen-000-outline"/>
    <w:tblPr/>
    <w:tblStylePr w:type="firstRow">
      <w:pPr>
        <w:keepNext/>
        <w:keepLines/>
      </w:pPr>
      <w:rPr>
        <w:rFonts w:ascii="Arial" w:hAnsi="Arial" w:cs="Times New Roman"/>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40-none">
    <w:name w:val="table-style-groen-040-none"/>
    <w:basedOn w:val="table-style-groen-040-outline"/>
    <w:tblPr/>
    <w:tblStylePr w:type="firstRow">
      <w:pPr>
        <w:keepNext/>
        <w:keepLines/>
      </w:pPr>
      <w:rPr>
        <w:rFonts w:ascii="Arial" w:hAnsi="Arial" w:cs="Times New Roman"/>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70-outline">
    <w:name w:val="table-style-groen-070-outline"/>
    <w:basedOn w:val="table-style-groen-000-outline"/>
    <w:tblPr/>
    <w:tblStylePr w:type="firstRow">
      <w:pPr>
        <w:keepNext/>
        <w:keepLines/>
      </w:pPr>
      <w:rPr>
        <w:rFonts w:ascii="Arial" w:hAnsi="Arial" w:cs="Times New Roman"/>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070-none">
    <w:name w:val="table-style-groen-070-none"/>
    <w:basedOn w:val="table-style-groen-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C0D46A" w:fill="C0D46A"/>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100-outline">
    <w:name w:val="table-style-groen-100-outline"/>
    <w:basedOn w:val="table-style-groen-000-outline"/>
    <w:tblPr/>
    <w:tblStylePr w:type="firstRow">
      <w:pPr>
        <w:keepNext/>
        <w:keepLines/>
      </w:pPr>
      <w:rPr>
        <w:rFonts w:ascii="Arial" w:hAnsi="Arial" w:cs="Times New Roman"/>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groen-100-none">
    <w:name w:val="table-style-groen-100-none"/>
    <w:basedOn w:val="table-style-groen-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00-outline">
    <w:name w:val="table-style-oranje-000-outline"/>
    <w:basedOn w:val="table-style-zwart-000-outline"/>
    <w:tblPr>
      <w:tblBorders>
        <w:top w:val="single" w:sz="6" w:space="0" w:color="F49A00"/>
        <w:left w:val="single" w:sz="6" w:space="0" w:color="F49A00"/>
        <w:bottom w:val="single" w:sz="6" w:space="0" w:color="F49A00"/>
        <w:right w:val="single" w:sz="6" w:space="0" w:color="F49A00"/>
        <w:insideV w:val="single" w:sz="6" w:space="0" w:color="F49A00"/>
      </w:tblBorders>
    </w:tblPr>
    <w:tblStylePr w:type="firstRow">
      <w:pPr>
        <w:keepNext/>
        <w:keepLines/>
      </w:pPr>
      <w:rPr>
        <w:rFonts w:ascii="Arial" w:hAnsi="Arial" w:cs="Times New Roman"/>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00-none">
    <w:name w:val="table-style-oranje-000-none"/>
    <w:basedOn w:val="table-style-oranje-000-outline"/>
    <w:tblPr/>
    <w:tblStylePr w:type="firstRow">
      <w:pPr>
        <w:keepNext/>
        <w:keepLines/>
      </w:pPr>
      <w:rPr>
        <w:rFonts w:ascii="Arial" w:hAnsi="Arial" w:cs="Times New Roman"/>
        <w:b/>
        <w:i w:val="0"/>
        <w:color w:val="F49A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40-outline">
    <w:name w:val="table-style-oranje-040-outline"/>
    <w:basedOn w:val="table-style-oranje-000-outline"/>
    <w:tblPr/>
    <w:tblStylePr w:type="firstRow">
      <w:pPr>
        <w:keepNext/>
        <w:keepLines/>
      </w:pPr>
      <w:rPr>
        <w:rFonts w:ascii="Arial" w:hAnsi="Arial" w:cs="Times New Roman"/>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40" w:color="FDD8A5" w:fill="FDD8A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40-none">
    <w:name w:val="table-style-oranje-040-none"/>
    <w:basedOn w:val="table-style-oranje-040-outline"/>
    <w:tblPr/>
    <w:tblStylePr w:type="firstRow">
      <w:pPr>
        <w:keepNext/>
        <w:keepLines/>
      </w:pPr>
      <w:rPr>
        <w:rFonts w:ascii="Arial" w:hAnsi="Arial" w:cs="Times New Roman"/>
        <w:b/>
        <w:i w:val="0"/>
        <w:color w:val="F49A00"/>
        <w:sz w:val="16"/>
      </w:rPr>
      <w:tblPr/>
      <w:tcPr>
        <w:tcBorders>
          <w:top w:val="nil"/>
          <w:left w:val="nil"/>
          <w:bottom w:val="nil"/>
          <w:right w:val="nil"/>
          <w:insideH w:val="nil"/>
          <w:insideV w:val="nil"/>
          <w:tl2br w:val="nil"/>
          <w:tr2bl w:val="nil"/>
        </w:tcBorders>
        <w:shd w:val="pct40" w:color="FDD8A5" w:fill="FDD8A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70-outline">
    <w:name w:val="table-style-oranje-070-outline"/>
    <w:basedOn w:val="table-style-oranje-000-outline"/>
    <w:tblPr/>
    <w:tblStylePr w:type="firstRow">
      <w:pPr>
        <w:keepNext/>
        <w:keepLines/>
      </w:pPr>
      <w:rPr>
        <w:rFonts w:ascii="Arial" w:hAnsi="Arial" w:cs="Times New Roman"/>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070-none">
    <w:name w:val="table-style-oranje-070-none"/>
    <w:basedOn w:val="table-style-oranje-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F9B95C" w:fill="F9B95C"/>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100-outline">
    <w:name w:val="table-style-oranje-100-outline"/>
    <w:basedOn w:val="table-style-oranje-000-outline"/>
    <w:tblPr/>
    <w:tblStylePr w:type="firstRow">
      <w:pPr>
        <w:keepNext/>
        <w:keepLines/>
      </w:pPr>
      <w:rPr>
        <w:rFonts w:ascii="Arial" w:hAnsi="Arial" w:cs="Times New Roman"/>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solid" w:color="F49A00" w:fill="F49A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oranje-100-none">
    <w:name w:val="table-style-oranje-100-none"/>
    <w:basedOn w:val="table-style-oranje-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00-outline">
    <w:name w:val="table-style-paars-000-outline"/>
    <w:basedOn w:val="table-style-zwart-000-outline"/>
    <w:tblPr>
      <w:tblBorders>
        <w:top w:val="single" w:sz="6" w:space="0" w:color="980D7D"/>
        <w:left w:val="single" w:sz="6" w:space="0" w:color="980D7D"/>
        <w:bottom w:val="single" w:sz="6" w:space="0" w:color="980D7D"/>
        <w:right w:val="single" w:sz="6" w:space="0" w:color="980D7D"/>
        <w:insideV w:val="single" w:sz="6" w:space="0" w:color="980D7D"/>
      </w:tblBorders>
    </w:tblPr>
    <w:tblStylePr w:type="firstRow">
      <w:pPr>
        <w:keepNext/>
        <w:keepLines/>
      </w:pPr>
      <w:rPr>
        <w:rFonts w:ascii="Arial" w:hAnsi="Arial" w:cs="Times New Roman"/>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00-none">
    <w:name w:val="table-style-paars-000-none"/>
    <w:basedOn w:val="table-style-paars-000-outline"/>
    <w:tblPr/>
    <w:tblStylePr w:type="firstRow">
      <w:pPr>
        <w:keepNext/>
        <w:keepLines/>
      </w:pPr>
      <w:rPr>
        <w:rFonts w:ascii="Arial" w:hAnsi="Arial" w:cs="Times New Roman"/>
        <w:b/>
        <w:i w:val="0"/>
        <w:color w:val="980D7D"/>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40-outline">
    <w:name w:val="table-style-paars-040-outline"/>
    <w:basedOn w:val="table-style-paars-000-outline"/>
    <w:tblPr/>
    <w:tblStylePr w:type="firstRow">
      <w:pPr>
        <w:keepNext/>
        <w:keepLines/>
      </w:pPr>
      <w:rPr>
        <w:rFonts w:ascii="Arial" w:hAnsi="Arial" w:cs="Times New Roman"/>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40" w:color="D2AACC" w:fill="D2AACC"/>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40-none">
    <w:name w:val="table-style-paars-040-none"/>
    <w:basedOn w:val="table-style-paars-040-outline"/>
    <w:tblPr/>
    <w:tblStylePr w:type="firstRow">
      <w:pPr>
        <w:keepNext/>
        <w:keepLines/>
      </w:pPr>
      <w:rPr>
        <w:rFonts w:ascii="Arial" w:hAnsi="Arial" w:cs="Times New Roman"/>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70-outline">
    <w:name w:val="table-style-paars-070-outline"/>
    <w:basedOn w:val="table-style-paars-000-outline"/>
    <w:tblPr/>
    <w:tblStylePr w:type="firstRow">
      <w:pPr>
        <w:keepNext/>
        <w:keepLines/>
      </w:pPr>
      <w:rPr>
        <w:rFonts w:ascii="Arial" w:hAnsi="Arial" w:cs="Times New Roman"/>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70" w:color="B466A1" w:fill="B466A1"/>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070-none">
    <w:name w:val="table-style-paars-070-none"/>
    <w:basedOn w:val="table-style-paars-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B466A1" w:fill="B466A1"/>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100-outline">
    <w:name w:val="table-style-paars-100-outline"/>
    <w:basedOn w:val="table-style-paars-000-outline"/>
    <w:tblPr/>
    <w:tblStylePr w:type="firstRow">
      <w:pPr>
        <w:keepNext/>
        <w:keepLines/>
      </w:pPr>
      <w:rPr>
        <w:rFonts w:ascii="Arial" w:hAnsi="Arial" w:cs="Times New Roman"/>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solid" w:color="980D7D" w:fill="980D7D"/>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paars-100-none">
    <w:name w:val="table-style-paars-100-none"/>
    <w:basedOn w:val="table-style-paars-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980D7D" w:fill="980D7D"/>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00-outline">
    <w:name w:val="table-style-roze-000-outline"/>
    <w:basedOn w:val="table-style-zwart-000-outline"/>
    <w:tblPr>
      <w:tblBorders>
        <w:top w:val="single" w:sz="6" w:space="0" w:color="E30052"/>
        <w:left w:val="single" w:sz="6" w:space="0" w:color="E30052"/>
        <w:bottom w:val="single" w:sz="6" w:space="0" w:color="E30052"/>
        <w:right w:val="single" w:sz="6" w:space="0" w:color="E30052"/>
        <w:insideV w:val="single" w:sz="6" w:space="0" w:color="E30052"/>
      </w:tblBorders>
    </w:tblPr>
    <w:tblStylePr w:type="firstRow">
      <w:pPr>
        <w:keepNext/>
        <w:keepLines/>
      </w:pPr>
      <w:rPr>
        <w:rFonts w:ascii="Arial" w:hAnsi="Arial" w:cs="Times New Roman"/>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00-none">
    <w:name w:val="table-style-roze-000-none"/>
    <w:basedOn w:val="table-style-roze-000-outline"/>
    <w:tblPr/>
    <w:tblStylePr w:type="firstRow">
      <w:pPr>
        <w:keepNext/>
        <w:keepLines/>
      </w:pPr>
      <w:rPr>
        <w:rFonts w:ascii="Arial" w:hAnsi="Arial" w:cs="Times New Roman"/>
        <w:b/>
        <w:i w:val="0"/>
        <w:color w:val="E30052"/>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40-outline">
    <w:name w:val="table-style-roze-040-outline"/>
    <w:basedOn w:val="table-style-roze-000-outline"/>
    <w:tblPr/>
    <w:tblStylePr w:type="firstRow">
      <w:pPr>
        <w:keepNext/>
        <w:keepLines/>
      </w:pPr>
      <w:rPr>
        <w:rFonts w:ascii="Arial" w:hAnsi="Arial" w:cs="Times New Roman"/>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40-none">
    <w:name w:val="table-style-roze-040-none"/>
    <w:basedOn w:val="table-style-roze-040-outline"/>
    <w:tblPr/>
    <w:tblStylePr w:type="firstRow">
      <w:pPr>
        <w:keepNext/>
        <w:keepLines/>
      </w:pPr>
      <w:rPr>
        <w:rFonts w:ascii="Arial" w:hAnsi="Arial" w:cs="Times New Roman"/>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70-outline">
    <w:name w:val="table-style-roze-070-outline"/>
    <w:basedOn w:val="table-style-roze-000-outline"/>
    <w:tblPr/>
    <w:tblStylePr w:type="firstRow">
      <w:pPr>
        <w:keepNext/>
        <w:keepLines/>
      </w:pPr>
      <w:rPr>
        <w:rFonts w:ascii="Arial" w:hAnsi="Arial" w:cs="Times New Roman"/>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070-none">
    <w:name w:val="table-style-roze-070-none"/>
    <w:basedOn w:val="table-style-roze-07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100-outline">
    <w:name w:val="table-style-roze-100-outline"/>
    <w:basedOn w:val="table-style-roze-000-outline"/>
    <w:tblPr/>
    <w:tblStylePr w:type="firstRow">
      <w:pPr>
        <w:keepNext/>
        <w:keepLines/>
      </w:pPr>
      <w:rPr>
        <w:rFonts w:ascii="Arial" w:hAnsi="Arial" w:cs="Times New Roman"/>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roze-100-none">
    <w:name w:val="table-style-roze-100-none"/>
    <w:basedOn w:val="table-style-roze-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00-none">
    <w:name w:val="table-style-zwart-000-none"/>
    <w:basedOn w:val="table-style-zwart-000-outline"/>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tcPr>
    </w:tblStylePr>
    <w:tblStylePr w:type="band1Vert">
      <w:rPr>
        <w:rFonts w:cs="Times New Roman"/>
      </w:rPr>
      <w:tblPr/>
      <w:tcPr>
        <w:tcBorders>
          <w:top w:val="nil"/>
          <w:left w:val="nil"/>
          <w:bottom w:val="nil"/>
          <w:right w:val="nil"/>
          <w:insideH w:val="nil"/>
          <w:insideV w:val="nil"/>
          <w:tl2br w:val="nil"/>
          <w:tr2bl w:val="nil"/>
        </w:tcBorders>
      </w:tcPr>
    </w:tblStylePr>
    <w:tblStylePr w:type="band2Vert">
      <w:rPr>
        <w:rFonts w:cs="Times New Roman"/>
      </w:rPr>
      <w:tblPr/>
      <w:tcPr>
        <w:tcBorders>
          <w:top w:val="nil"/>
          <w:left w:val="nil"/>
          <w:bottom w:val="nil"/>
          <w:right w:val="nil"/>
          <w:insideH w:val="nil"/>
          <w:insideV w:val="nil"/>
          <w:tl2br w:val="nil"/>
          <w:tr2bl w:val="nil"/>
        </w:tcBorders>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40-outline">
    <w:name w:val="table-style-zwart-040-outline"/>
    <w:basedOn w:val="table-style-zwart-000-outline"/>
    <w:tblPr/>
    <w:tblStylePr w:type="firstRow">
      <w:pPr>
        <w:keepNext/>
        <w:keepLines/>
      </w:pPr>
      <w:rPr>
        <w:rFonts w:ascii="Arial" w:hAnsi="Arial" w:cs="Times New Roman"/>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40-none">
    <w:name w:val="table-style-zwart-040-none"/>
    <w:basedOn w:val="table-style-zwart-040-outline"/>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70-outline">
    <w:name w:val="table-style-zwart-070-outline"/>
    <w:basedOn w:val="table-style-zwart-000-outline"/>
    <w:tblPr/>
    <w:tblStylePr w:type="firstRow">
      <w:pPr>
        <w:keepNext/>
        <w:keepLines/>
      </w:pPr>
      <w:rPr>
        <w:rFonts w:ascii="Arial" w:hAnsi="Arial" w:cs="Times New Roman"/>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070-none">
    <w:name w:val="table-style-zwart-070-none"/>
    <w:basedOn w:val="table-style-zwart-070-outline"/>
    <w:tblPr/>
    <w:tblStylePr w:type="firstRow">
      <w:pPr>
        <w:keepNext/>
        <w:keepLines/>
      </w:pPr>
      <w:rPr>
        <w:rFonts w:ascii="Arial" w:hAnsi="Arial" w:cs="Times New Roman"/>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100-outline">
    <w:name w:val="table-style-zwart-100-outline"/>
    <w:basedOn w:val="table-style-zwart-000-outline"/>
    <w:tblPr/>
    <w:tblStylePr w:type="firstRow">
      <w:pPr>
        <w:keepNext/>
        <w:keepLines/>
      </w:pPr>
      <w:rPr>
        <w:rFonts w:ascii="Arial" w:hAnsi="Arial" w:cs="Times New Roman"/>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table" w:customStyle="1" w:styleId="table-style-zwart-100-none">
    <w:name w:val="table-style-zwart-100-none"/>
    <w:basedOn w:val="table-style-zwart-100-outline"/>
    <w:tblPr/>
    <w:tblStylePr w:type="firstRow">
      <w:pPr>
        <w:keepNext/>
        <w:keepLines/>
      </w:pPr>
      <w:rPr>
        <w:rFonts w:ascii="Arial" w:hAnsi="Arial" w:cs="Times New Roman"/>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rPr>
        <w:rFonts w:cs="Times New Roman"/>
      </w:rPr>
      <w:tblPr/>
      <w:tcPr>
        <w:tcBorders>
          <w:top w:val="single" w:sz="6" w:space="0" w:color="A6A6A6" w:themeColor="background1" w:themeShade="A6"/>
        </w:tcBorders>
      </w:tcPr>
    </w:tblStylePr>
    <w:tblStylePr w:type="band2Horz">
      <w:rPr>
        <w:rFonts w:cs="Times New Roman"/>
      </w:rPr>
      <w:tblPr/>
      <w:tcPr>
        <w:tcBorders>
          <w:top w:val="single" w:sz="6" w:space="0" w:color="A6A6A6" w:themeColor="background1" w:themeShade="A6"/>
        </w:tcBorders>
      </w:tcPr>
    </w:tblStylePr>
  </w:style>
  <w:style w:type="paragraph" w:customStyle="1" w:styleId="table-text">
    <w:name w:val="table-text"/>
    <w:basedOn w:val="DefaultText"/>
    <w:rPr>
      <w:sz w:val="16"/>
      <w:lang w:val="nl-NL"/>
    </w:rPr>
  </w:style>
  <w:style w:type="paragraph" w:customStyle="1" w:styleId="title-frontpage">
    <w:name w:val="title-frontpage"/>
    <w:basedOn w:val="DefaultText"/>
    <w:next w:val="subtitle-frontpage"/>
    <w:pPr>
      <w:spacing w:line="720" w:lineRule="atLeast"/>
    </w:pPr>
    <w:rPr>
      <w:b/>
      <w:color w:val="003C64"/>
      <w:sz w:val="52"/>
      <w:lang w:val="nl-NL"/>
    </w:rPr>
  </w:style>
  <w:style w:type="paragraph" w:customStyle="1" w:styleId="title-inside">
    <w:name w:val="title-inside"/>
    <w:basedOn w:val="DefaultText"/>
    <w:pPr>
      <w:spacing w:line="600" w:lineRule="atLeast"/>
    </w:pPr>
    <w:rPr>
      <w:b/>
      <w:color w:val="006DB6"/>
      <w:sz w:val="48"/>
      <w:lang w:val="nl-NL"/>
    </w:rPr>
  </w:style>
  <w:style w:type="paragraph" w:styleId="TOAHeading">
    <w:name w:val="toa heading"/>
    <w:basedOn w:val="Normal"/>
    <w:next w:val="Normal"/>
    <w:pPr>
      <w:spacing w:before="120" w:after="0" w:line="280" w:lineRule="atLeast"/>
    </w:pPr>
    <w:rPr>
      <w:rFonts w:ascii="Arial" w:eastAsia="Times New Roman" w:hAnsi="Arial" w:cs="Arial"/>
      <w:b/>
      <w:bCs/>
      <w:szCs w:val="24"/>
      <w:lang w:val="nl-NL" w:eastAsia="nl-NL"/>
    </w:rPr>
  </w:style>
  <w:style w:type="paragraph" w:styleId="TOC5">
    <w:name w:val="toc 5"/>
    <w:basedOn w:val="Normal"/>
    <w:next w:val="Normal"/>
    <w:uiPriority w:val="99"/>
    <w:pPr>
      <w:tabs>
        <w:tab w:val="right" w:leader="dot" w:pos="8641"/>
      </w:tabs>
      <w:spacing w:before="240" w:after="120" w:line="259" w:lineRule="auto"/>
      <w:ind w:right="720"/>
      <w:jc w:val="both"/>
    </w:pPr>
    <w:rPr>
      <w:rFonts w:ascii="Verdana" w:eastAsia="Times New Roman" w:hAnsi="Verdana" w:cs="Times New Roman"/>
      <w:caps/>
      <w:sz w:val="18"/>
      <w:szCs w:val="20"/>
      <w:lang w:val="fr-FR"/>
    </w:rPr>
  </w:style>
  <w:style w:type="paragraph" w:styleId="TOC6">
    <w:name w:val="toc 6"/>
    <w:basedOn w:val="Normal"/>
    <w:next w:val="Normal"/>
    <w:autoRedefine/>
    <w:uiPriority w:val="99"/>
    <w:pPr>
      <w:spacing w:after="240" w:line="259" w:lineRule="auto"/>
      <w:ind w:left="1200"/>
      <w:jc w:val="both"/>
    </w:pPr>
    <w:rPr>
      <w:rFonts w:eastAsia="Times New Roman" w:cs="Times New Roman"/>
      <w:szCs w:val="20"/>
      <w:lang w:val="fr-FR"/>
    </w:rPr>
  </w:style>
  <w:style w:type="paragraph" w:styleId="TOC7">
    <w:name w:val="toc 7"/>
    <w:basedOn w:val="DefaultText"/>
    <w:next w:val="DefaultText"/>
    <w:autoRedefine/>
    <w:uiPriority w:val="39"/>
    <w:pPr>
      <w:tabs>
        <w:tab w:val="left" w:pos="340"/>
        <w:tab w:val="left" w:pos="680"/>
        <w:tab w:val="right" w:pos="7938"/>
      </w:tabs>
      <w:ind w:left="340"/>
    </w:pPr>
    <w:rPr>
      <w:sz w:val="18"/>
      <w:lang w:val="nl-NL"/>
    </w:rPr>
  </w:style>
  <w:style w:type="paragraph" w:styleId="TOC8">
    <w:name w:val="toc 8"/>
    <w:basedOn w:val="Normal"/>
    <w:next w:val="Normal"/>
    <w:autoRedefine/>
    <w:uiPriority w:val="39"/>
    <w:pPr>
      <w:spacing w:after="0" w:line="280" w:lineRule="atLeast"/>
      <w:ind w:left="1330"/>
    </w:pPr>
    <w:rPr>
      <w:rFonts w:ascii="Arial" w:eastAsia="Times New Roman" w:hAnsi="Arial" w:cs="Times New Roman"/>
      <w:sz w:val="18"/>
      <w:szCs w:val="24"/>
      <w:lang w:val="nl-NL" w:eastAsia="nl-NL"/>
    </w:rPr>
  </w:style>
  <w:style w:type="paragraph" w:styleId="TOC9">
    <w:name w:val="toc 9"/>
    <w:basedOn w:val="Normal"/>
    <w:next w:val="Normal"/>
    <w:autoRedefine/>
    <w:uiPriority w:val="39"/>
    <w:pPr>
      <w:spacing w:after="0" w:line="280" w:lineRule="atLeast"/>
      <w:ind w:left="1520"/>
    </w:pPr>
    <w:rPr>
      <w:rFonts w:ascii="Arial" w:eastAsia="Times New Roman" w:hAnsi="Arial" w:cs="Times New Roman"/>
      <w:sz w:val="18"/>
      <w:szCs w:val="24"/>
      <w:lang w:val="nl-NL" w:eastAsia="nl-NL"/>
    </w:rPr>
  </w:style>
  <w:style w:type="paragraph" w:customStyle="1" w:styleId="voettekst-titel-links">
    <w:name w:val="voettekst-titel-links"/>
    <w:basedOn w:val="DefaultText"/>
    <w:pPr>
      <w:spacing w:after="140" w:line="200" w:lineRule="atLeast"/>
    </w:pPr>
    <w:rPr>
      <w:sz w:val="14"/>
      <w:lang w:val="nl-NL"/>
    </w:rPr>
  </w:style>
  <w:style w:type="paragraph" w:customStyle="1" w:styleId="voettekst-titel-rechts">
    <w:name w:val="voettekst-titel-rechts"/>
    <w:basedOn w:val="DefaultText"/>
    <w:uiPriority w:val="99"/>
    <w:pPr>
      <w:spacing w:before="178" w:line="240" w:lineRule="atLeast"/>
      <w:ind w:right="851"/>
      <w:jc w:val="right"/>
    </w:pPr>
    <w:rPr>
      <w:sz w:val="14"/>
      <w:lang w:val="nl-NL"/>
    </w:rPr>
  </w:style>
  <w:style w:type="paragraph" w:customStyle="1" w:styleId="list-bullet-color">
    <w:name w:val="list-bullet-color"/>
    <w:basedOn w:val="DefaultText"/>
    <w:link w:val="list-bullet-colorChar"/>
    <w:pPr>
      <w:numPr>
        <w:numId w:val="34"/>
      </w:numPr>
    </w:pPr>
    <w:rPr>
      <w:sz w:val="18"/>
      <w:lang w:val="nl-NL"/>
    </w:rPr>
  </w:style>
  <w:style w:type="character" w:customStyle="1" w:styleId="list-bullet-colorChar">
    <w:name w:val="list-bullet-color Char"/>
    <w:basedOn w:val="DefaultTextChar"/>
    <w:link w:val="list-bullet-color"/>
    <w:locked/>
    <w:rPr>
      <w:rFonts w:ascii="Arial" w:eastAsia="Times New Roman" w:hAnsi="Arial" w:cs="Times New Roman"/>
      <w:sz w:val="18"/>
      <w:szCs w:val="24"/>
      <w:lang w:val="nl-NL" w:eastAsia="nl-NL"/>
    </w:rPr>
  </w:style>
  <w:style w:type="paragraph" w:customStyle="1" w:styleId="list-bullet-black">
    <w:name w:val="list-bullet-black"/>
    <w:basedOn w:val="DefaultText"/>
    <w:link w:val="list-bullet-blackChar"/>
    <w:pPr>
      <w:numPr>
        <w:numId w:val="35"/>
      </w:numPr>
    </w:pPr>
    <w:rPr>
      <w:sz w:val="18"/>
      <w:lang w:val="nl-NL"/>
    </w:rPr>
  </w:style>
  <w:style w:type="character" w:customStyle="1" w:styleId="list-bullet-blackChar">
    <w:name w:val="list-bullet-black Char"/>
    <w:basedOn w:val="DefaultTextChar"/>
    <w:link w:val="list-bullet-black"/>
    <w:locked/>
    <w:rPr>
      <w:rFonts w:ascii="Arial" w:eastAsia="Times New Roman" w:hAnsi="Arial" w:cs="Times New Roman"/>
      <w:sz w:val="18"/>
      <w:szCs w:val="24"/>
      <w:lang w:val="nl-NL" w:eastAsia="nl-NL"/>
    </w:rPr>
  </w:style>
  <w:style w:type="paragraph" w:customStyle="1" w:styleId="list-number-black">
    <w:name w:val="list-number-black"/>
    <w:basedOn w:val="DefaultText"/>
    <w:link w:val="list-number-blackChar"/>
    <w:pPr>
      <w:numPr>
        <w:numId w:val="36"/>
      </w:numPr>
    </w:pPr>
    <w:rPr>
      <w:sz w:val="18"/>
      <w:lang w:val="nl-NL"/>
    </w:rPr>
  </w:style>
  <w:style w:type="character" w:customStyle="1" w:styleId="list-number-blackChar">
    <w:name w:val="list-number-black Char"/>
    <w:basedOn w:val="DefaultTextChar"/>
    <w:link w:val="list-number-black"/>
    <w:locked/>
    <w:rPr>
      <w:rFonts w:ascii="Arial" w:eastAsia="Times New Roman" w:hAnsi="Arial" w:cs="Times New Roman"/>
      <w:sz w:val="18"/>
      <w:szCs w:val="24"/>
      <w:lang w:val="nl-NL" w:eastAsia="nl-NL"/>
    </w:rPr>
  </w:style>
  <w:style w:type="paragraph" w:customStyle="1" w:styleId="list-number-color">
    <w:name w:val="list-number-color"/>
    <w:basedOn w:val="DefaultText"/>
    <w:link w:val="list-number-colorChar"/>
    <w:pPr>
      <w:numPr>
        <w:numId w:val="37"/>
      </w:numPr>
    </w:pPr>
    <w:rPr>
      <w:sz w:val="18"/>
      <w:lang w:val="nl-NL"/>
    </w:rPr>
  </w:style>
  <w:style w:type="character" w:customStyle="1" w:styleId="list-number-colorChar">
    <w:name w:val="list-number-color Char"/>
    <w:basedOn w:val="DefaultTextChar"/>
    <w:link w:val="list-number-color"/>
    <w:locked/>
    <w:rPr>
      <w:rFonts w:ascii="Arial" w:eastAsia="Times New Roman" w:hAnsi="Arial" w:cs="Times New Roman"/>
      <w:sz w:val="18"/>
      <w:szCs w:val="24"/>
      <w:lang w:val="nl-NL" w:eastAsia="nl-NL"/>
    </w:rPr>
  </w:style>
  <w:style w:type="table" w:styleId="LightList-Accent1">
    <w:name w:val="Light List Accent 1"/>
    <w:basedOn w:val="TableNormal"/>
    <w:uiPriority w:val="61"/>
    <w:pPr>
      <w:spacing w:after="0" w:line="240" w:lineRule="auto"/>
    </w:pPr>
    <w:rPr>
      <w:rFonts w:eastAsia="Times New Roman" w:cs="Times New Roman"/>
      <w:lang w:val="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pPr>
      <w:spacing w:after="0" w:line="240" w:lineRule="auto"/>
    </w:pPr>
    <w:rPr>
      <w:rFonts w:ascii="Arial" w:eastAsia="Times New Roman" w:hAnsi="Arial" w:cs="Times New Roman"/>
      <w:sz w:val="18"/>
      <w:szCs w:val="24"/>
      <w:lang w:val="nl-NL" w:eastAsia="nl-NL"/>
    </w:rPr>
  </w:style>
  <w:style w:type="table" w:customStyle="1" w:styleId="ListTable4-Accent21">
    <w:name w:val="List Table 4 - Accent 2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
    <w:name w:val="Plain Table 11"/>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Accent11">
    <w:name w:val="Grid Table 4 - Accent 11"/>
    <w:basedOn w:val="TableNormal"/>
    <w:uiPriority w:val="49"/>
    <w:pPr>
      <w:spacing w:after="0" w:line="240" w:lineRule="auto"/>
    </w:pPr>
    <w:rPr>
      <w:rFonts w:eastAsia="Times New Roman" w:cs="Times New Roman"/>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Accent12">
    <w:name w:val="Grid Table 4 - Accent 12"/>
    <w:basedOn w:val="TableNormal"/>
    <w:uiPriority w:val="49"/>
    <w:pPr>
      <w:spacing w:after="0" w:line="240" w:lineRule="auto"/>
      <w:jc w:val="center"/>
    </w:pPr>
    <w:rPr>
      <w:rFonts w:ascii="Verdana" w:eastAsia="Times New Roman" w:hAnsi="Verdana"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rPr>
        <w:rFonts w:cs="Times New Roman"/>
        <w:b/>
        <w:bCs/>
        <w:color w:val="FFFFFF" w:themeColor="background1"/>
      </w:rPr>
      <w:tblPr/>
      <w:tcPr>
        <w:shd w:val="clear" w:color="auto" w:fill="002395"/>
      </w:tcPr>
    </w:tblStylePr>
    <w:tblStylePr w:type="lastRow">
      <w:rPr>
        <w:rFonts w:cs="Times New Roman"/>
        <w:b/>
        <w:bCs/>
      </w:rPr>
      <w:tblPr/>
      <w:tcPr>
        <w:tcBorders>
          <w:top w:val="double" w:sz="4" w:space="0" w:color="4F81BD" w:themeColor="accent1"/>
        </w:tcBorders>
      </w:tcPr>
    </w:tblStylePr>
    <w:tblStylePr w:type="firstCol">
      <w:rPr>
        <w:rFonts w:cs="Times New Roman"/>
        <w:b/>
        <w:bCs/>
      </w:rPr>
      <w:tblPr/>
      <w:tcPr>
        <w:shd w:val="clear" w:color="auto" w:fill="002395"/>
      </w:tcPr>
    </w:tblStylePr>
    <w:tblStylePr w:type="lastCol">
      <w:rPr>
        <w:rFonts w:cs="Times New Roman"/>
        <w:b w:val="0"/>
        <w:bCs/>
      </w:rPr>
    </w:tblStylePr>
    <w:tblStylePr w:type="band1Vert">
      <w:rPr>
        <w:rFonts w:cs="Times New Roman"/>
      </w:rPr>
      <w:tblPr/>
      <w:tcPr>
        <w:shd w:val="clear" w:color="auto" w:fill="F2F2F2"/>
      </w:tcPr>
    </w:tblStylePr>
    <w:tblStylePr w:type="band2Vert">
      <w:tblPr/>
      <w:tcPr>
        <w:shd w:val="clear" w:color="auto" w:fill="F2F2F2"/>
      </w:tcPr>
    </w:tblStylePr>
    <w:tblStylePr w:type="band1Horz">
      <w:rPr>
        <w:rFonts w:cs="Times New Roman"/>
      </w:rPr>
      <w:tblPr/>
      <w:tcPr>
        <w:shd w:val="clear" w:color="auto" w:fill="F2F2F2"/>
      </w:tcPr>
    </w:tblStylePr>
    <w:tblStylePr w:type="band2Horz">
      <w:tblPr/>
      <w:tcPr>
        <w:shd w:val="clear" w:color="auto" w:fill="F2F2F2"/>
      </w:tcPr>
    </w:tblStylePr>
  </w:style>
  <w:style w:type="table" w:customStyle="1" w:styleId="ListTable4-Accent11">
    <w:name w:val="List Table 4 - Accent 1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character" w:styleId="HTMLCite">
    <w:name w:val="HTML Cite"/>
    <w:basedOn w:val="DefaultParagraphFont"/>
    <w:uiPriority w:val="99"/>
    <w:semiHidden/>
    <w:unhideWhenUsed/>
    <w:rPr>
      <w:rFonts w:cs="Times New Roman"/>
      <w:i/>
      <w:iCs/>
    </w:rPr>
  </w:style>
  <w:style w:type="numbering" w:customStyle="1" w:styleId="list-heading-blue">
    <w:name w:val="list-heading-blue"/>
    <w:pPr>
      <w:numPr>
        <w:numId w:val="33"/>
      </w:numPr>
    </w:pPr>
  </w:style>
  <w:style w:type="paragraph" w:customStyle="1" w:styleId="Paragrafoelenco1">
    <w:name w:val="Paragrafo elenco1"/>
    <w:basedOn w:val="Normal"/>
    <w:pPr>
      <w:spacing w:after="0"/>
      <w:ind w:left="720"/>
      <w:contextualSpacing/>
    </w:pPr>
    <w:rPr>
      <w:rFonts w:eastAsia="Times New Roman"/>
      <w:snapToGrid w:val="0"/>
      <w:lang w:val="en-US"/>
    </w:rPr>
  </w:style>
  <w:style w:type="table" w:customStyle="1" w:styleId="ECStyle">
    <w:name w:val="EC Style"/>
    <w:basedOn w:val="TableNormal"/>
    <w:uiPriority w:val="49"/>
    <w:pPr>
      <w:spacing w:after="0" w:line="240" w:lineRule="auto"/>
      <w:jc w:val="center"/>
    </w:pPr>
    <w:rPr>
      <w:rFonts w:ascii="Verdana" w:eastAsia="Times New Roman" w:hAnsi="Verdana" w:cs="Times New Roman"/>
      <w:lang w:val="en-US"/>
    </w:rPr>
    <w:tblPr>
      <w:tblStyleRowBandSize w:val="1"/>
      <w:tblStyleColBandSize w:val="1"/>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FFFFFF" w:themeFill="background1"/>
      <w:vAlign w:val="center"/>
    </w:tc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Accent121">
    <w:name w:val="Grid Table 4 - Accent 12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6DC5B6"/>
        <w:left w:val="single" w:sz="4" w:space="0" w:color="6DC5B6"/>
        <w:bottom w:val="single" w:sz="4" w:space="0" w:color="6DC5B6"/>
        <w:right w:val="single" w:sz="4" w:space="0" w:color="6DC5B6"/>
        <w:insideH w:val="single" w:sz="4" w:space="0" w:color="6DC5B6"/>
        <w:insideV w:val="single" w:sz="4" w:space="0" w:color="6DC5B6"/>
      </w:tblBorders>
    </w:tblPr>
    <w:tblStylePr w:type="firstRow">
      <w:rPr>
        <w:rFonts w:cs="Times New Roman"/>
        <w:b/>
        <w:bCs/>
        <w:color w:val="FFFFFF"/>
      </w:rPr>
      <w:tblPr/>
      <w:tcPr>
        <w:tcBorders>
          <w:top w:val="single" w:sz="4" w:space="0" w:color="317C6F"/>
          <w:left w:val="single" w:sz="4" w:space="0" w:color="317C6F"/>
          <w:bottom w:val="single" w:sz="4" w:space="0" w:color="317C6F"/>
          <w:right w:val="single" w:sz="4" w:space="0" w:color="317C6F"/>
          <w:insideH w:val="nil"/>
          <w:insideV w:val="nil"/>
        </w:tcBorders>
        <w:shd w:val="clear" w:color="auto" w:fill="317C6F"/>
      </w:tcPr>
    </w:tblStylePr>
    <w:tblStylePr w:type="lastRow">
      <w:rPr>
        <w:rFonts w:cs="Times New Roman"/>
        <w:b/>
        <w:bCs/>
      </w:rPr>
      <w:tblPr/>
      <w:tcPr>
        <w:tcBorders>
          <w:top w:val="double" w:sz="4" w:space="0" w:color="317C6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EBE6"/>
      </w:tcPr>
    </w:tblStylePr>
    <w:tblStylePr w:type="band1Horz">
      <w:rPr>
        <w:rFonts w:cs="Times New Roman"/>
      </w:rPr>
      <w:tblPr/>
      <w:tcPr>
        <w:shd w:val="clear" w:color="auto" w:fill="CEEBE6"/>
      </w:tcPr>
    </w:tblStylePr>
  </w:style>
  <w:style w:type="table" w:customStyle="1" w:styleId="GridTable4-Accent122">
    <w:name w:val="Grid Table 4 - Accent 12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6DC5B6"/>
        <w:left w:val="single" w:sz="4" w:space="0" w:color="6DC5B6"/>
        <w:bottom w:val="single" w:sz="4" w:space="0" w:color="6DC5B6"/>
        <w:right w:val="single" w:sz="4" w:space="0" w:color="6DC5B6"/>
        <w:insideH w:val="single" w:sz="4" w:space="0" w:color="6DC5B6"/>
        <w:insideV w:val="single" w:sz="4" w:space="0" w:color="6DC5B6"/>
      </w:tblBorders>
    </w:tblPr>
    <w:tblStylePr w:type="firstRow">
      <w:rPr>
        <w:rFonts w:cs="Times New Roman"/>
        <w:b/>
        <w:bCs/>
        <w:color w:val="FFFFFF"/>
      </w:rPr>
      <w:tblPr/>
      <w:tcPr>
        <w:tcBorders>
          <w:top w:val="single" w:sz="4" w:space="0" w:color="317C6F"/>
          <w:left w:val="single" w:sz="4" w:space="0" w:color="317C6F"/>
          <w:bottom w:val="single" w:sz="4" w:space="0" w:color="317C6F"/>
          <w:right w:val="single" w:sz="4" w:space="0" w:color="317C6F"/>
          <w:insideH w:val="nil"/>
          <w:insideV w:val="nil"/>
        </w:tcBorders>
        <w:shd w:val="clear" w:color="auto" w:fill="317C6F"/>
      </w:tcPr>
    </w:tblStylePr>
    <w:tblStylePr w:type="lastRow">
      <w:rPr>
        <w:rFonts w:cs="Times New Roman"/>
        <w:b/>
        <w:bCs/>
      </w:rPr>
      <w:tblPr/>
      <w:tcPr>
        <w:tcBorders>
          <w:top w:val="double" w:sz="4" w:space="0" w:color="317C6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EBE6"/>
      </w:tcPr>
    </w:tblStylePr>
    <w:tblStylePr w:type="band1Horz">
      <w:rPr>
        <w:rFonts w:cs="Times New Roman"/>
      </w:rPr>
      <w:tblPr/>
      <w:tcPr>
        <w:shd w:val="clear" w:color="auto" w:fill="CEEBE6"/>
      </w:tcPr>
    </w:tblStylePr>
  </w:style>
  <w:style w:type="paragraph" w:customStyle="1" w:styleId="Standardnummer">
    <w:name w:val="Standardnummer"/>
    <w:pPr>
      <w:numPr>
        <w:numId w:val="38"/>
      </w:numPr>
      <w:spacing w:before="120" w:after="0" w:line="290" w:lineRule="atLeast"/>
      <w:jc w:val="both"/>
    </w:pPr>
    <w:rPr>
      <w:rFonts w:ascii="Arial" w:eastAsia="Times New Roman" w:hAnsi="Arial" w:cs="Times New Roman"/>
      <w:lang w:val="de-DE" w:eastAsia="de-DE"/>
    </w:rPr>
  </w:style>
  <w:style w:type="paragraph" w:customStyle="1" w:styleId="Standardnummer1ohne">
    <w:name w:val="Standardnummer1ohne"/>
    <w:basedOn w:val="Standardnummer"/>
    <w:pPr>
      <w:numPr>
        <w:ilvl w:val="1"/>
      </w:numPr>
    </w:pPr>
  </w:style>
  <w:style w:type="paragraph" w:customStyle="1" w:styleId="Standardnummer2">
    <w:name w:val="Standardnummer2"/>
    <w:basedOn w:val="Standardnummer"/>
    <w:pPr>
      <w:numPr>
        <w:ilvl w:val="2"/>
      </w:numPr>
    </w:pPr>
  </w:style>
  <w:style w:type="paragraph" w:customStyle="1" w:styleId="Standardnummer2ohne">
    <w:name w:val="Standardnummer2ohne"/>
    <w:basedOn w:val="Standardnummer2"/>
    <w:pPr>
      <w:numPr>
        <w:ilvl w:val="3"/>
      </w:numPr>
    </w:pPr>
  </w:style>
  <w:style w:type="paragraph" w:customStyle="1" w:styleId="Standardnummer3">
    <w:name w:val="Standardnummer3"/>
    <w:basedOn w:val="Standardnummer2"/>
    <w:pPr>
      <w:numPr>
        <w:ilvl w:val="4"/>
      </w:numPr>
    </w:pPr>
  </w:style>
  <w:style w:type="paragraph" w:customStyle="1" w:styleId="Standardnummer3ohne">
    <w:name w:val="Standardnummer3ohne"/>
    <w:basedOn w:val="Standardnummer3"/>
    <w:pPr>
      <w:numPr>
        <w:ilvl w:val="5"/>
      </w:numPr>
    </w:pPr>
  </w:style>
  <w:style w:type="paragraph" w:customStyle="1" w:styleId="Standardnummer4">
    <w:name w:val="Standardnummer4"/>
    <w:basedOn w:val="Standardnummer3"/>
    <w:pPr>
      <w:numPr>
        <w:ilvl w:val="6"/>
      </w:numPr>
    </w:pPr>
  </w:style>
  <w:style w:type="paragraph" w:customStyle="1" w:styleId="Standardnummer4ohne">
    <w:name w:val="Standardnummer4ohne"/>
    <w:basedOn w:val="Standardnummer4"/>
    <w:pPr>
      <w:numPr>
        <w:ilvl w:val="7"/>
      </w:numPr>
    </w:pPr>
  </w:style>
  <w:style w:type="numbering" w:customStyle="1" w:styleId="StandardNummerierungenListe">
    <w:name w:val="StandardNummerierungenListe"/>
    <w:basedOn w:val="NoList"/>
    <w:pPr>
      <w:numPr>
        <w:numId w:val="38"/>
      </w:numPr>
    </w:pPr>
  </w:style>
  <w:style w:type="table" w:customStyle="1" w:styleId="GridTable5Dark-Accent215">
    <w:name w:val="Grid Table 5 Dark - Accent 215"/>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2">
    <w:name w:val="Grid Table 4 - Accent 21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ghtList-Accent11">
    <w:name w:val="Light List - Accent 11"/>
    <w:basedOn w:val="TableNormal"/>
    <w:uiPriority w:val="61"/>
    <w:pPr>
      <w:spacing w:after="0" w:line="240" w:lineRule="auto"/>
    </w:pPr>
    <w:rPr>
      <w:rFonts w:eastAsia="Times New Roman" w:cs="Times New Roman"/>
      <w:lang w:val="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Table4-Accent212">
    <w:name w:val="List Table 4 - Accent 21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2">
    <w:name w:val="Plain Table 112"/>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2">
    <w:name w:val="List Table 4 - Accent 11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ListTable4-Accent12">
    <w:name w:val="List Table 4 - Accent 12"/>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3">
    <w:name w:val="List Table 4 - Accent 13"/>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23">
    <w:name w:val="Grid Table 4 - Accent 123"/>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6DC5B6"/>
        <w:left w:val="single" w:sz="4" w:space="0" w:color="6DC5B6"/>
        <w:bottom w:val="single" w:sz="4" w:space="0" w:color="6DC5B6"/>
        <w:right w:val="single" w:sz="4" w:space="0" w:color="6DC5B6"/>
        <w:insideH w:val="single" w:sz="4" w:space="0" w:color="6DC5B6"/>
        <w:insideV w:val="single" w:sz="4" w:space="0" w:color="6DC5B6"/>
      </w:tblBorders>
    </w:tblPr>
    <w:tblStylePr w:type="firstRow">
      <w:rPr>
        <w:rFonts w:cs="Times New Roman"/>
        <w:b/>
        <w:bCs/>
        <w:color w:val="FFFFFF"/>
      </w:rPr>
      <w:tblPr/>
      <w:tcPr>
        <w:tcBorders>
          <w:top w:val="single" w:sz="4" w:space="0" w:color="317C6F"/>
          <w:left w:val="single" w:sz="4" w:space="0" w:color="317C6F"/>
          <w:bottom w:val="single" w:sz="4" w:space="0" w:color="317C6F"/>
          <w:right w:val="single" w:sz="4" w:space="0" w:color="317C6F"/>
          <w:insideH w:val="nil"/>
          <w:insideV w:val="nil"/>
        </w:tcBorders>
        <w:shd w:val="clear" w:color="auto" w:fill="317C6F"/>
      </w:tcPr>
    </w:tblStylePr>
    <w:tblStylePr w:type="lastRow">
      <w:rPr>
        <w:rFonts w:cs="Times New Roman"/>
        <w:b/>
        <w:bCs/>
      </w:rPr>
      <w:tblPr/>
      <w:tcPr>
        <w:tcBorders>
          <w:top w:val="double" w:sz="4" w:space="0" w:color="317C6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EBE6"/>
      </w:tcPr>
    </w:tblStylePr>
    <w:tblStylePr w:type="band1Horz">
      <w:rPr>
        <w:rFonts w:cs="Times New Roman"/>
      </w:rPr>
      <w:tblPr/>
      <w:tcPr>
        <w:shd w:val="clear" w:color="auto" w:fill="CEEBE6"/>
      </w:tcPr>
    </w:tblStylePr>
  </w:style>
  <w:style w:type="table" w:customStyle="1" w:styleId="GridTable4-Accent124">
    <w:name w:val="Grid Table 4 - Accent 124"/>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6DC5B6"/>
        <w:left w:val="single" w:sz="4" w:space="0" w:color="6DC5B6"/>
        <w:bottom w:val="single" w:sz="4" w:space="0" w:color="6DC5B6"/>
        <w:right w:val="single" w:sz="4" w:space="0" w:color="6DC5B6"/>
        <w:insideH w:val="single" w:sz="4" w:space="0" w:color="6DC5B6"/>
        <w:insideV w:val="single" w:sz="4" w:space="0" w:color="6DC5B6"/>
      </w:tblBorders>
    </w:tblPr>
    <w:tblStylePr w:type="firstRow">
      <w:rPr>
        <w:rFonts w:cs="Times New Roman"/>
        <w:b/>
        <w:bCs/>
        <w:color w:val="FFFFFF"/>
      </w:rPr>
      <w:tblPr/>
      <w:tcPr>
        <w:tcBorders>
          <w:top w:val="single" w:sz="4" w:space="0" w:color="317C6F"/>
          <w:left w:val="single" w:sz="4" w:space="0" w:color="317C6F"/>
          <w:bottom w:val="single" w:sz="4" w:space="0" w:color="317C6F"/>
          <w:right w:val="single" w:sz="4" w:space="0" w:color="317C6F"/>
          <w:insideH w:val="nil"/>
          <w:insideV w:val="nil"/>
        </w:tcBorders>
        <w:shd w:val="clear" w:color="auto" w:fill="317C6F"/>
      </w:tcPr>
    </w:tblStylePr>
    <w:tblStylePr w:type="lastRow">
      <w:rPr>
        <w:rFonts w:cs="Times New Roman"/>
        <w:b/>
        <w:bCs/>
      </w:rPr>
      <w:tblPr/>
      <w:tcPr>
        <w:tcBorders>
          <w:top w:val="double" w:sz="4" w:space="0" w:color="317C6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EEBE6"/>
      </w:tcPr>
    </w:tblStylePr>
    <w:tblStylePr w:type="band1Horz">
      <w:rPr>
        <w:rFonts w:cs="Times New Roman"/>
      </w:rPr>
      <w:tblPr/>
      <w:tcPr>
        <w:shd w:val="clear" w:color="auto" w:fill="CEEBE6"/>
      </w:tcPr>
    </w:tblStylePr>
  </w:style>
  <w:style w:type="table" w:customStyle="1" w:styleId="TableGrid1">
    <w:name w:val="Table Grid1"/>
    <w:basedOn w:val="TableNormal"/>
    <w:next w:val="TableGrid"/>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style>
  <w:style w:type="table" w:customStyle="1" w:styleId="GridTable41">
    <w:name w:val="Grid Table 41"/>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rPr>
      <w:color w:val="808080"/>
    </w:rPr>
  </w:style>
  <w:style w:type="table" w:customStyle="1" w:styleId="GridTable42">
    <w:name w:val="Grid Table 42"/>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5">
    <w:name w:val="Table Grid5"/>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Classic2">
    <w:name w:val="Table Classic 2"/>
    <w:basedOn w:val="TableNormal"/>
    <w:pPr>
      <w:spacing w:after="100" w:line="240" w:lineRule="auto"/>
      <w:jc w:val="both"/>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bodycopy1">
    <w:name w:val="bodycopy1"/>
    <w:basedOn w:val="DefaultParagraphFont"/>
    <w:rPr>
      <w:rFonts w:ascii="Verdana" w:hAnsi="Verdana" w:hint="default"/>
      <w:b w:val="0"/>
      <w:bCs w:val="0"/>
      <w:strike w:val="0"/>
      <w:dstrike w:val="0"/>
      <w:color w:val="000000"/>
      <w:sz w:val="17"/>
      <w:szCs w:val="17"/>
      <w:u w:val="none"/>
      <w:effect w:val="none"/>
    </w:rPr>
  </w:style>
  <w:style w:type="character" w:customStyle="1" w:styleId="Data1">
    <w:name w:val="Data1"/>
    <w:basedOn w:val="DefaultParagraphFont"/>
  </w:style>
  <w:style w:type="character" w:customStyle="1" w:styleId="highlight">
    <w:name w:val="highlight"/>
    <w:basedOn w:val="DefaultParagraphFont"/>
  </w:style>
  <w:style w:type="character" w:customStyle="1" w:styleId="st">
    <w:name w:val="st"/>
    <w:basedOn w:val="DefaultParagraphFont"/>
  </w:style>
  <w:style w:type="character" w:styleId="Emphasis">
    <w:name w:val="Emphasis"/>
    <w:aliases w:val="Highlight 2,Mise en valeur"/>
    <w:basedOn w:val="DefaultParagraphFont"/>
    <w:uiPriority w:val="99"/>
    <w:qFormat/>
    <w:rPr>
      <w:i/>
      <w:iCs/>
    </w:rPr>
  </w:style>
  <w:style w:type="table" w:customStyle="1" w:styleId="TableGrid6">
    <w:name w:val="Table Grid6"/>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2">
    <w:name w:val="Grid Table 422"/>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2">
    <w:name w:val="List Table 3 - Accent 112"/>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5Dark-Accent12">
    <w:name w:val="Grid Table 5 Dark - Accent 12"/>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5Dark-Accent22">
    <w:name w:val="Grid Table 5 Dark - Accent 22"/>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2">
    <w:name w:val="Grid Table 4 - Accent 2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2">
    <w:name w:val="List Table 4 - Accent 22"/>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2">
    <w:name w:val="Plain Table 12"/>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Accent13">
    <w:name w:val="Grid Table 4 - Accent 13"/>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ListTable4-Accent14">
    <w:name w:val="List Table 4 - Accent 14"/>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3">
    <w:name w:val="Grid Table 43"/>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2">
    <w:name w:val="List Table 3 - Accent 12"/>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EPS3">
    <w:name w:val="EPS3"/>
    <w:basedOn w:val="TableNormal"/>
    <w:uiPriority w:val="63"/>
    <w:pPr>
      <w:spacing w:after="0" w:line="240" w:lineRule="auto"/>
    </w:pPr>
    <w:rPr>
      <w:rFonts w:ascii="Cambria" w:eastAsia="Times New Roman" w:hAnsi="Cambria" w:cs="Times New Roman"/>
      <w:sz w:val="24"/>
      <w:szCs w:val="24"/>
      <w:lang w:val="it-IT"/>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2">
    <w:name w:val="Table Grid12"/>
    <w:basedOn w:val="TableNormal"/>
    <w:next w:val="TableGrid"/>
    <w:uiPriority w:val="39"/>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0">
    <w:name w:val="Grid Table 5 Dark - Accent 11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
    <w:name w:val="Grid Table 4 - Accent 12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
    <w:name w:val="Grid Table 5 Dark - Accent 21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
    <w:name w:val="Grid Table 4 - Accent 21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
    <w:name w:val="List Table 4 - Accent 21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
    <w:name w:val="Plain Table 11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
    <w:name w:val="List Table 4 - Accent 11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
    <w:name w:val="Grid Table 42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e">
    <w:name w:val="spelle"/>
    <w:basedOn w:val="DefaultParagraphFont"/>
  </w:style>
  <w:style w:type="table" w:customStyle="1" w:styleId="GridTable5Dark-Accent1100">
    <w:name w:val="Grid Table 5 Dark - Accent 110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0">
    <w:name w:val="Grid Table 4 - Accent 12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0">
    <w:name w:val="Grid Table 5 Dark - Accent 210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0">
    <w:name w:val="Grid Table 4 - Accent 21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0">
    <w:name w:val="List Table 4 - Accent 21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0">
    <w:name w:val="Plain Table 110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0">
    <w:name w:val="List Table 4 - Accent 11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0">
    <w:name w:val="Grid Table 420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1000">
    <w:name w:val="Grid Table 5 Dark - Accent 1100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00">
    <w:name w:val="Grid Table 4 - Accent 12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00">
    <w:name w:val="Grid Table 5 Dark - Accent 2100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00">
    <w:name w:val="Grid Table 4 - Accent 21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00">
    <w:name w:val="List Table 4 - Accent 21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00">
    <w:name w:val="Plain Table 1100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00">
    <w:name w:val="List Table 4 - Accent 11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00">
    <w:name w:val="Grid Table 4200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10000">
    <w:name w:val="Grid Table 5 Dark - Accent 11000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000">
    <w:name w:val="Grid Table 4 - Accent 12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000">
    <w:name w:val="Grid Table 5 Dark - Accent 21000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000">
    <w:name w:val="Grid Table 4 - Accent 21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000">
    <w:name w:val="List Table 4 - Accent 21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000">
    <w:name w:val="Plain Table 11000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000">
    <w:name w:val="List Table 4 - Accent 11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000">
    <w:name w:val="Grid Table 42000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100000">
    <w:name w:val="Grid Table 5 Dark - Accent 110000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4-Accent1200000">
    <w:name w:val="Grid Table 4 - Accent 120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5Dark-Accent2100000">
    <w:name w:val="Grid Table 5 Dark - Accent 210000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0000">
    <w:name w:val="Grid Table 4 - Accent 210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0000">
    <w:name w:val="List Table 4 - Accent 210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0000">
    <w:name w:val="Plain Table 110000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0000">
    <w:name w:val="List Table 4 - Accent 110000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0000">
    <w:name w:val="Grid Table 420000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aliases w:val="WS No Spacing After Char"/>
    <w:basedOn w:val="DefaultParagraphFont"/>
    <w:link w:val="NoSpacing"/>
    <w:uiPriority w:val="1"/>
    <w:rPr>
      <w:rFonts w:ascii="Georgia" w:eastAsia="Times New Roman" w:hAnsi="Georgia" w:cs="Times New Roman"/>
      <w:lang w:val="en-US"/>
    </w:rPr>
  </w:style>
  <w:style w:type="character" w:customStyle="1" w:styleId="Policepardfaut">
    <w:name w:val="Police par défaut"/>
    <w:basedOn w:val="DefaultParagraphFont"/>
  </w:style>
  <w:style w:type="paragraph" w:customStyle="1" w:styleId="Paragraphedeliste">
    <w:name w:val="Paragraphe de liste"/>
    <w:basedOn w:val="Normal"/>
    <w:pPr>
      <w:autoSpaceDN w:val="0"/>
      <w:spacing w:after="160" w:line="252" w:lineRule="auto"/>
      <w:ind w:left="720"/>
    </w:pPr>
    <w:rPr>
      <w:rFonts w:ascii="Calibri" w:hAnsi="Calibri" w:cs="Times New Roman"/>
      <w:sz w:val="20"/>
      <w:lang w:val="en-GB"/>
    </w:rPr>
  </w:style>
  <w:style w:type="character" w:customStyle="1" w:styleId="Hyperlink1">
    <w:name w:val="Hyperlink1"/>
    <w:basedOn w:val="DefaultParagraphFont"/>
    <w:uiPriority w:val="99"/>
    <w:unhideWhenUsed/>
    <w:rPr>
      <w:rFonts w:cs="Times New Roman"/>
      <w:color w:val="6B9F25"/>
      <w:u w:val="single"/>
    </w:rPr>
  </w:style>
  <w:style w:type="paragraph" w:customStyle="1" w:styleId="Body">
    <w:name w:val="Body"/>
    <w:basedOn w:val="Normal"/>
    <w:link w:val="BodyChar"/>
    <w:pPr>
      <w:spacing w:after="240" w:line="259" w:lineRule="auto"/>
    </w:pPr>
    <w:rPr>
      <w:rFonts w:ascii="Verdana" w:eastAsia="Times New Roman" w:hAnsi="Verdana" w:cs="Times New Roman"/>
      <w:sz w:val="18"/>
      <w:szCs w:val="20"/>
      <w:lang w:val="fr-FR"/>
    </w:rPr>
  </w:style>
  <w:style w:type="character" w:customStyle="1" w:styleId="BodyChar">
    <w:name w:val="Body Char"/>
    <w:link w:val="Body"/>
    <w:rPr>
      <w:rFonts w:ascii="Verdana" w:eastAsia="Times New Roman" w:hAnsi="Verdana" w:cs="Times New Roman"/>
      <w:sz w:val="18"/>
      <w:szCs w:val="20"/>
      <w:lang w:val="fr-FR"/>
    </w:rPr>
  </w:style>
  <w:style w:type="paragraph" w:customStyle="1" w:styleId="BulletPoint2">
    <w:name w:val="Bullet Point 2"/>
    <w:basedOn w:val="NormalIndent"/>
    <w:link w:val="BulletPoint2Char"/>
    <w:qFormat/>
    <w:pPr>
      <w:numPr>
        <w:numId w:val="39"/>
      </w:numPr>
      <w:spacing w:after="120"/>
    </w:pPr>
    <w:rPr>
      <w:lang w:val="fr-FR"/>
    </w:rPr>
  </w:style>
  <w:style w:type="character" w:customStyle="1" w:styleId="BulletPoint2Char">
    <w:name w:val="Bullet Point 2 Char"/>
    <w:link w:val="BulletPoint2"/>
    <w:rPr>
      <w:rFonts w:ascii="Verdana" w:eastAsia="Times New Roman" w:hAnsi="Verdana" w:cs="Times New Roman"/>
      <w:sz w:val="20"/>
      <w:szCs w:val="20"/>
      <w:lang w:val="fr-FR"/>
    </w:rPr>
  </w:style>
  <w:style w:type="paragraph" w:styleId="NormalIndent">
    <w:name w:val="Normal Indent"/>
    <w:basedOn w:val="Normal"/>
    <w:uiPriority w:val="99"/>
    <w:unhideWhenUsed/>
    <w:pPr>
      <w:spacing w:line="259" w:lineRule="auto"/>
      <w:ind w:left="720"/>
      <w:jc w:val="both"/>
    </w:pPr>
    <w:rPr>
      <w:rFonts w:ascii="Verdana" w:eastAsia="Times New Roman" w:hAnsi="Verdana" w:cs="Times New Roman"/>
      <w:sz w:val="20"/>
      <w:szCs w:val="20"/>
      <w:lang w:val="en-US"/>
    </w:rPr>
  </w:style>
  <w:style w:type="paragraph" w:customStyle="1" w:styleId="Bulletpoint1">
    <w:name w:val="Bullet point1"/>
    <w:basedOn w:val="NormalIndent"/>
    <w:link w:val="Bulletpoint1Char"/>
    <w:qFormat/>
    <w:pPr>
      <w:numPr>
        <w:numId w:val="40"/>
      </w:numPr>
      <w:spacing w:after="120"/>
    </w:pPr>
    <w:rPr>
      <w:lang w:val="fr-FR"/>
    </w:rPr>
  </w:style>
  <w:style w:type="character" w:customStyle="1" w:styleId="Bulletpoint1Char">
    <w:name w:val="Bullet point1 Char"/>
    <w:basedOn w:val="DefaultParagraphFont"/>
    <w:link w:val="Bulletpoint1"/>
    <w:rPr>
      <w:rFonts w:ascii="Verdana" w:eastAsia="Times New Roman" w:hAnsi="Verdana" w:cs="Times New Roman"/>
      <w:sz w:val="20"/>
      <w:szCs w:val="20"/>
      <w:lang w:val="fr-FR"/>
    </w:rPr>
  </w:style>
  <w:style w:type="table" w:customStyle="1" w:styleId="ECSTYLE0">
    <w:name w:val="EC STYLE"/>
    <w:basedOn w:val="TableNormal"/>
    <w:uiPriority w:val="49"/>
    <w:pPr>
      <w:spacing w:after="0" w:line="240" w:lineRule="auto"/>
    </w:pPr>
    <w:rPr>
      <w:rFonts w:ascii="Verdana" w:eastAsia="Times New Roman" w:hAnsi="Verdana" w:cs="Times New Roman"/>
      <w:sz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vAlign w:val="center"/>
    </w:tcPr>
    <w:tblStylePr w:type="firstRow">
      <w:rPr>
        <w:rFonts w:ascii="Verdana" w:hAnsi="Verdana" w:cs="Times New Roman"/>
        <w:b/>
        <w:bCs/>
        <w:color w:val="FFFFFF" w:themeColor="background1"/>
        <w:sz w:val="20"/>
      </w:rPr>
      <w:tblPr/>
      <w:tcPr>
        <w:shd w:val="clear" w:color="auto" w:fill="002395"/>
      </w:tcPr>
    </w:tblStylePr>
    <w:tblStylePr w:type="lastRow">
      <w:rPr>
        <w:rFonts w:cs="Times New Roman"/>
        <w:b/>
        <w:bCs/>
      </w:rPr>
      <w:tblPr/>
      <w:tcPr>
        <w:tcBorders>
          <w:top w:val="double" w:sz="4" w:space="0" w:color="317C6F"/>
        </w:tcBorders>
      </w:tcPr>
    </w:tblStylePr>
    <w:tblStylePr w:type="firstCol">
      <w:rPr>
        <w:rFonts w:ascii="Verdana" w:hAnsi="Verdana" w:cs="Times New Roman"/>
        <w:b w:val="0"/>
        <w:bCs/>
        <w:sz w:val="20"/>
      </w:rPr>
      <w:tblPr/>
      <w:tcPr>
        <w:shd w:val="clear" w:color="auto" w:fill="002395"/>
      </w:tcPr>
    </w:tblStylePr>
    <w:tblStylePr w:type="lastCol">
      <w:rPr>
        <w:rFonts w:ascii="Verdana" w:hAnsi="Verdana" w:cs="Times New Roman"/>
        <w:b w:val="0"/>
        <w:bCs/>
        <w:sz w:val="20"/>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band2Horz">
      <w:tblPr/>
      <w:tcPr>
        <w:shd w:val="clear" w:color="auto" w:fill="F2F2F2"/>
      </w:tcPr>
    </w:tblStylePr>
  </w:style>
  <w:style w:type="table" w:customStyle="1" w:styleId="ecstyle2">
    <w:name w:val="ecstyle 2"/>
    <w:basedOn w:val="TableNormal"/>
    <w:uiPriority w:val="99"/>
    <w:pPr>
      <w:spacing w:after="0" w:line="240" w:lineRule="auto"/>
    </w:pPr>
    <w:rPr>
      <w:rFonts w:eastAsia="Times New Roman" w:cstheme="minorHAnsi"/>
      <w:lang w:val="en-US"/>
    </w:rPr>
    <w:tblPr/>
  </w:style>
  <w:style w:type="character" w:customStyle="1" w:styleId="FooterDateChar">
    <w:name w:val="Footer Date Char"/>
    <w:link w:val="FooterDate"/>
    <w:locked/>
    <w:rPr>
      <w:rFonts w:ascii="Verdana" w:hAnsi="Verdana" w:cs="Times New Roman"/>
      <w:sz w:val="16"/>
      <w:szCs w:val="20"/>
      <w:lang w:val="it-IT"/>
    </w:rPr>
  </w:style>
  <w:style w:type="paragraph" w:customStyle="1" w:styleId="FooterDate">
    <w:name w:val="Footer Date"/>
    <w:basedOn w:val="Footer"/>
    <w:link w:val="FooterDateChar"/>
    <w:pPr>
      <w:tabs>
        <w:tab w:val="clear" w:pos="4535"/>
        <w:tab w:val="clear" w:pos="9071"/>
        <w:tab w:val="clear" w:pos="9921"/>
        <w:tab w:val="right" w:pos="9240"/>
      </w:tabs>
      <w:spacing w:before="0" w:line="259" w:lineRule="auto"/>
      <w:ind w:left="0" w:right="-567"/>
    </w:pPr>
    <w:rPr>
      <w:rFonts w:ascii="Verdana" w:hAnsi="Verdana"/>
      <w:sz w:val="16"/>
      <w:szCs w:val="20"/>
      <w:lang w:val="it-IT"/>
    </w:rPr>
  </w:style>
  <w:style w:type="paragraph" w:customStyle="1" w:styleId="ZDGName">
    <w:name w:val="Z_DGName"/>
    <w:basedOn w:val="Normal"/>
    <w:pPr>
      <w:widowControl w:val="0"/>
      <w:autoSpaceDE w:val="0"/>
      <w:autoSpaceDN w:val="0"/>
      <w:spacing w:after="0" w:line="259" w:lineRule="auto"/>
      <w:ind w:right="85"/>
    </w:pPr>
    <w:rPr>
      <w:rFonts w:ascii="Arial" w:eastAsia="Times New Roman" w:hAnsi="Arial" w:cs="Arial"/>
      <w:sz w:val="16"/>
      <w:szCs w:val="16"/>
      <w:lang w:val="fr-FR" w:eastAsia="en-GB"/>
    </w:rPr>
  </w:style>
  <w:style w:type="paragraph" w:customStyle="1" w:styleId="ZCom">
    <w:name w:val="Z_Com"/>
    <w:basedOn w:val="Normal"/>
    <w:next w:val="ZDGName"/>
    <w:pPr>
      <w:widowControl w:val="0"/>
      <w:autoSpaceDE w:val="0"/>
      <w:autoSpaceDN w:val="0"/>
      <w:spacing w:after="0" w:line="259" w:lineRule="auto"/>
      <w:ind w:right="85"/>
      <w:jc w:val="both"/>
    </w:pPr>
    <w:rPr>
      <w:rFonts w:ascii="Arial" w:eastAsia="Times New Roman" w:hAnsi="Arial" w:cs="Arial"/>
      <w:szCs w:val="24"/>
      <w:lang w:val="fr-FR" w:eastAsia="en-GB"/>
    </w:rPr>
  </w:style>
  <w:style w:type="paragraph" w:styleId="ListBullet3">
    <w:name w:val="List Bullet 3"/>
    <w:aliases w:val="Enum3,Liste 31,KS ListBullet Level 3"/>
    <w:basedOn w:val="Normal"/>
    <w:uiPriority w:val="99"/>
    <w:unhideWhenUsed/>
    <w:pPr>
      <w:numPr>
        <w:numId w:val="41"/>
      </w:numPr>
      <w:spacing w:line="259" w:lineRule="auto"/>
      <w:contextualSpacing/>
      <w:jc w:val="both"/>
    </w:pPr>
    <w:rPr>
      <w:rFonts w:ascii="Verdana" w:eastAsia="Times New Roman" w:hAnsi="Verdana" w:cs="Times New Roman"/>
      <w:sz w:val="20"/>
      <w:szCs w:val="20"/>
      <w:lang w:val="en-US"/>
    </w:rPr>
  </w:style>
  <w:style w:type="table" w:customStyle="1" w:styleId="GridTable5Dark-Accent1101">
    <w:name w:val="Grid Table 5 Dark - Accent 11_0"/>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5Dark-Accent2101">
    <w:name w:val="Grid Table 5 Dark - Accent 21_0"/>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01">
    <w:name w:val="Grid Table 4 - Accent 21_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01">
    <w:name w:val="List Table 4 - Accent 21_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01">
    <w:name w:val="Plain Table 11_0"/>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01">
    <w:name w:val="List Table 4 - Accent 11_0"/>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01">
    <w:name w:val="Grid Table 42_0"/>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0">
    <w:name w:val="List Table 3 - Accent 11_0"/>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11">
    <w:name w:val="Unresolved Mention1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Policepardfaut1">
    <w:name w:val="Police par défaut1"/>
    <w:basedOn w:val="DefaultParagraphFont"/>
  </w:style>
  <w:style w:type="paragraph" w:customStyle="1" w:styleId="Paragraphedeliste1">
    <w:name w:val="Paragraphe de liste1"/>
    <w:basedOn w:val="Normal"/>
    <w:pPr>
      <w:autoSpaceDN w:val="0"/>
      <w:spacing w:after="160" w:line="252" w:lineRule="auto"/>
      <w:ind w:left="720"/>
    </w:pPr>
    <w:rPr>
      <w:rFonts w:ascii="Calibri" w:hAnsi="Calibri" w:cs="Times New Roman"/>
      <w:sz w:val="20"/>
      <w:lang w:val="en-GB"/>
    </w:rPr>
  </w:style>
  <w:style w:type="character" w:customStyle="1" w:styleId="cui-groupbody">
    <w:name w:val="cui-groupbody"/>
    <w:basedOn w:val="DefaultParagraphFont"/>
  </w:style>
  <w:style w:type="paragraph" w:customStyle="1" w:styleId="commentcontentpara">
    <w:name w:val="commentcontentpara"/>
    <w:basedOn w:val="Normal"/>
    <w:pPr>
      <w:spacing w:before="100" w:beforeAutospacing="1" w:after="100" w:afterAutospacing="1" w:line="259" w:lineRule="auto"/>
    </w:pPr>
    <w:rPr>
      <w:rFonts w:eastAsia="Times New Roman" w:cs="Times New Roman"/>
      <w:szCs w:val="24"/>
      <w:lang w:val="en-US"/>
    </w:rPr>
  </w:style>
  <w:style w:type="table" w:customStyle="1" w:styleId="ECSTYLE1">
    <w:name w:val="EC STYLE1"/>
    <w:basedOn w:val="TableNormal"/>
    <w:uiPriority w:val="49"/>
    <w:pPr>
      <w:spacing w:after="0" w:line="240" w:lineRule="auto"/>
    </w:pPr>
    <w:rPr>
      <w:rFonts w:ascii="Verdana" w:eastAsia="Times New Roman" w:hAnsi="Verdana" w:cs="Times New Roman"/>
      <w:sz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vAlign w:val="center"/>
    </w:tcPr>
    <w:tblStylePr w:type="firstRow">
      <w:rPr>
        <w:rFonts w:ascii="Verdana" w:hAnsi="Verdana" w:cs="Times New Roman"/>
        <w:b/>
        <w:bCs/>
        <w:color w:val="FFFFFF" w:themeColor="background1"/>
        <w:sz w:val="20"/>
      </w:rPr>
      <w:tblPr/>
      <w:tcPr>
        <w:shd w:val="clear" w:color="auto" w:fill="002395"/>
      </w:tcPr>
    </w:tblStylePr>
    <w:tblStylePr w:type="lastRow">
      <w:rPr>
        <w:rFonts w:cs="Times New Roman"/>
        <w:b/>
        <w:bCs/>
      </w:rPr>
      <w:tblPr/>
      <w:tcPr>
        <w:tcBorders>
          <w:top w:val="double" w:sz="4" w:space="0" w:color="317C6F"/>
        </w:tcBorders>
      </w:tcPr>
    </w:tblStylePr>
    <w:tblStylePr w:type="firstCol">
      <w:rPr>
        <w:rFonts w:ascii="Verdana" w:hAnsi="Verdana" w:cs="Times New Roman"/>
        <w:b w:val="0"/>
        <w:bCs/>
        <w:sz w:val="20"/>
      </w:rPr>
      <w:tblPr/>
      <w:tcPr>
        <w:shd w:val="clear" w:color="auto" w:fill="002395"/>
      </w:tcPr>
    </w:tblStylePr>
    <w:tblStylePr w:type="lastCol">
      <w:rPr>
        <w:rFonts w:ascii="Verdana" w:hAnsi="Verdana" w:cs="Times New Roman"/>
        <w:b w:val="0"/>
        <w:bCs/>
        <w:sz w:val="20"/>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band2Horz">
      <w:tblPr/>
      <w:tcPr>
        <w:shd w:val="clear" w:color="auto" w:fill="F2F2F2"/>
      </w:tcPr>
    </w:tblStylePr>
  </w:style>
  <w:style w:type="table" w:customStyle="1" w:styleId="GridTable5Dark-Accent111">
    <w:name w:val="Grid Table 5 Dark - Accent 111"/>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5Dark-Accent212">
    <w:name w:val="Grid Table 5 Dark - Accent 212"/>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table" w:customStyle="1" w:styleId="GridTable4-Accent211">
    <w:name w:val="Grid Table 4 - Accent 21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ListTable4-Accent211">
    <w:name w:val="List Table 4 - Accent 21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rFonts w:cs="Times New Roman"/>
        <w:b/>
        <w:bCs/>
      </w:rPr>
      <w:tblPr/>
      <w:tcPr>
        <w:tcBorders>
          <w:top w:val="double" w:sz="4" w:space="0" w:color="D99594"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table" w:customStyle="1" w:styleId="PlainTable111">
    <w:name w:val="Plain Table 111"/>
    <w:basedOn w:val="TableNormal"/>
    <w:uiPriority w:val="41"/>
    <w:pPr>
      <w:spacing w:after="0" w:line="240" w:lineRule="auto"/>
    </w:pPr>
    <w:rPr>
      <w:rFonts w:eastAsia="Times New Roman"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ListTable4-Accent111">
    <w:name w:val="List Table 4 - Accent 111"/>
    <w:basedOn w:val="TableNormal"/>
    <w:uiPriority w:val="49"/>
    <w:pPr>
      <w:spacing w:after="0" w:line="240" w:lineRule="auto"/>
    </w:pPr>
    <w:rPr>
      <w:rFonts w:eastAsia="Times New Roman"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GridTable421">
    <w:name w:val="Grid Table 421"/>
    <w:basedOn w:val="TableNormal"/>
    <w:uiPriority w:val="49"/>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111">
    <w:name w:val="List Table 3 - Accent 111"/>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IntenseEmphasis">
    <w:name w:val="Intense Emphasis"/>
    <w:aliases w:val="WS Brown and Bold,KS Orange and Bold"/>
    <w:basedOn w:val="DefaultParagraphFont"/>
    <w:uiPriority w:val="17"/>
    <w:qFormat/>
    <w:rPr>
      <w:i/>
      <w:iCs/>
      <w:color w:val="4F81BD" w:themeColor="accent1"/>
    </w:rPr>
  </w:style>
  <w:style w:type="character" w:customStyle="1" w:styleId="UnresolvedMention21">
    <w:name w:val="Unresolved Mention21"/>
    <w:basedOn w:val="DefaultParagraphFont"/>
    <w:uiPriority w:val="99"/>
    <w:semiHidden/>
    <w:unhideWhenUsed/>
    <w:rPr>
      <w:color w:val="808080"/>
      <w:shd w:val="clear" w:color="auto" w:fill="E6E6E6"/>
    </w:rPr>
  </w:style>
  <w:style w:type="table" w:customStyle="1" w:styleId="GridTable4-Accent14">
    <w:name w:val="Grid Table 4 - Accent 14"/>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4">
    <w:name w:val="Grid Table 5 Dark - Accent 114"/>
    <w:basedOn w:val="TableNormal"/>
    <w:uiPriority w:val="50"/>
    <w:pPr>
      <w:spacing w:after="0" w:line="240" w:lineRule="auto"/>
    </w:pPr>
    <w:rPr>
      <w:rFonts w:eastAsia="Times New Roman" w:cs="Times New Roman"/>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table" w:customStyle="1" w:styleId="GridTable5Dark-Accent214">
    <w:name w:val="Grid Table 5 Dark - Accent 214"/>
    <w:basedOn w:val="TableNormal"/>
    <w:uiPriority w:val="50"/>
    <w:pPr>
      <w:spacing w:after="0" w:line="240" w:lineRule="auto"/>
    </w:pPr>
    <w:rPr>
      <w:rFonts w:eastAsia="Times New Roman" w:cs="Times New Roman"/>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rPr>
        <w:rFonts w:cs="Times New Roman"/>
      </w:rPr>
      <w:tblPr/>
      <w:tcPr>
        <w:shd w:val="clear" w:color="auto" w:fill="E5B8B7" w:themeFill="accent2" w:themeFillTint="66"/>
      </w:tcPr>
    </w:tblStylePr>
    <w:tblStylePr w:type="band1Horz">
      <w:rPr>
        <w:rFonts w:cs="Times New Roman"/>
      </w:rPr>
      <w:tblPr/>
      <w:tcPr>
        <w:shd w:val="clear" w:color="auto" w:fill="E5B8B7" w:themeFill="accent2" w:themeFillTint="66"/>
      </w:tcPr>
    </w:tblStylePr>
  </w:style>
  <w:style w:type="paragraph" w:customStyle="1" w:styleId="BeschriftungAbbildung">
    <w:name w:val="BeschriftungAbbildung"/>
    <w:basedOn w:val="caption2"/>
    <w:next w:val="Normal"/>
    <w:pPr>
      <w:spacing w:before="120" w:line="276" w:lineRule="auto"/>
    </w:pPr>
    <w:rPr>
      <w:rFonts w:ascii="Georgia" w:eastAsia="Times New Roman" w:hAnsi="Georgia" w:cs="Times New Roman"/>
      <w:iCs w:val="0"/>
      <w:sz w:val="20"/>
      <w:szCs w:val="22"/>
      <w:lang w:eastAsia="de-DE"/>
    </w:rPr>
  </w:style>
  <w:style w:type="paragraph" w:customStyle="1" w:styleId="A-Gr10">
    <w:name w:val="A-Gr10"/>
    <w:basedOn w:val="Normal"/>
    <w:semiHidden/>
    <w:pPr>
      <w:spacing w:after="100" w:line="259" w:lineRule="auto"/>
      <w:jc w:val="both"/>
    </w:pPr>
    <w:rPr>
      <w:rFonts w:ascii="Georgia" w:eastAsia="Times New Roman" w:hAnsi="Georgia" w:cs="Times New Roman"/>
      <w:sz w:val="20"/>
      <w:lang w:val="en-GB" w:eastAsia="de-DE"/>
    </w:rPr>
  </w:style>
  <w:style w:type="paragraph" w:styleId="ListBullet2">
    <w:name w:val="List Bullet 2"/>
    <w:aliases w:val="Enum2,Liste 21,KS List Bullet Level 2"/>
    <w:basedOn w:val="Standardeinzug2"/>
    <w:uiPriority w:val="99"/>
    <w:pPr>
      <w:tabs>
        <w:tab w:val="clear" w:pos="567"/>
      </w:tabs>
      <w:ind w:left="0" w:firstLine="0"/>
    </w:pPr>
  </w:style>
  <w:style w:type="paragraph" w:customStyle="1" w:styleId="Standardeinzug2">
    <w:name w:val="Standardeinzug2"/>
    <w:basedOn w:val="NormalIndent"/>
    <w:pPr>
      <w:tabs>
        <w:tab w:val="num" w:pos="567"/>
      </w:tabs>
      <w:spacing w:before="120" w:after="0" w:line="290" w:lineRule="atLeast"/>
      <w:ind w:left="567" w:hanging="283"/>
    </w:pPr>
    <w:rPr>
      <w:rFonts w:ascii="Arial" w:hAnsi="Arial"/>
      <w:sz w:val="24"/>
      <w:szCs w:val="22"/>
      <w:lang w:val="de-DE" w:eastAsia="de-DE"/>
    </w:rPr>
  </w:style>
  <w:style w:type="paragraph" w:customStyle="1" w:styleId="Standardeinzug3">
    <w:name w:val="Standardeinzug3"/>
    <w:basedOn w:val="Standardeinzug2"/>
  </w:style>
  <w:style w:type="paragraph" w:styleId="ListBullet4">
    <w:name w:val="List Bullet 4"/>
    <w:aliases w:val="WS List Bullet Level 4,KS List Bullet Level 4"/>
    <w:basedOn w:val="Normal"/>
    <w:uiPriority w:val="99"/>
    <w:pPr>
      <w:tabs>
        <w:tab w:val="left" w:pos="284"/>
      </w:tabs>
      <w:spacing w:after="100"/>
      <w:ind w:left="284" w:hanging="284"/>
      <w:jc w:val="both"/>
    </w:pPr>
    <w:rPr>
      <w:rFonts w:ascii="Georgia" w:eastAsia="Times New Roman" w:hAnsi="Georgia" w:cs="Times New Roman"/>
      <w:lang w:val="en-GB" w:eastAsia="de-DE"/>
    </w:rPr>
  </w:style>
  <w:style w:type="paragraph" w:styleId="ListBullet5">
    <w:name w:val="List Bullet 5"/>
    <w:basedOn w:val="Normal"/>
    <w:uiPriority w:val="99"/>
    <w:pPr>
      <w:tabs>
        <w:tab w:val="num" w:pos="0"/>
      </w:tabs>
      <w:spacing w:after="100"/>
      <w:ind w:hanging="567"/>
      <w:jc w:val="both"/>
    </w:pPr>
    <w:rPr>
      <w:rFonts w:ascii="Georgia" w:eastAsia="Times New Roman" w:hAnsi="Georgia" w:cs="Times New Roman"/>
      <w:lang w:val="en-GB" w:eastAsia="de-DE"/>
    </w:rPr>
  </w:style>
  <w:style w:type="paragraph" w:customStyle="1" w:styleId="BeschriftungTabelle">
    <w:name w:val="BeschriftungTabelle"/>
    <w:basedOn w:val="caption2"/>
    <w:next w:val="Tabelle"/>
    <w:pPr>
      <w:spacing w:before="120" w:line="276" w:lineRule="auto"/>
      <w:ind w:left="1588" w:hanging="1588"/>
    </w:pPr>
    <w:rPr>
      <w:rFonts w:ascii="Georgia" w:eastAsia="Times New Roman" w:hAnsi="Georgia" w:cs="Times New Roman"/>
      <w:iCs w:val="0"/>
      <w:sz w:val="20"/>
      <w:szCs w:val="22"/>
      <w:lang w:eastAsia="de-DE"/>
    </w:rPr>
  </w:style>
  <w:style w:type="paragraph" w:styleId="BlockText">
    <w:name w:val="Block Text"/>
    <w:basedOn w:val="Normal"/>
    <w:uiPriority w:val="99"/>
    <w:pPr>
      <w:spacing w:after="100"/>
      <w:ind w:left="1134" w:right="1134"/>
      <w:jc w:val="both"/>
    </w:pPr>
    <w:rPr>
      <w:rFonts w:ascii="Georgia" w:eastAsia="Times New Roman" w:hAnsi="Georgia" w:cs="Times New Roman"/>
      <w:lang w:val="en-GB" w:eastAsia="de-DE"/>
    </w:rPr>
  </w:style>
  <w:style w:type="paragraph" w:customStyle="1" w:styleId="Dateiname">
    <w:name w:val="Dateiname"/>
    <w:next w:val="Normal"/>
    <w:pPr>
      <w:keepLines/>
      <w:spacing w:after="0" w:line="200" w:lineRule="exact"/>
    </w:pPr>
    <w:rPr>
      <w:rFonts w:ascii="Arial" w:eastAsia="Times New Roman" w:hAnsi="Arial" w:cs="Times New Roman"/>
      <w:sz w:val="14"/>
      <w:szCs w:val="20"/>
      <w:lang w:val="de-DE" w:eastAsia="de-DE"/>
    </w:rPr>
  </w:style>
  <w:style w:type="paragraph" w:customStyle="1" w:styleId="Funotentext2">
    <w:name w:val="Fußnotentext2"/>
    <w:basedOn w:val="FootnoteText"/>
    <w:pPr>
      <w:keepNext/>
      <w:keepLines/>
      <w:tabs>
        <w:tab w:val="left" w:pos="425"/>
      </w:tabs>
      <w:spacing w:before="120" w:after="100" w:line="259" w:lineRule="auto"/>
      <w:ind w:left="425" w:hanging="425"/>
    </w:pPr>
    <w:rPr>
      <w:rFonts w:ascii="Georgia" w:hAnsi="Georgia"/>
      <w:szCs w:val="22"/>
      <w:lang w:eastAsia="de-DE"/>
    </w:rPr>
  </w:style>
  <w:style w:type="paragraph" w:customStyle="1" w:styleId="Funotentext3">
    <w:name w:val="Fußnotentext3"/>
    <w:basedOn w:val="FootnoteText"/>
    <w:semiHidden/>
    <w:pPr>
      <w:keepNext/>
      <w:keepLines/>
      <w:tabs>
        <w:tab w:val="left" w:pos="425"/>
      </w:tabs>
      <w:spacing w:before="120" w:after="100" w:line="259" w:lineRule="auto"/>
      <w:ind w:left="425" w:hanging="425"/>
    </w:pPr>
    <w:rPr>
      <w:rFonts w:ascii="Georgia" w:hAnsi="Georgia"/>
      <w:sz w:val="22"/>
      <w:szCs w:val="22"/>
      <w:lang w:eastAsia="de-DE"/>
    </w:rPr>
  </w:style>
  <w:style w:type="paragraph" w:customStyle="1" w:styleId="Funotentext4">
    <w:name w:val="Fußnotentext4"/>
    <w:basedOn w:val="Funotentext2"/>
    <w:semiHidden/>
  </w:style>
  <w:style w:type="table" w:customStyle="1" w:styleId="ISI-Tabelle">
    <w:name w:val="ISI-Tabelle"/>
    <w:basedOn w:val="TableNormal"/>
    <w:pPr>
      <w:spacing w:before="60" w:after="60" w:line="240" w:lineRule="auto"/>
    </w:pPr>
    <w:rPr>
      <w:rFonts w:ascii="Arial" w:eastAsia="Times New Roman" w:hAnsi="Arial" w:cs="Times New Roman"/>
      <w:sz w:val="20"/>
      <w:szCs w:val="20"/>
      <w:lang w:val="de-DE" w:eastAsia="de-DE"/>
    </w:rPr>
    <w:tblPr>
      <w:tblStyleRowBandSize w:val="1"/>
      <w:tblInd w:w="125" w:type="dxa"/>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Kopfzeile-quer">
    <w:name w:val="Kopfzeile-quer"/>
    <w:next w:val="Normal"/>
    <w:semiHidden/>
    <w:pPr>
      <w:framePr w:w="266" w:h="8533" w:hRule="exact" w:hSpace="181" w:wrap="around" w:vAnchor="page" w:hAnchor="page" w:x="15287" w:y="1702"/>
      <w:tabs>
        <w:tab w:val="right" w:pos="8504"/>
      </w:tabs>
      <w:spacing w:after="0" w:line="240" w:lineRule="auto"/>
      <w:jc w:val="center"/>
      <w:textDirection w:val="tbRl"/>
    </w:pPr>
    <w:rPr>
      <w:rFonts w:ascii="Arial" w:eastAsia="Times New Roman" w:hAnsi="Arial" w:cs="Arial"/>
      <w:sz w:val="20"/>
      <w:szCs w:val="20"/>
      <w:lang w:val="de-DE" w:eastAsia="de-DE"/>
    </w:rPr>
  </w:style>
  <w:style w:type="paragraph" w:customStyle="1" w:styleId="Kopfzeile-quer-gerade">
    <w:name w:val="Kopfzeile-quer-gerade"/>
    <w:next w:val="Normal"/>
    <w:pPr>
      <w:framePr w:w="266" w:h="8533" w:hRule="exact" w:hSpace="181" w:wrap="around" w:vAnchor="page" w:hAnchor="page" w:x="15287" w:y="1532"/>
      <w:pBdr>
        <w:bottom w:val="single" w:sz="6" w:space="1" w:color="auto"/>
      </w:pBdr>
      <w:tabs>
        <w:tab w:val="right" w:pos="8504"/>
      </w:tabs>
      <w:spacing w:after="0" w:line="240" w:lineRule="auto"/>
      <w:ind w:left="57"/>
      <w:textDirection w:val="tbRl"/>
    </w:pPr>
    <w:rPr>
      <w:rFonts w:ascii="Arial" w:eastAsia="Times New Roman" w:hAnsi="Arial" w:cs="Arial"/>
      <w:noProof/>
      <w:sz w:val="20"/>
      <w:szCs w:val="20"/>
      <w:lang w:val="de-DE" w:eastAsia="de-DE"/>
    </w:rPr>
  </w:style>
  <w:style w:type="paragraph" w:customStyle="1" w:styleId="Kopfzeile-quer-ungerade">
    <w:name w:val="Kopfzeile-quer-ungerade"/>
    <w:next w:val="Normal"/>
    <w:pPr>
      <w:framePr w:w="266" w:h="8533" w:hRule="exact" w:hSpace="181" w:wrap="around" w:vAnchor="page" w:hAnchor="page" w:x="15287" w:y="1815"/>
      <w:pBdr>
        <w:bottom w:val="single" w:sz="6" w:space="1" w:color="auto"/>
      </w:pBdr>
      <w:tabs>
        <w:tab w:val="right" w:pos="8504"/>
      </w:tabs>
      <w:spacing w:after="0" w:line="240" w:lineRule="auto"/>
      <w:textDirection w:val="tbRl"/>
    </w:pPr>
    <w:rPr>
      <w:rFonts w:ascii="Arial" w:eastAsia="Times New Roman" w:hAnsi="Arial" w:cs="Times New Roman"/>
      <w:noProof/>
      <w:sz w:val="20"/>
      <w:szCs w:val="20"/>
      <w:lang w:val="de-DE" w:eastAsia="de-DE"/>
    </w:rPr>
  </w:style>
  <w:style w:type="paragraph" w:styleId="ListNumber">
    <w:name w:val="List Number"/>
    <w:basedOn w:val="Standardnummer"/>
    <w:uiPriority w:val="99"/>
    <w:pPr>
      <w:numPr>
        <w:numId w:val="0"/>
      </w:numPr>
    </w:pPr>
  </w:style>
  <w:style w:type="paragraph" w:styleId="ListNumber2">
    <w:name w:val="List Number 2"/>
    <w:basedOn w:val="Normal"/>
    <w:uiPriority w:val="99"/>
    <w:pPr>
      <w:tabs>
        <w:tab w:val="num" w:pos="426"/>
      </w:tabs>
      <w:spacing w:before="120" w:after="100"/>
      <w:ind w:left="426" w:hanging="426"/>
      <w:jc w:val="both"/>
    </w:pPr>
    <w:rPr>
      <w:rFonts w:ascii="Georgia" w:eastAsia="Times New Roman" w:hAnsi="Georgia" w:cs="Times New Roman"/>
      <w:lang w:val="en-GB" w:eastAsia="de-DE"/>
    </w:rPr>
  </w:style>
  <w:style w:type="paragraph" w:styleId="ListNumber3">
    <w:name w:val="List Number 3"/>
    <w:basedOn w:val="Normal"/>
    <w:uiPriority w:val="99"/>
    <w:pPr>
      <w:tabs>
        <w:tab w:val="num" w:pos="709"/>
      </w:tabs>
      <w:spacing w:before="120" w:after="100"/>
      <w:ind w:left="709" w:hanging="709"/>
      <w:jc w:val="both"/>
    </w:pPr>
    <w:rPr>
      <w:rFonts w:ascii="Georgia" w:eastAsia="Times New Roman" w:hAnsi="Georgia" w:cs="Times New Roman"/>
      <w:lang w:val="en-GB" w:eastAsia="de-DE"/>
    </w:rPr>
  </w:style>
  <w:style w:type="paragraph" w:styleId="ListNumber4">
    <w:name w:val="List Number 4"/>
    <w:basedOn w:val="Normal"/>
    <w:uiPriority w:val="99"/>
    <w:pPr>
      <w:tabs>
        <w:tab w:val="num" w:pos="426"/>
      </w:tabs>
      <w:spacing w:before="120" w:after="100"/>
      <w:ind w:left="426" w:hanging="426"/>
      <w:jc w:val="both"/>
    </w:pPr>
    <w:rPr>
      <w:rFonts w:ascii="Georgia" w:eastAsia="Times New Roman" w:hAnsi="Georgia" w:cs="Times New Roman"/>
      <w:lang w:val="en-GB" w:eastAsia="de-DE"/>
    </w:rPr>
  </w:style>
  <w:style w:type="paragraph" w:styleId="ListNumber5">
    <w:name w:val="List Number 5"/>
    <w:basedOn w:val="Normal"/>
    <w:uiPriority w:val="99"/>
    <w:pPr>
      <w:tabs>
        <w:tab w:val="num" w:pos="284"/>
      </w:tabs>
      <w:spacing w:before="120" w:after="100"/>
      <w:ind w:left="284" w:hanging="284"/>
      <w:jc w:val="both"/>
    </w:pPr>
    <w:rPr>
      <w:rFonts w:ascii="Georgia" w:eastAsia="Times New Roman" w:hAnsi="Georgia" w:cs="Times New Roman"/>
      <w:lang w:val="en-GB" w:eastAsia="de-DE"/>
    </w:rPr>
  </w:style>
  <w:style w:type="paragraph" w:customStyle="1" w:styleId="Literatur">
    <w:name w:val="Literatur"/>
    <w:basedOn w:val="Normal"/>
    <w:pPr>
      <w:keepLines/>
      <w:spacing w:after="120"/>
      <w:ind w:left="567" w:hanging="567"/>
      <w:jc w:val="both"/>
    </w:pPr>
    <w:rPr>
      <w:rFonts w:ascii="Georgia" w:eastAsia="Times New Roman" w:hAnsi="Georgia" w:cs="Times New Roman"/>
      <w:lang w:val="en-GB" w:eastAsia="de-DE"/>
    </w:rPr>
  </w:style>
  <w:style w:type="paragraph" w:customStyle="1" w:styleId="Literatur2">
    <w:name w:val="Literatur2"/>
    <w:basedOn w:val="Literatur"/>
    <w:pPr>
      <w:ind w:left="0" w:firstLine="0"/>
      <w:jc w:val="left"/>
    </w:pPr>
  </w:style>
  <w:style w:type="paragraph" w:customStyle="1" w:styleId="Quelle">
    <w:name w:val="Quelle"/>
    <w:basedOn w:val="Normal"/>
    <w:next w:val="Normal"/>
    <w:pPr>
      <w:keepLines/>
      <w:spacing w:before="60" w:after="100" w:line="259" w:lineRule="auto"/>
    </w:pPr>
    <w:rPr>
      <w:rFonts w:ascii="Georgia" w:eastAsia="Times New Roman" w:hAnsi="Georgia" w:cs="Times New Roman"/>
      <w:sz w:val="20"/>
      <w:lang w:val="en-GB" w:eastAsia="de-DE"/>
    </w:rPr>
  </w:style>
  <w:style w:type="numbering" w:customStyle="1" w:styleId="StandardEinzuegeListe">
    <w:name w:val="StandardEinzuegeListe"/>
    <w:basedOn w:val="NoList"/>
    <w:pPr>
      <w:numPr>
        <w:numId w:val="42"/>
      </w:numPr>
    </w:pPr>
  </w:style>
  <w:style w:type="paragraph" w:customStyle="1" w:styleId="Standardeinzug1ohne">
    <w:name w:val="Standardeinzug1ohne"/>
    <w:basedOn w:val="NormalIndent"/>
    <w:pPr>
      <w:tabs>
        <w:tab w:val="num" w:pos="284"/>
      </w:tabs>
      <w:spacing w:before="120" w:after="0" w:line="290" w:lineRule="atLeast"/>
      <w:ind w:left="284"/>
    </w:pPr>
    <w:rPr>
      <w:rFonts w:ascii="Arial" w:hAnsi="Arial"/>
      <w:sz w:val="24"/>
      <w:szCs w:val="22"/>
      <w:lang w:val="de-DE" w:eastAsia="de-DE"/>
    </w:rPr>
  </w:style>
  <w:style w:type="paragraph" w:customStyle="1" w:styleId="Standardeinzug2ohne">
    <w:name w:val="Standardeinzug2ohne"/>
    <w:basedOn w:val="Standardeinzug2"/>
  </w:style>
  <w:style w:type="paragraph" w:customStyle="1" w:styleId="Standardeinzug3ohne">
    <w:name w:val="Standardeinzug3ohne"/>
    <w:basedOn w:val="Standardeinzug3"/>
  </w:style>
  <w:style w:type="paragraph" w:customStyle="1" w:styleId="TabE1Standardeinzug">
    <w:name w:val="TabE1_Standardeinzug"/>
    <w:pPr>
      <w:numPr>
        <w:numId w:val="43"/>
      </w:numPr>
      <w:spacing w:before="60" w:after="0" w:line="240" w:lineRule="auto"/>
    </w:pPr>
    <w:rPr>
      <w:rFonts w:ascii="Arial" w:eastAsia="Times New Roman" w:hAnsi="Arial" w:cs="Times New Roman"/>
      <w:sz w:val="20"/>
      <w:szCs w:val="20"/>
      <w:lang w:val="de-DE" w:eastAsia="de-DE"/>
    </w:rPr>
  </w:style>
  <w:style w:type="paragraph" w:customStyle="1" w:styleId="TabE1oStandardeinzug">
    <w:name w:val="TabE1o_Standardeinzug"/>
    <w:basedOn w:val="TabE1Standardeinzug"/>
    <w:pPr>
      <w:numPr>
        <w:ilvl w:val="1"/>
      </w:numPr>
    </w:pPr>
  </w:style>
  <w:style w:type="paragraph" w:customStyle="1" w:styleId="TabE2Standardeinzug">
    <w:name w:val="TabE2_Standardeinzug"/>
    <w:basedOn w:val="TabE1Standardeinzug"/>
    <w:pPr>
      <w:numPr>
        <w:ilvl w:val="2"/>
      </w:numPr>
    </w:pPr>
  </w:style>
  <w:style w:type="paragraph" w:customStyle="1" w:styleId="TabE2oStandardeinzug">
    <w:name w:val="TabE2o_Standardeinzug"/>
    <w:basedOn w:val="TabE2Standardeinzug"/>
    <w:pPr>
      <w:numPr>
        <w:ilvl w:val="3"/>
      </w:numPr>
    </w:pPr>
  </w:style>
  <w:style w:type="paragraph" w:customStyle="1" w:styleId="TabE3Standardeinzug">
    <w:name w:val="TabE3_Standardeinzug"/>
    <w:basedOn w:val="TabE2Standardeinzug"/>
    <w:pPr>
      <w:numPr>
        <w:ilvl w:val="4"/>
      </w:numPr>
    </w:pPr>
  </w:style>
  <w:style w:type="paragraph" w:customStyle="1" w:styleId="TabE3oStandardeinzug">
    <w:name w:val="TabE3o_Standardeinzug"/>
    <w:basedOn w:val="TabE3Standardeinzug"/>
    <w:pPr>
      <w:numPr>
        <w:ilvl w:val="5"/>
      </w:numPr>
    </w:pPr>
  </w:style>
  <w:style w:type="numbering" w:customStyle="1" w:styleId="TabEinzuegeListe">
    <w:name w:val="TabEinzuegeListe"/>
    <w:basedOn w:val="NoList"/>
    <w:pPr>
      <w:numPr>
        <w:numId w:val="43"/>
      </w:numPr>
    </w:pPr>
  </w:style>
  <w:style w:type="paragraph" w:customStyle="1" w:styleId="Tabelle">
    <w:name w:val="Tabelle"/>
    <w:basedOn w:val="Normal"/>
    <w:pPr>
      <w:keepLines/>
      <w:spacing w:before="60" w:after="60" w:line="259" w:lineRule="auto"/>
    </w:pPr>
    <w:rPr>
      <w:rFonts w:ascii="Georgia" w:eastAsia="Times New Roman" w:hAnsi="Georgia" w:cs="Times New Roman"/>
      <w:sz w:val="20"/>
      <w:szCs w:val="18"/>
      <w:lang w:val="en-GB" w:eastAsia="de-DE"/>
    </w:rPr>
  </w:style>
  <w:style w:type="table" w:styleId="TableContemporary">
    <w:name w:val="Table Contemporary"/>
    <w:basedOn w:val="TableNormal"/>
    <w:semiHidden/>
    <w:pPr>
      <w:spacing w:before="60" w:after="60" w:line="240" w:lineRule="auto"/>
      <w:jc w:val="both"/>
    </w:pPr>
    <w:rPr>
      <w:rFonts w:ascii="Arial" w:eastAsia="Times New Roman" w:hAnsi="Arial" w:cs="Times New Roman"/>
      <w:sz w:val="20"/>
      <w:szCs w:val="20"/>
      <w:lang w:val="de-DE" w:eastAsia="de-DE"/>
    </w:rPr>
    <w:tblPr>
      <w:tblStyleRowBandSize w:val="1"/>
      <w:tblInd w:w="125" w:type="dxa"/>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Nr1Standardnummer">
    <w:name w:val="TabNr1_Standardnummer"/>
    <w:pPr>
      <w:numPr>
        <w:numId w:val="44"/>
      </w:numPr>
      <w:spacing w:before="60" w:after="0" w:line="240" w:lineRule="auto"/>
    </w:pPr>
    <w:rPr>
      <w:rFonts w:ascii="Arial" w:eastAsia="Times New Roman" w:hAnsi="Arial" w:cs="Times New Roman"/>
      <w:sz w:val="20"/>
      <w:szCs w:val="20"/>
      <w:lang w:val="de-DE" w:eastAsia="de-DE"/>
    </w:rPr>
  </w:style>
  <w:style w:type="paragraph" w:customStyle="1" w:styleId="TabNr1oStandardnummer">
    <w:name w:val="TabNr1o_Standardnummer"/>
    <w:basedOn w:val="TabNr1Standardnummer"/>
    <w:pPr>
      <w:numPr>
        <w:ilvl w:val="1"/>
      </w:numPr>
    </w:pPr>
  </w:style>
  <w:style w:type="paragraph" w:customStyle="1" w:styleId="TabNr2Standardnummer">
    <w:name w:val="TabNr2_Standardnummer"/>
    <w:basedOn w:val="TabNr1Standardnummer"/>
    <w:pPr>
      <w:numPr>
        <w:ilvl w:val="2"/>
      </w:numPr>
    </w:pPr>
  </w:style>
  <w:style w:type="paragraph" w:customStyle="1" w:styleId="TabNr2oStandardnummer">
    <w:name w:val="TabNr2o_Standardnummer"/>
    <w:basedOn w:val="TabNr2Standardnummer"/>
    <w:pPr>
      <w:numPr>
        <w:ilvl w:val="3"/>
      </w:numPr>
    </w:pPr>
  </w:style>
  <w:style w:type="paragraph" w:customStyle="1" w:styleId="TabNr3Standardnummer">
    <w:name w:val="TabNr3_Standardnummer"/>
    <w:basedOn w:val="TabNr2Standardnummer"/>
    <w:pPr>
      <w:numPr>
        <w:ilvl w:val="4"/>
      </w:numPr>
    </w:pPr>
  </w:style>
  <w:style w:type="paragraph" w:customStyle="1" w:styleId="TabNr3oStandardnummer">
    <w:name w:val="TabNr3o_Standardnummer"/>
    <w:basedOn w:val="TabNr3Standardnummer"/>
    <w:pPr>
      <w:numPr>
        <w:ilvl w:val="5"/>
      </w:numPr>
    </w:pPr>
  </w:style>
  <w:style w:type="paragraph" w:customStyle="1" w:styleId="TabNr4Standardnummer">
    <w:name w:val="TabNr4_Standardnummer"/>
    <w:basedOn w:val="TabNr3Standardnummer"/>
    <w:pPr>
      <w:numPr>
        <w:ilvl w:val="6"/>
      </w:numPr>
    </w:pPr>
  </w:style>
  <w:style w:type="paragraph" w:customStyle="1" w:styleId="TabNr4oStandardnummer">
    <w:name w:val="TabNr4o_Standardnummer"/>
    <w:basedOn w:val="TabNr4Standardnummer"/>
    <w:pPr>
      <w:numPr>
        <w:ilvl w:val="7"/>
      </w:numPr>
    </w:pPr>
  </w:style>
  <w:style w:type="numbering" w:customStyle="1" w:styleId="TabNummerierungenListe">
    <w:name w:val="TabNummerierungenListe"/>
    <w:basedOn w:val="NoList"/>
    <w:pPr>
      <w:numPr>
        <w:numId w:val="44"/>
      </w:numPr>
    </w:pPr>
  </w:style>
  <w:style w:type="paragraph" w:styleId="BodyText">
    <w:name w:val="Body Text"/>
    <w:aliases w:val="Frame,Body Text Char Char,Body Text Char2 Char Char,Body Text Char1 Char Char Char,Body Text Char Char Char Char Char,Body Text Char2 Char Char Char Char Char,Body Text Char1 Char Char Char Char Char Char,Bod,bt,b,Body text 1,Corpo del testo"/>
    <w:basedOn w:val="Normal"/>
    <w:link w:val="BodyTextChar"/>
    <w:uiPriority w:val="99"/>
    <w:pPr>
      <w:spacing w:after="100"/>
      <w:jc w:val="both"/>
    </w:pPr>
    <w:rPr>
      <w:rFonts w:ascii="Georgia" w:eastAsia="Times New Roman" w:hAnsi="Georgia" w:cs="Times New Roman"/>
      <w:lang w:val="en-GB" w:eastAsia="de-DE"/>
    </w:rPr>
  </w:style>
  <w:style w:type="character" w:customStyle="1" w:styleId="BodyTextChar">
    <w:name w:val="Body Text Char"/>
    <w:aliases w:val="Frame Char,Body Text Char Char Char,Body Text Char2 Char Char Char,Body Text Char1 Char Char Char Char,Body Text Char Char Char Char Char Char,Body Text Char2 Char Char Char Char Char Char,Bod Char,bt Char,b Char,Body text 1 Char"/>
    <w:basedOn w:val="DefaultParagraphFont"/>
    <w:link w:val="BodyText"/>
    <w:uiPriority w:val="99"/>
    <w:rPr>
      <w:rFonts w:ascii="Georgia" w:eastAsia="Times New Roman" w:hAnsi="Georgia" w:cs="Times New Roman"/>
      <w:sz w:val="24"/>
      <w:lang w:val="en-GB" w:eastAsia="de-DE"/>
    </w:rPr>
  </w:style>
  <w:style w:type="paragraph" w:styleId="BodyText2">
    <w:name w:val="Body Text 2"/>
    <w:aliases w:val="Highlight"/>
    <w:basedOn w:val="Normal"/>
    <w:link w:val="BodyText2Char"/>
    <w:uiPriority w:val="99"/>
    <w:qFormat/>
    <w:pPr>
      <w:spacing w:after="100"/>
      <w:jc w:val="both"/>
    </w:pPr>
    <w:rPr>
      <w:rFonts w:ascii="Georgia" w:eastAsia="Times New Roman" w:hAnsi="Georgia" w:cs="Times New Roman"/>
      <w:lang w:val="en-GB" w:eastAsia="de-DE"/>
    </w:rPr>
  </w:style>
  <w:style w:type="character" w:customStyle="1" w:styleId="BodyText2Char">
    <w:name w:val="Body Text 2 Char"/>
    <w:aliases w:val="Highlight Char"/>
    <w:basedOn w:val="DefaultParagraphFont"/>
    <w:link w:val="BodyText2"/>
    <w:uiPriority w:val="99"/>
    <w:rPr>
      <w:rFonts w:ascii="Georgia" w:eastAsia="Times New Roman" w:hAnsi="Georgia" w:cs="Times New Roman"/>
      <w:sz w:val="24"/>
      <w:lang w:val="en-GB" w:eastAsia="de-DE"/>
    </w:rPr>
  </w:style>
  <w:style w:type="paragraph" w:styleId="BodyText3">
    <w:name w:val="Body Text 3"/>
    <w:basedOn w:val="Normal"/>
    <w:link w:val="BodyText3Char"/>
    <w:uiPriority w:val="99"/>
    <w:pPr>
      <w:spacing w:after="100"/>
      <w:jc w:val="both"/>
    </w:pPr>
    <w:rPr>
      <w:rFonts w:ascii="Georgia" w:eastAsia="Times New Roman" w:hAnsi="Georgia" w:cs="Times New Roman"/>
      <w:lang w:val="en-GB" w:eastAsia="de-DE"/>
    </w:rPr>
  </w:style>
  <w:style w:type="character" w:customStyle="1" w:styleId="BodyText3Char">
    <w:name w:val="Body Text 3 Char"/>
    <w:basedOn w:val="DefaultParagraphFont"/>
    <w:link w:val="BodyText3"/>
    <w:uiPriority w:val="99"/>
    <w:rPr>
      <w:rFonts w:ascii="Georgia" w:eastAsia="Times New Roman" w:hAnsi="Georgia" w:cs="Times New Roman"/>
      <w:sz w:val="24"/>
      <w:lang w:val="en-GB" w:eastAsia="de-DE"/>
    </w:rPr>
  </w:style>
  <w:style w:type="paragraph" w:styleId="BodyTextIndent2">
    <w:name w:val="Body Text Indent 2"/>
    <w:basedOn w:val="Normal"/>
    <w:link w:val="BodyTextIndent2Char"/>
    <w:uiPriority w:val="99"/>
    <w:pPr>
      <w:spacing w:after="100"/>
      <w:jc w:val="both"/>
    </w:pPr>
    <w:rPr>
      <w:rFonts w:ascii="Georgia" w:eastAsia="Times New Roman" w:hAnsi="Georgia" w:cs="Times New Roman"/>
      <w:lang w:val="en-GB" w:eastAsia="de-DE"/>
    </w:rPr>
  </w:style>
  <w:style w:type="character" w:customStyle="1" w:styleId="BodyTextIndent2Char">
    <w:name w:val="Body Text Indent 2 Char"/>
    <w:basedOn w:val="DefaultParagraphFont"/>
    <w:link w:val="BodyTextIndent2"/>
    <w:uiPriority w:val="99"/>
    <w:rPr>
      <w:rFonts w:ascii="Georgia" w:eastAsia="Times New Roman" w:hAnsi="Georgia" w:cs="Times New Roman"/>
      <w:sz w:val="24"/>
      <w:lang w:val="en-GB" w:eastAsia="de-DE"/>
    </w:rPr>
  </w:style>
  <w:style w:type="paragraph" w:styleId="BodyTextIndent3">
    <w:name w:val="Body Text Indent 3"/>
    <w:basedOn w:val="Standardeinzug3"/>
    <w:link w:val="BodyTextIndent3Char"/>
    <w:uiPriority w:val="99"/>
    <w:pPr>
      <w:tabs>
        <w:tab w:val="clear" w:pos="567"/>
      </w:tabs>
      <w:ind w:left="0" w:firstLine="0"/>
    </w:pPr>
  </w:style>
  <w:style w:type="character" w:customStyle="1" w:styleId="BodyTextIndent3Char">
    <w:name w:val="Body Text Indent 3 Char"/>
    <w:basedOn w:val="DefaultParagraphFont"/>
    <w:link w:val="BodyTextIndent3"/>
    <w:uiPriority w:val="99"/>
    <w:rPr>
      <w:rFonts w:ascii="Arial" w:eastAsia="Times New Roman" w:hAnsi="Arial" w:cs="Times New Roman"/>
      <w:sz w:val="24"/>
      <w:lang w:val="de-DE" w:eastAsia="de-DE"/>
    </w:rPr>
  </w:style>
  <w:style w:type="paragraph" w:styleId="BodyTextFirstIndent">
    <w:name w:val="Body Text First Indent"/>
    <w:basedOn w:val="Standardeinzug1ohne"/>
    <w:link w:val="BodyTextFirstIndentChar"/>
    <w:uiPriority w:val="99"/>
    <w:pPr>
      <w:tabs>
        <w:tab w:val="clear" w:pos="284"/>
      </w:tabs>
      <w:ind w:left="0"/>
    </w:pPr>
  </w:style>
  <w:style w:type="character" w:customStyle="1" w:styleId="BodyTextFirstIndentChar">
    <w:name w:val="Body Text First Indent Char"/>
    <w:basedOn w:val="BodyTextChar"/>
    <w:link w:val="BodyTextFirstIndent"/>
    <w:uiPriority w:val="99"/>
    <w:rPr>
      <w:rFonts w:ascii="Arial" w:eastAsia="Times New Roman" w:hAnsi="Arial" w:cs="Times New Roman"/>
      <w:sz w:val="24"/>
      <w:lang w:val="de-DE" w:eastAsia="de-DE"/>
    </w:rPr>
  </w:style>
  <w:style w:type="paragraph" w:styleId="BodyTextIndent">
    <w:name w:val="Body Text Indent"/>
    <w:basedOn w:val="NormalIndent"/>
    <w:link w:val="BodyTextIndentChar"/>
    <w:uiPriority w:val="99"/>
    <w:pPr>
      <w:spacing w:before="120" w:after="0" w:line="290" w:lineRule="atLeast"/>
      <w:ind w:left="0"/>
    </w:pPr>
    <w:rPr>
      <w:rFonts w:ascii="Arial" w:hAnsi="Arial"/>
      <w:sz w:val="24"/>
      <w:szCs w:val="22"/>
      <w:lang w:val="de-DE" w:eastAsia="de-DE"/>
    </w:rPr>
  </w:style>
  <w:style w:type="character" w:customStyle="1" w:styleId="BodyTextIndentChar">
    <w:name w:val="Body Text Indent Char"/>
    <w:basedOn w:val="DefaultParagraphFont"/>
    <w:link w:val="BodyTextIndent"/>
    <w:uiPriority w:val="99"/>
    <w:rPr>
      <w:rFonts w:ascii="Arial" w:eastAsia="Times New Roman" w:hAnsi="Arial" w:cs="Times New Roman"/>
      <w:sz w:val="24"/>
      <w:lang w:val="de-DE" w:eastAsia="de-DE"/>
    </w:rPr>
  </w:style>
  <w:style w:type="paragraph" w:styleId="BodyTextFirstIndent2">
    <w:name w:val="Body Text First Indent 2"/>
    <w:basedOn w:val="Standardeinzug2ohne"/>
    <w:link w:val="BodyTextFirstIndent2Char"/>
    <w:uiPriority w:val="99"/>
    <w:pPr>
      <w:tabs>
        <w:tab w:val="clear" w:pos="567"/>
      </w:tabs>
      <w:ind w:left="0" w:firstLine="0"/>
    </w:pPr>
  </w:style>
  <w:style w:type="character" w:customStyle="1" w:styleId="BodyTextFirstIndent2Char">
    <w:name w:val="Body Text First Indent 2 Char"/>
    <w:basedOn w:val="BodyTextIndentChar"/>
    <w:link w:val="BodyTextFirstIndent2"/>
    <w:uiPriority w:val="99"/>
    <w:rPr>
      <w:rFonts w:ascii="Arial" w:eastAsia="Times New Roman" w:hAnsi="Arial" w:cs="Times New Roman"/>
      <w:sz w:val="24"/>
      <w:lang w:val="de-DE" w:eastAsia="de-DE"/>
    </w:rPr>
  </w:style>
  <w:style w:type="paragraph" w:customStyle="1" w:styleId="U12f">
    <w:name w:val="U12f"/>
    <w:basedOn w:val="Normal"/>
    <w:next w:val="Normal"/>
    <w:semiHidden/>
    <w:pPr>
      <w:keepNext/>
      <w:keepLines/>
      <w:tabs>
        <w:tab w:val="left" w:pos="1134"/>
      </w:tabs>
      <w:spacing w:before="320" w:after="100"/>
    </w:pPr>
    <w:rPr>
      <w:rFonts w:ascii="Georgia" w:eastAsia="Times New Roman" w:hAnsi="Georgia" w:cs="Times New Roman"/>
      <w:b/>
      <w:lang w:val="en-GB" w:eastAsia="de-DE"/>
    </w:rPr>
  </w:style>
  <w:style w:type="paragraph" w:customStyle="1" w:styleId="U12k">
    <w:name w:val="U12k"/>
    <w:basedOn w:val="U12f"/>
    <w:next w:val="Normal"/>
    <w:semiHidden/>
  </w:style>
  <w:style w:type="paragraph" w:customStyle="1" w:styleId="U13f">
    <w:name w:val="U13f"/>
    <w:basedOn w:val="U11f"/>
    <w:next w:val="Normal"/>
  </w:style>
  <w:style w:type="paragraph" w:customStyle="1" w:styleId="U13k">
    <w:name w:val="U13k"/>
    <w:basedOn w:val="U11k"/>
    <w:next w:val="Normal"/>
  </w:style>
  <w:style w:type="paragraph" w:customStyle="1" w:styleId="U14f">
    <w:name w:val="U14f"/>
    <w:basedOn w:val="U11f"/>
    <w:next w:val="Normal"/>
  </w:style>
  <w:style w:type="paragraph" w:customStyle="1" w:styleId="U15f">
    <w:name w:val="U15f"/>
    <w:basedOn w:val="U11f"/>
    <w:next w:val="Normal"/>
  </w:style>
  <w:style w:type="numbering" w:customStyle="1" w:styleId="berschriftenliste">
    <w:name w:val="Überschriftenliste"/>
    <w:basedOn w:val="NoList"/>
    <w:pPr>
      <w:numPr>
        <w:numId w:val="45"/>
      </w:numPr>
    </w:pPr>
  </w:style>
  <w:style w:type="paragraph" w:styleId="Signature">
    <w:name w:val="Signature"/>
    <w:basedOn w:val="Normal"/>
    <w:link w:val="SignatureChar"/>
    <w:semiHidden/>
    <w:pPr>
      <w:spacing w:after="100"/>
      <w:jc w:val="both"/>
    </w:pPr>
    <w:rPr>
      <w:rFonts w:ascii="Georgia" w:eastAsia="Times New Roman" w:hAnsi="Georgia" w:cs="Times New Roman"/>
      <w:lang w:val="en-GB" w:eastAsia="de-DE"/>
    </w:rPr>
  </w:style>
  <w:style w:type="character" w:customStyle="1" w:styleId="SignatureChar">
    <w:name w:val="Signature Char"/>
    <w:basedOn w:val="DefaultParagraphFont"/>
    <w:link w:val="Signature"/>
    <w:semiHidden/>
    <w:rPr>
      <w:rFonts w:ascii="Georgia" w:eastAsia="Times New Roman" w:hAnsi="Georgia" w:cs="Times New Roman"/>
      <w:sz w:val="24"/>
      <w:lang w:val="en-GB" w:eastAsia="de-DE"/>
    </w:rPr>
  </w:style>
  <w:style w:type="character" w:styleId="LineNumber">
    <w:name w:val="line number"/>
    <w:basedOn w:val="DefaultParagraphFont"/>
  </w:style>
  <w:style w:type="table" w:customStyle="1" w:styleId="IRB-Tabelle">
    <w:name w:val="IRB-Tabelle"/>
    <w:basedOn w:val="TableNormal"/>
    <w:semiHidden/>
    <w:pPr>
      <w:spacing w:before="180" w:after="0" w:line="330" w:lineRule="atLeast"/>
      <w:jc w:val="both"/>
    </w:pPr>
    <w:rPr>
      <w:rFonts w:ascii="Frutiger 45 Light" w:eastAsia="Times New Roman" w:hAnsi="Frutiger 45 Light" w:cs="Times New Roman"/>
      <w:sz w:val="18"/>
      <w:szCs w:val="20"/>
      <w:lang w:val="de-DE" w:eastAsia="de-DE"/>
    </w:rPr>
    <w:tblPr>
      <w:tblStyleRowBandSize w:val="1"/>
      <w:tblInd w:w="125" w:type="dxa"/>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U11f">
    <w:name w:val="U11f"/>
    <w:basedOn w:val="Normal"/>
    <w:next w:val="Normal"/>
    <w:pPr>
      <w:keepNext/>
      <w:keepLines/>
      <w:tabs>
        <w:tab w:val="left" w:pos="1134"/>
      </w:tabs>
      <w:spacing w:before="320" w:after="100"/>
    </w:pPr>
    <w:rPr>
      <w:rFonts w:ascii="Georgia" w:eastAsia="Times New Roman" w:hAnsi="Georgia" w:cs="Times New Roman"/>
      <w:b/>
      <w:lang w:val="en-GB" w:eastAsia="de-DE"/>
    </w:rPr>
  </w:style>
  <w:style w:type="paragraph" w:customStyle="1" w:styleId="U11k">
    <w:name w:val="U11k"/>
    <w:basedOn w:val="U11f"/>
    <w:next w:val="Normal"/>
  </w:style>
  <w:style w:type="table" w:styleId="TableClassic3">
    <w:name w:val="Table Classic 3"/>
    <w:basedOn w:val="TableNormal"/>
    <w:pPr>
      <w:spacing w:after="100" w:line="240" w:lineRule="auto"/>
      <w:jc w:val="both"/>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MediumList22">
    <w:name w:val="Medium List 22"/>
    <w:basedOn w:val="TableNormal"/>
    <w:uiPriority w:val="66"/>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1">
    <w:name w:val="Medium Shading 2 - Accent 11"/>
    <w:basedOn w:val="TableNormal"/>
    <w:uiPriority w:val="64"/>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BookTitle">
    <w:name w:val="Book Title"/>
    <w:basedOn w:val="DefaultParagraphFont"/>
    <w:uiPriority w:val="99"/>
    <w:qFormat/>
    <w:rPr>
      <w:b/>
      <w:bCs/>
      <w:smallCaps/>
      <w:spacing w:val="5"/>
    </w:rPr>
  </w:style>
  <w:style w:type="paragraph" w:customStyle="1" w:styleId="Heading11">
    <w:name w:val="Heading 11"/>
    <w:basedOn w:val="Normal"/>
    <w:next w:val="Normal"/>
    <w:uiPriority w:val="9"/>
    <w:qFormat/>
    <w:pPr>
      <w:keepNext/>
      <w:keepLines/>
      <w:spacing w:before="240" w:after="240" w:line="259" w:lineRule="auto"/>
      <w:jc w:val="center"/>
      <w:outlineLvl w:val="0"/>
    </w:pPr>
    <w:rPr>
      <w:rFonts w:ascii="Georgia" w:eastAsia="MS PGothic" w:hAnsi="Georgia" w:cs="Mangal"/>
      <w:b/>
      <w:snapToGrid w:val="0"/>
      <w:color w:val="000000"/>
      <w:sz w:val="40"/>
      <w:szCs w:val="40"/>
      <w:lang w:val="en-US"/>
    </w:rPr>
  </w:style>
  <w:style w:type="paragraph" w:customStyle="1" w:styleId="Heading21">
    <w:name w:val="Heading 21"/>
    <w:basedOn w:val="Normal"/>
    <w:next w:val="Normal"/>
    <w:uiPriority w:val="9"/>
    <w:unhideWhenUsed/>
    <w:qFormat/>
    <w:pPr>
      <w:keepNext/>
      <w:keepLines/>
      <w:spacing w:before="120" w:line="259" w:lineRule="auto"/>
      <w:ind w:left="432" w:hanging="432"/>
      <w:jc w:val="both"/>
      <w:outlineLvl w:val="1"/>
    </w:pPr>
    <w:rPr>
      <w:rFonts w:ascii="Georgia" w:eastAsia="MS PGothic" w:hAnsi="Georgia" w:cs="Mangal"/>
      <w:b/>
      <w:snapToGrid w:val="0"/>
      <w:color w:val="000000"/>
      <w:sz w:val="26"/>
      <w:szCs w:val="26"/>
      <w:lang w:val="en-US"/>
    </w:rPr>
  </w:style>
  <w:style w:type="paragraph" w:customStyle="1" w:styleId="Heading31">
    <w:name w:val="Heading 31"/>
    <w:basedOn w:val="Normal"/>
    <w:next w:val="Normal"/>
    <w:uiPriority w:val="9"/>
    <w:unhideWhenUsed/>
    <w:qFormat/>
    <w:pPr>
      <w:keepNext/>
      <w:keepLines/>
      <w:tabs>
        <w:tab w:val="left" w:pos="-720"/>
      </w:tabs>
      <w:suppressAutoHyphens/>
      <w:spacing w:before="120"/>
      <w:ind w:left="576" w:hanging="576"/>
      <w:jc w:val="both"/>
      <w:outlineLvl w:val="2"/>
    </w:pPr>
    <w:rPr>
      <w:rFonts w:ascii="Georgia" w:eastAsia="MS PGothic" w:hAnsi="Georgia" w:cs="Mangal"/>
      <w:b/>
      <w:bCs/>
      <w:i/>
      <w:snapToGrid w:val="0"/>
      <w:color w:val="000000"/>
      <w:szCs w:val="24"/>
      <w:lang w:val="en-US" w:eastAsia="it-IT"/>
    </w:rPr>
  </w:style>
  <w:style w:type="paragraph" w:customStyle="1" w:styleId="Heading71">
    <w:name w:val="Heading 71"/>
    <w:basedOn w:val="Normal"/>
    <w:next w:val="Normal"/>
    <w:uiPriority w:val="9"/>
    <w:semiHidden/>
    <w:unhideWhenUsed/>
    <w:pPr>
      <w:keepNext/>
      <w:keepLines/>
      <w:spacing w:before="40" w:after="0" w:line="259" w:lineRule="auto"/>
      <w:ind w:left="1296" w:hanging="1296"/>
      <w:jc w:val="both"/>
      <w:outlineLvl w:val="6"/>
    </w:pPr>
    <w:rPr>
      <w:rFonts w:ascii="Calibri Light" w:eastAsia="MS PGothic" w:hAnsi="Calibri Light" w:cs="Mangal"/>
      <w:i/>
      <w:iCs/>
      <w:snapToGrid w:val="0"/>
      <w:color w:val="7C5700"/>
      <w:sz w:val="22"/>
      <w:szCs w:val="20"/>
      <w:lang w:val="en-US"/>
    </w:rPr>
  </w:style>
  <w:style w:type="paragraph" w:customStyle="1" w:styleId="Heading81">
    <w:name w:val="Heading 81"/>
    <w:basedOn w:val="Normal"/>
    <w:next w:val="Normal"/>
    <w:uiPriority w:val="9"/>
    <w:semiHidden/>
    <w:unhideWhenUsed/>
    <w:qFormat/>
    <w:pPr>
      <w:keepNext/>
      <w:keepLines/>
      <w:spacing w:before="40" w:after="0" w:line="259" w:lineRule="auto"/>
      <w:ind w:left="1440" w:hanging="1440"/>
      <w:jc w:val="both"/>
      <w:outlineLvl w:val="7"/>
    </w:pPr>
    <w:rPr>
      <w:rFonts w:ascii="Calibri Light" w:eastAsia="MS PGothic" w:hAnsi="Calibri Light" w:cs="Mangal"/>
      <w:snapToGrid w:val="0"/>
      <w:color w:val="272727"/>
      <w:sz w:val="21"/>
      <w:szCs w:val="21"/>
      <w:lang w:val="en-US"/>
    </w:rPr>
  </w:style>
  <w:style w:type="paragraph" w:customStyle="1" w:styleId="Heading91">
    <w:name w:val="Heading 91"/>
    <w:basedOn w:val="Normal"/>
    <w:next w:val="Normal"/>
    <w:uiPriority w:val="9"/>
    <w:semiHidden/>
    <w:unhideWhenUsed/>
    <w:qFormat/>
    <w:pPr>
      <w:keepNext/>
      <w:keepLines/>
      <w:spacing w:before="40" w:after="0" w:line="259" w:lineRule="auto"/>
      <w:ind w:left="1584" w:hanging="1584"/>
      <w:jc w:val="both"/>
      <w:outlineLvl w:val="8"/>
    </w:pPr>
    <w:rPr>
      <w:rFonts w:ascii="Calibri Light" w:eastAsia="MS PGothic" w:hAnsi="Calibri Light" w:cs="Mangal"/>
      <w:i/>
      <w:iCs/>
      <w:snapToGrid w:val="0"/>
      <w:color w:val="272727"/>
      <w:sz w:val="21"/>
      <w:szCs w:val="21"/>
      <w:lang w:val="en-US"/>
    </w:rPr>
  </w:style>
  <w:style w:type="numbering" w:customStyle="1" w:styleId="NoList1">
    <w:name w:val="No List1"/>
    <w:next w:val="NoList"/>
    <w:uiPriority w:val="99"/>
    <w:semiHidden/>
    <w:unhideWhenUsed/>
  </w:style>
  <w:style w:type="character" w:customStyle="1" w:styleId="SubtleEmphasis1">
    <w:name w:val="Subtle Emphasis1"/>
    <w:basedOn w:val="DefaultParagraphFont"/>
    <w:uiPriority w:val="19"/>
    <w:rPr>
      <w:i/>
      <w:iCs/>
      <w:color w:val="404040"/>
    </w:rPr>
  </w:style>
  <w:style w:type="paragraph" w:customStyle="1" w:styleId="TOCHeading1">
    <w:name w:val="TOC Heading1"/>
    <w:basedOn w:val="Heading1"/>
    <w:next w:val="Normal"/>
    <w:uiPriority w:val="39"/>
    <w:unhideWhenUsed/>
    <w:qFormat/>
    <w:pPr>
      <w:keepLines/>
      <w:numPr>
        <w:numId w:val="0"/>
      </w:numPr>
      <w:spacing w:after="0" w:line="259" w:lineRule="auto"/>
      <w:jc w:val="left"/>
    </w:pPr>
    <w:rPr>
      <w:rFonts w:ascii="Georgia" w:eastAsia="MS PGothic" w:hAnsi="Georgia" w:cs="Mangal"/>
      <w:smallCaps w:val="0"/>
      <w:snapToGrid w:val="0"/>
      <w:color w:val="000000"/>
      <w:sz w:val="40"/>
      <w:szCs w:val="40"/>
      <w:lang w:val="en-US" w:eastAsia="de-DE"/>
    </w:rPr>
  </w:style>
  <w:style w:type="paragraph" w:customStyle="1" w:styleId="TOC11">
    <w:name w:val="TOC 11"/>
    <w:basedOn w:val="Normal"/>
    <w:next w:val="Normal"/>
    <w:autoRedefine/>
    <w:uiPriority w:val="39"/>
    <w:unhideWhenUsed/>
    <w:pPr>
      <w:spacing w:before="360" w:after="0" w:line="259" w:lineRule="auto"/>
    </w:pPr>
    <w:rPr>
      <w:rFonts w:ascii="Calibri Light" w:eastAsia="Times New Roman" w:hAnsi="Calibri Light"/>
      <w:b/>
      <w:bCs/>
      <w:caps/>
      <w:snapToGrid w:val="0"/>
      <w:szCs w:val="24"/>
      <w:lang w:val="en-US"/>
    </w:rPr>
  </w:style>
  <w:style w:type="paragraph" w:customStyle="1" w:styleId="TOC21">
    <w:name w:val="TOC 21"/>
    <w:basedOn w:val="Normal"/>
    <w:next w:val="Normal"/>
    <w:autoRedefine/>
    <w:uiPriority w:val="39"/>
    <w:unhideWhenUsed/>
    <w:pPr>
      <w:spacing w:before="240" w:after="0" w:line="259" w:lineRule="auto"/>
    </w:pPr>
    <w:rPr>
      <w:rFonts w:asciiTheme="minorHAnsi" w:eastAsia="Times New Roman" w:hAnsiTheme="minorHAnsi"/>
      <w:b/>
      <w:bCs/>
      <w:snapToGrid w:val="0"/>
      <w:sz w:val="20"/>
      <w:szCs w:val="20"/>
      <w:lang w:val="en-US"/>
    </w:rPr>
  </w:style>
  <w:style w:type="paragraph" w:customStyle="1" w:styleId="TOC31">
    <w:name w:val="TOC 31"/>
    <w:basedOn w:val="Normal"/>
    <w:next w:val="Normal"/>
    <w:autoRedefine/>
    <w:uiPriority w:val="39"/>
    <w:unhideWhenUsed/>
    <w:pPr>
      <w:spacing w:after="0" w:line="259" w:lineRule="auto"/>
      <w:ind w:left="220"/>
    </w:pPr>
    <w:rPr>
      <w:rFonts w:asciiTheme="minorHAnsi" w:eastAsia="Times New Roman" w:hAnsiTheme="minorHAnsi"/>
      <w:snapToGrid w:val="0"/>
      <w:sz w:val="20"/>
      <w:szCs w:val="20"/>
      <w:lang w:val="en-US"/>
    </w:rPr>
  </w:style>
  <w:style w:type="paragraph" w:customStyle="1" w:styleId="TOC41">
    <w:name w:val="TOC 41"/>
    <w:basedOn w:val="Normal"/>
    <w:next w:val="Normal"/>
    <w:autoRedefine/>
    <w:uiPriority w:val="39"/>
    <w:unhideWhenUsed/>
    <w:pPr>
      <w:spacing w:after="0" w:line="259" w:lineRule="auto"/>
      <w:ind w:left="440"/>
    </w:pPr>
    <w:rPr>
      <w:rFonts w:asciiTheme="minorHAnsi" w:eastAsia="Times New Roman" w:hAnsiTheme="minorHAnsi"/>
      <w:snapToGrid w:val="0"/>
      <w:sz w:val="20"/>
      <w:szCs w:val="20"/>
      <w:lang w:val="en-US"/>
    </w:rPr>
  </w:style>
  <w:style w:type="paragraph" w:customStyle="1" w:styleId="Tiret1">
    <w:name w:val="Tiret 1"/>
    <w:basedOn w:val="Normal"/>
    <w:autoRedefine/>
    <w:pPr>
      <w:numPr>
        <w:numId w:val="46"/>
      </w:numPr>
      <w:tabs>
        <w:tab w:val="clear" w:pos="360"/>
        <w:tab w:val="left" w:pos="-720"/>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40"/>
      <w:jc w:val="both"/>
      <w:outlineLvl w:val="0"/>
    </w:pPr>
    <w:rPr>
      <w:rFonts w:ascii="Arial" w:eastAsia="Times New Roman" w:hAnsi="Arial" w:cs="Times New Roman"/>
      <w:bCs/>
      <w:color w:val="000000"/>
      <w:sz w:val="22"/>
      <w:szCs w:val="20"/>
      <w:lang w:val="en-GB" w:eastAsia="en-GB"/>
    </w:rPr>
  </w:style>
  <w:style w:type="table" w:styleId="TableList1">
    <w:name w:val="Table List 1"/>
    <w:basedOn w:val="TableNormal"/>
    <w:pPr>
      <w:tabs>
        <w:tab w:val="left" w:pos="-720"/>
      </w:tabs>
      <w:suppressAutoHyphens/>
      <w:spacing w:after="100"/>
      <w:jc w:val="both"/>
      <w:outlineLvl w:val="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OC51">
    <w:name w:val="TOC 51"/>
    <w:basedOn w:val="Normal"/>
    <w:next w:val="Normal"/>
    <w:autoRedefine/>
    <w:uiPriority w:val="39"/>
    <w:unhideWhenUsed/>
    <w:pPr>
      <w:spacing w:after="0" w:line="259" w:lineRule="auto"/>
      <w:ind w:left="660"/>
    </w:pPr>
    <w:rPr>
      <w:rFonts w:asciiTheme="minorHAnsi" w:eastAsia="Times New Roman" w:hAnsiTheme="minorHAnsi"/>
      <w:snapToGrid w:val="0"/>
      <w:sz w:val="20"/>
      <w:szCs w:val="20"/>
      <w:lang w:val="en-US"/>
    </w:rPr>
  </w:style>
  <w:style w:type="paragraph" w:customStyle="1" w:styleId="TOC61">
    <w:name w:val="TOC 61"/>
    <w:basedOn w:val="Normal"/>
    <w:next w:val="Normal"/>
    <w:autoRedefine/>
    <w:uiPriority w:val="39"/>
    <w:unhideWhenUsed/>
    <w:pPr>
      <w:spacing w:after="0" w:line="259" w:lineRule="auto"/>
      <w:ind w:left="880"/>
    </w:pPr>
    <w:rPr>
      <w:rFonts w:asciiTheme="minorHAnsi" w:eastAsia="Times New Roman" w:hAnsiTheme="minorHAnsi"/>
      <w:snapToGrid w:val="0"/>
      <w:sz w:val="20"/>
      <w:szCs w:val="20"/>
      <w:lang w:val="en-US"/>
    </w:rPr>
  </w:style>
  <w:style w:type="paragraph" w:customStyle="1" w:styleId="TOC71">
    <w:name w:val="TOC 71"/>
    <w:basedOn w:val="Normal"/>
    <w:next w:val="Normal"/>
    <w:autoRedefine/>
    <w:uiPriority w:val="39"/>
    <w:unhideWhenUsed/>
    <w:pPr>
      <w:spacing w:after="0" w:line="259" w:lineRule="auto"/>
      <w:ind w:left="1100"/>
    </w:pPr>
    <w:rPr>
      <w:rFonts w:asciiTheme="minorHAnsi" w:eastAsia="Times New Roman" w:hAnsiTheme="minorHAnsi"/>
      <w:snapToGrid w:val="0"/>
      <w:sz w:val="20"/>
      <w:szCs w:val="20"/>
      <w:lang w:val="en-US"/>
    </w:rPr>
  </w:style>
  <w:style w:type="paragraph" w:customStyle="1" w:styleId="TOC81">
    <w:name w:val="TOC 81"/>
    <w:basedOn w:val="Normal"/>
    <w:next w:val="Normal"/>
    <w:autoRedefine/>
    <w:uiPriority w:val="39"/>
    <w:unhideWhenUsed/>
    <w:pPr>
      <w:spacing w:after="0" w:line="259" w:lineRule="auto"/>
      <w:ind w:left="1320"/>
    </w:pPr>
    <w:rPr>
      <w:rFonts w:asciiTheme="minorHAnsi" w:eastAsia="Times New Roman" w:hAnsiTheme="minorHAnsi"/>
      <w:snapToGrid w:val="0"/>
      <w:sz w:val="20"/>
      <w:szCs w:val="20"/>
      <w:lang w:val="en-US"/>
    </w:rPr>
  </w:style>
  <w:style w:type="paragraph" w:customStyle="1" w:styleId="TOC91">
    <w:name w:val="TOC 91"/>
    <w:basedOn w:val="Normal"/>
    <w:next w:val="Normal"/>
    <w:autoRedefine/>
    <w:uiPriority w:val="39"/>
    <w:unhideWhenUsed/>
    <w:pPr>
      <w:spacing w:after="0" w:line="259" w:lineRule="auto"/>
      <w:ind w:left="1540"/>
    </w:pPr>
    <w:rPr>
      <w:rFonts w:asciiTheme="minorHAnsi" w:eastAsia="Times New Roman" w:hAnsiTheme="minorHAnsi"/>
      <w:snapToGrid w:val="0"/>
      <w:sz w:val="20"/>
      <w:szCs w:val="20"/>
      <w:lang w:val="en-US"/>
    </w:rPr>
  </w:style>
  <w:style w:type="character" w:customStyle="1" w:styleId="FollowedHyperlink1">
    <w:name w:val="FollowedHyperlink1"/>
    <w:basedOn w:val="DefaultParagraphFont"/>
    <w:uiPriority w:val="99"/>
    <w:semiHidden/>
    <w:unhideWhenUsed/>
    <w:rPr>
      <w:color w:val="9F6715"/>
      <w:u w:val="single"/>
    </w:rPr>
  </w:style>
  <w:style w:type="character" w:customStyle="1" w:styleId="Heading3Char1">
    <w:name w:val="Heading 3 Char1"/>
    <w:basedOn w:val="DefaultParagraphFont"/>
    <w:uiPriority w:val="9"/>
    <w:rPr>
      <w:rFonts w:ascii="Georgia" w:hAnsi="Georgia"/>
      <w:i/>
      <w:sz w:val="26"/>
      <w:szCs w:val="22"/>
      <w:lang w:val="en-GB"/>
    </w:rPr>
  </w:style>
  <w:style w:type="character" w:customStyle="1" w:styleId="Heading1Char1">
    <w:name w:val="Heading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7Char1">
    <w:name w:val="Heading 7 Char1"/>
    <w:basedOn w:val="DefaultParagraphFont"/>
    <w:uiPriority w:val="9"/>
    <w:semiHidden/>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Pr>
      <w:rFonts w:asciiTheme="majorHAnsi" w:eastAsiaTheme="majorEastAsia" w:hAnsiTheme="majorHAnsi" w:cstheme="majorBidi"/>
      <w:i/>
      <w:iCs/>
      <w:color w:val="272727" w:themeColor="text1" w:themeTint="D8"/>
      <w:sz w:val="21"/>
      <w:szCs w:val="21"/>
    </w:rPr>
  </w:style>
  <w:style w:type="numbering" w:customStyle="1" w:styleId="NoList2">
    <w:name w:val="No List2"/>
    <w:next w:val="NoList"/>
    <w:uiPriority w:val="99"/>
    <w:semiHidden/>
    <w:unhideWhenUsed/>
  </w:style>
  <w:style w:type="paragraph" w:customStyle="1" w:styleId="TOCHeading2">
    <w:name w:val="TOC Heading2"/>
    <w:basedOn w:val="Heading1"/>
    <w:next w:val="Normal"/>
    <w:uiPriority w:val="39"/>
    <w:unhideWhenUsed/>
    <w:qFormat/>
    <w:pPr>
      <w:keepLines/>
      <w:numPr>
        <w:numId w:val="0"/>
      </w:numPr>
      <w:spacing w:after="0" w:line="259" w:lineRule="auto"/>
      <w:jc w:val="left"/>
      <w:outlineLvl w:val="9"/>
    </w:pPr>
    <w:rPr>
      <w:rFonts w:ascii="Calibri Light" w:hAnsi="Calibri Light"/>
      <w:b w:val="0"/>
      <w:smallCaps w:val="0"/>
      <w:color w:val="BA8300"/>
      <w:sz w:val="32"/>
      <w:szCs w:val="32"/>
      <w:lang w:val="it-IT" w:eastAsia="it-IT"/>
    </w:rPr>
  </w:style>
  <w:style w:type="paragraph" w:customStyle="1" w:styleId="TOC12">
    <w:name w:val="TOC 12"/>
    <w:basedOn w:val="Normal"/>
    <w:next w:val="Normal"/>
    <w:autoRedefine/>
    <w:uiPriority w:val="39"/>
    <w:unhideWhenUsed/>
    <w:pPr>
      <w:spacing w:before="360" w:after="0" w:line="259" w:lineRule="auto"/>
    </w:pPr>
    <w:rPr>
      <w:rFonts w:ascii="Calibri Light" w:eastAsia="Times New Roman" w:hAnsi="Calibri Light"/>
      <w:b/>
      <w:bCs/>
      <w:caps/>
      <w:snapToGrid w:val="0"/>
      <w:szCs w:val="24"/>
      <w:lang w:val="en-US"/>
    </w:rPr>
  </w:style>
  <w:style w:type="paragraph" w:customStyle="1" w:styleId="TOC22">
    <w:name w:val="TOC 22"/>
    <w:basedOn w:val="Normal"/>
    <w:next w:val="Normal"/>
    <w:autoRedefine/>
    <w:uiPriority w:val="39"/>
    <w:unhideWhenUsed/>
    <w:pPr>
      <w:spacing w:before="240" w:after="0" w:line="259" w:lineRule="auto"/>
    </w:pPr>
    <w:rPr>
      <w:rFonts w:asciiTheme="minorHAnsi" w:eastAsia="Times New Roman" w:hAnsiTheme="minorHAnsi"/>
      <w:b/>
      <w:bCs/>
      <w:snapToGrid w:val="0"/>
      <w:sz w:val="20"/>
      <w:szCs w:val="20"/>
      <w:lang w:val="en-US"/>
    </w:rPr>
  </w:style>
  <w:style w:type="paragraph" w:customStyle="1" w:styleId="TOC32">
    <w:name w:val="TOC 32"/>
    <w:basedOn w:val="Normal"/>
    <w:next w:val="Normal"/>
    <w:autoRedefine/>
    <w:uiPriority w:val="39"/>
    <w:unhideWhenUsed/>
    <w:pPr>
      <w:spacing w:after="0" w:line="259" w:lineRule="auto"/>
      <w:ind w:left="220"/>
    </w:pPr>
    <w:rPr>
      <w:rFonts w:asciiTheme="minorHAnsi" w:eastAsia="Times New Roman" w:hAnsiTheme="minorHAnsi"/>
      <w:snapToGrid w:val="0"/>
      <w:sz w:val="20"/>
      <w:szCs w:val="20"/>
      <w:lang w:val="en-US"/>
    </w:rPr>
  </w:style>
  <w:style w:type="paragraph" w:customStyle="1" w:styleId="TOC42">
    <w:name w:val="TOC 42"/>
    <w:basedOn w:val="Normal"/>
    <w:next w:val="Normal"/>
    <w:autoRedefine/>
    <w:uiPriority w:val="39"/>
    <w:unhideWhenUsed/>
    <w:pPr>
      <w:spacing w:after="0" w:line="259" w:lineRule="auto"/>
      <w:ind w:left="440"/>
    </w:pPr>
    <w:rPr>
      <w:rFonts w:asciiTheme="minorHAnsi" w:eastAsia="Times New Roman" w:hAnsiTheme="minorHAnsi"/>
      <w:snapToGrid w:val="0"/>
      <w:sz w:val="20"/>
      <w:szCs w:val="20"/>
      <w:lang w:val="en-US"/>
    </w:rPr>
  </w:style>
  <w:style w:type="table" w:customStyle="1" w:styleId="TableGridIDEA1">
    <w:name w:val="Table Grid IDEA1"/>
    <w:basedOn w:val="TableNormal"/>
    <w:next w:val="TableGrid"/>
    <w:uiPriority w:val="59"/>
    <w:pPr>
      <w:spacing w:after="0" w:line="240" w:lineRule="auto"/>
    </w:pPr>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1">
    <w:name w:val="Table List 11"/>
    <w:basedOn w:val="TableNormal"/>
    <w:next w:val="TableList1"/>
    <w:pPr>
      <w:tabs>
        <w:tab w:val="left" w:pos="-720"/>
      </w:tabs>
      <w:suppressAutoHyphens/>
      <w:spacing w:after="100"/>
      <w:jc w:val="both"/>
      <w:outlineLvl w:val="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4-Accent111">
    <w:name w:val="Grid Table 4 - Accent 111"/>
    <w:basedOn w:val="TableNormal"/>
    <w:uiPriority w:val="49"/>
    <w:pPr>
      <w:spacing w:after="0" w:line="240" w:lineRule="auto"/>
    </w:pPr>
    <w:rPr>
      <w:rFonts w:eastAsia="Times New Roman"/>
      <w:lang w:val="en-US"/>
    </w:rPr>
    <w:tblPr>
      <w:tblStyleRowBandSize w:val="1"/>
      <w:tblStyleColBandSize w:val="1"/>
      <w:tblBorders>
        <w:top w:val="single" w:sz="4" w:space="0" w:color="FFD062"/>
        <w:left w:val="single" w:sz="4" w:space="0" w:color="FFD062"/>
        <w:bottom w:val="single" w:sz="4" w:space="0" w:color="FFD062"/>
        <w:right w:val="single" w:sz="4" w:space="0" w:color="FFD062"/>
        <w:insideH w:val="single" w:sz="4" w:space="0" w:color="FFD062"/>
        <w:insideV w:val="single" w:sz="4" w:space="0" w:color="FFD062"/>
      </w:tblBorders>
    </w:tblPr>
    <w:tblStylePr w:type="firstRow">
      <w:rPr>
        <w:b/>
        <w:bCs/>
        <w:color w:val="FFFFFF"/>
      </w:rPr>
      <w:tblPr/>
      <w:tcPr>
        <w:tcBorders>
          <w:top w:val="single" w:sz="4" w:space="0" w:color="F9B000"/>
          <w:left w:val="single" w:sz="4" w:space="0" w:color="F9B000"/>
          <w:bottom w:val="single" w:sz="4" w:space="0" w:color="F9B000"/>
          <w:right w:val="single" w:sz="4" w:space="0" w:color="F9B000"/>
          <w:insideH w:val="nil"/>
          <w:insideV w:val="nil"/>
        </w:tcBorders>
        <w:shd w:val="clear" w:color="auto" w:fill="F9B000"/>
      </w:tcPr>
    </w:tblStylePr>
    <w:tblStylePr w:type="lastRow">
      <w:rPr>
        <w:b/>
        <w:bCs/>
      </w:rPr>
      <w:tblPr/>
      <w:tcPr>
        <w:tcBorders>
          <w:top w:val="double" w:sz="4" w:space="0" w:color="F9B000"/>
        </w:tcBorders>
      </w:tcPr>
    </w:tblStylePr>
    <w:tblStylePr w:type="firstCol">
      <w:rPr>
        <w:b/>
        <w:bCs/>
      </w:rPr>
    </w:tblStylePr>
    <w:tblStylePr w:type="lastCol">
      <w:rPr>
        <w:b/>
        <w:bCs/>
      </w:rPr>
    </w:tblStylePr>
    <w:tblStylePr w:type="band1Vert">
      <w:tblPr/>
      <w:tcPr>
        <w:shd w:val="clear" w:color="auto" w:fill="FFEFCA"/>
      </w:tcPr>
    </w:tblStylePr>
    <w:tblStylePr w:type="band1Horz">
      <w:tblPr/>
      <w:tcPr>
        <w:shd w:val="clear" w:color="auto" w:fill="FFEFCA"/>
      </w:tcPr>
    </w:tblStylePr>
  </w:style>
  <w:style w:type="paragraph" w:customStyle="1" w:styleId="TOC52">
    <w:name w:val="TOC 52"/>
    <w:basedOn w:val="Normal"/>
    <w:next w:val="Normal"/>
    <w:autoRedefine/>
    <w:uiPriority w:val="39"/>
    <w:unhideWhenUsed/>
    <w:pPr>
      <w:spacing w:after="0" w:line="259" w:lineRule="auto"/>
      <w:ind w:left="660"/>
    </w:pPr>
    <w:rPr>
      <w:rFonts w:asciiTheme="minorHAnsi" w:eastAsia="Times New Roman" w:hAnsiTheme="minorHAnsi"/>
      <w:snapToGrid w:val="0"/>
      <w:sz w:val="20"/>
      <w:szCs w:val="20"/>
      <w:lang w:val="en-US"/>
    </w:rPr>
  </w:style>
  <w:style w:type="paragraph" w:customStyle="1" w:styleId="TOC62">
    <w:name w:val="TOC 62"/>
    <w:basedOn w:val="Normal"/>
    <w:next w:val="Normal"/>
    <w:autoRedefine/>
    <w:uiPriority w:val="39"/>
    <w:unhideWhenUsed/>
    <w:pPr>
      <w:spacing w:after="0" w:line="259" w:lineRule="auto"/>
      <w:ind w:left="880"/>
    </w:pPr>
    <w:rPr>
      <w:rFonts w:asciiTheme="minorHAnsi" w:eastAsia="Times New Roman" w:hAnsiTheme="minorHAnsi"/>
      <w:snapToGrid w:val="0"/>
      <w:sz w:val="20"/>
      <w:szCs w:val="20"/>
      <w:lang w:val="en-US"/>
    </w:rPr>
  </w:style>
  <w:style w:type="paragraph" w:customStyle="1" w:styleId="TOC72">
    <w:name w:val="TOC 72"/>
    <w:basedOn w:val="Normal"/>
    <w:next w:val="Normal"/>
    <w:autoRedefine/>
    <w:uiPriority w:val="39"/>
    <w:unhideWhenUsed/>
    <w:pPr>
      <w:spacing w:after="0" w:line="259" w:lineRule="auto"/>
      <w:ind w:left="1100"/>
    </w:pPr>
    <w:rPr>
      <w:rFonts w:asciiTheme="minorHAnsi" w:eastAsia="Times New Roman" w:hAnsiTheme="minorHAnsi"/>
      <w:snapToGrid w:val="0"/>
      <w:sz w:val="20"/>
      <w:szCs w:val="20"/>
      <w:lang w:val="en-US"/>
    </w:rPr>
  </w:style>
  <w:style w:type="paragraph" w:customStyle="1" w:styleId="TOC82">
    <w:name w:val="TOC 82"/>
    <w:basedOn w:val="Normal"/>
    <w:next w:val="Normal"/>
    <w:autoRedefine/>
    <w:uiPriority w:val="39"/>
    <w:unhideWhenUsed/>
    <w:pPr>
      <w:spacing w:after="0" w:line="259" w:lineRule="auto"/>
      <w:ind w:left="1320"/>
    </w:pPr>
    <w:rPr>
      <w:rFonts w:asciiTheme="minorHAnsi" w:eastAsia="Times New Roman" w:hAnsiTheme="minorHAnsi"/>
      <w:snapToGrid w:val="0"/>
      <w:sz w:val="20"/>
      <w:szCs w:val="20"/>
      <w:lang w:val="en-US"/>
    </w:rPr>
  </w:style>
  <w:style w:type="paragraph" w:customStyle="1" w:styleId="TOC92">
    <w:name w:val="TOC 92"/>
    <w:basedOn w:val="Normal"/>
    <w:next w:val="Normal"/>
    <w:autoRedefine/>
    <w:uiPriority w:val="39"/>
    <w:unhideWhenUsed/>
    <w:pPr>
      <w:spacing w:after="0" w:line="259" w:lineRule="auto"/>
      <w:ind w:left="1540"/>
    </w:pPr>
    <w:rPr>
      <w:rFonts w:asciiTheme="minorHAnsi" w:eastAsia="Times New Roman" w:hAnsiTheme="minorHAnsi"/>
      <w:snapToGrid w:val="0"/>
      <w:sz w:val="20"/>
      <w:szCs w:val="20"/>
      <w:lang w:val="en-US"/>
    </w:rPr>
  </w:style>
  <w:style w:type="table" w:customStyle="1" w:styleId="EPS1">
    <w:name w:val="EPS1"/>
    <w:basedOn w:val="TableNormal"/>
    <w:uiPriority w:val="63"/>
    <w:pPr>
      <w:spacing w:after="0" w:line="240" w:lineRule="auto"/>
    </w:pPr>
    <w:rPr>
      <w:rFonts w:ascii="Cambria" w:eastAsia="Times New Roman" w:hAnsi="Cambria" w:cs="Times New Roman"/>
      <w:sz w:val="24"/>
      <w:szCs w:val="24"/>
      <w:lang w:val="it-IT"/>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3">
    <w:name w:val="No List3"/>
    <w:next w:val="NoList"/>
    <w:uiPriority w:val="99"/>
    <w:semiHidden/>
    <w:unhideWhenUsed/>
  </w:style>
  <w:style w:type="paragraph" w:customStyle="1" w:styleId="TOCHeading3">
    <w:name w:val="TOC Heading3"/>
    <w:basedOn w:val="Heading1"/>
    <w:next w:val="Normal"/>
    <w:uiPriority w:val="39"/>
    <w:unhideWhenUsed/>
    <w:qFormat/>
    <w:pPr>
      <w:keepLines/>
      <w:numPr>
        <w:numId w:val="0"/>
      </w:numPr>
      <w:spacing w:after="0" w:line="259" w:lineRule="auto"/>
      <w:jc w:val="left"/>
      <w:outlineLvl w:val="9"/>
    </w:pPr>
    <w:rPr>
      <w:rFonts w:ascii="Calibri Light" w:hAnsi="Calibri Light"/>
      <w:b w:val="0"/>
      <w:smallCaps w:val="0"/>
      <w:color w:val="BA8300"/>
      <w:sz w:val="32"/>
      <w:szCs w:val="32"/>
      <w:lang w:val="it-IT" w:eastAsia="it-IT"/>
    </w:rPr>
  </w:style>
  <w:style w:type="table" w:customStyle="1" w:styleId="GridTable5Dark-Accent112">
    <w:name w:val="Grid Table 5 Dark - Accent 112"/>
    <w:basedOn w:val="TableNormal"/>
    <w:uiPriority w:val="50"/>
    <w:pPr>
      <w:spacing w:after="0" w:line="240" w:lineRule="auto"/>
    </w:pPr>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FC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9B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9B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9B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9B000"/>
      </w:tcPr>
    </w:tblStylePr>
    <w:tblStylePr w:type="band1Vert">
      <w:tblPr/>
      <w:tcPr>
        <w:shd w:val="clear" w:color="auto" w:fill="FFE096"/>
      </w:tcPr>
    </w:tblStylePr>
    <w:tblStylePr w:type="band1Horz">
      <w:tblPr/>
      <w:tcPr>
        <w:shd w:val="clear" w:color="auto" w:fill="FFE096"/>
      </w:tcPr>
    </w:tblStylePr>
  </w:style>
  <w:style w:type="paragraph" w:customStyle="1" w:styleId="TOC13">
    <w:name w:val="TOC 13"/>
    <w:basedOn w:val="Normal"/>
    <w:next w:val="Normal"/>
    <w:autoRedefine/>
    <w:uiPriority w:val="39"/>
    <w:unhideWhenUsed/>
    <w:pPr>
      <w:spacing w:before="360" w:after="0" w:line="259" w:lineRule="auto"/>
    </w:pPr>
    <w:rPr>
      <w:rFonts w:ascii="Calibri Light" w:eastAsia="Times New Roman" w:hAnsi="Calibri Light"/>
      <w:b/>
      <w:bCs/>
      <w:caps/>
      <w:snapToGrid w:val="0"/>
      <w:szCs w:val="24"/>
      <w:lang w:val="en-US"/>
    </w:rPr>
  </w:style>
  <w:style w:type="paragraph" w:customStyle="1" w:styleId="TOC23">
    <w:name w:val="TOC 23"/>
    <w:basedOn w:val="Normal"/>
    <w:next w:val="Normal"/>
    <w:autoRedefine/>
    <w:uiPriority w:val="39"/>
    <w:unhideWhenUsed/>
    <w:pPr>
      <w:spacing w:before="240" w:after="0" w:line="259" w:lineRule="auto"/>
    </w:pPr>
    <w:rPr>
      <w:rFonts w:asciiTheme="minorHAnsi" w:eastAsia="Times New Roman" w:hAnsiTheme="minorHAnsi"/>
      <w:b/>
      <w:bCs/>
      <w:snapToGrid w:val="0"/>
      <w:sz w:val="20"/>
      <w:szCs w:val="20"/>
      <w:lang w:val="en-US"/>
    </w:rPr>
  </w:style>
  <w:style w:type="paragraph" w:customStyle="1" w:styleId="TOC33">
    <w:name w:val="TOC 33"/>
    <w:basedOn w:val="Normal"/>
    <w:next w:val="Normal"/>
    <w:autoRedefine/>
    <w:uiPriority w:val="39"/>
    <w:unhideWhenUsed/>
    <w:pPr>
      <w:spacing w:after="0" w:line="259" w:lineRule="auto"/>
      <w:ind w:left="220"/>
    </w:pPr>
    <w:rPr>
      <w:rFonts w:asciiTheme="minorHAnsi" w:eastAsia="Times New Roman" w:hAnsiTheme="minorHAnsi"/>
      <w:snapToGrid w:val="0"/>
      <w:sz w:val="20"/>
      <w:szCs w:val="20"/>
      <w:lang w:val="en-US"/>
    </w:rPr>
  </w:style>
  <w:style w:type="paragraph" w:customStyle="1" w:styleId="TOC43">
    <w:name w:val="TOC 43"/>
    <w:basedOn w:val="Normal"/>
    <w:next w:val="Normal"/>
    <w:autoRedefine/>
    <w:uiPriority w:val="39"/>
    <w:unhideWhenUsed/>
    <w:pPr>
      <w:spacing w:after="0" w:line="259" w:lineRule="auto"/>
      <w:ind w:left="440"/>
    </w:pPr>
    <w:rPr>
      <w:rFonts w:asciiTheme="minorHAnsi" w:eastAsia="Times New Roman" w:hAnsiTheme="minorHAnsi"/>
      <w:snapToGrid w:val="0"/>
      <w:sz w:val="20"/>
      <w:szCs w:val="20"/>
      <w:lang w:val="en-US"/>
    </w:rPr>
  </w:style>
  <w:style w:type="table" w:customStyle="1" w:styleId="TableGridIDEA2">
    <w:name w:val="Table Grid IDEA2"/>
    <w:basedOn w:val="TableNormal"/>
    <w:next w:val="TableGrid"/>
    <w:uiPriority w:val="59"/>
    <w:pPr>
      <w:spacing w:after="0" w:line="240" w:lineRule="auto"/>
    </w:pPr>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2">
    <w:name w:val="Table List 12"/>
    <w:basedOn w:val="TableNormal"/>
    <w:next w:val="TableList1"/>
    <w:pPr>
      <w:tabs>
        <w:tab w:val="left" w:pos="-720"/>
      </w:tabs>
      <w:suppressAutoHyphens/>
      <w:spacing w:after="100"/>
      <w:jc w:val="both"/>
      <w:outlineLvl w:val="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4-Accent112">
    <w:name w:val="Grid Table 4 - Accent 112"/>
    <w:basedOn w:val="TableNormal"/>
    <w:uiPriority w:val="49"/>
    <w:pPr>
      <w:spacing w:after="0" w:line="240" w:lineRule="auto"/>
    </w:pPr>
    <w:rPr>
      <w:rFonts w:eastAsia="Times New Roman"/>
      <w:lang w:val="en-US"/>
    </w:rPr>
    <w:tblPr>
      <w:tblStyleRowBandSize w:val="1"/>
      <w:tblStyleColBandSize w:val="1"/>
      <w:tblBorders>
        <w:top w:val="single" w:sz="4" w:space="0" w:color="FFD062"/>
        <w:left w:val="single" w:sz="4" w:space="0" w:color="FFD062"/>
        <w:bottom w:val="single" w:sz="4" w:space="0" w:color="FFD062"/>
        <w:right w:val="single" w:sz="4" w:space="0" w:color="FFD062"/>
        <w:insideH w:val="single" w:sz="4" w:space="0" w:color="FFD062"/>
        <w:insideV w:val="single" w:sz="4" w:space="0" w:color="FFD062"/>
      </w:tblBorders>
    </w:tblPr>
    <w:tblStylePr w:type="firstRow">
      <w:rPr>
        <w:b/>
        <w:bCs/>
        <w:color w:val="FFFFFF"/>
      </w:rPr>
      <w:tblPr/>
      <w:tcPr>
        <w:tcBorders>
          <w:top w:val="single" w:sz="4" w:space="0" w:color="F9B000"/>
          <w:left w:val="single" w:sz="4" w:space="0" w:color="F9B000"/>
          <w:bottom w:val="single" w:sz="4" w:space="0" w:color="F9B000"/>
          <w:right w:val="single" w:sz="4" w:space="0" w:color="F9B000"/>
          <w:insideH w:val="nil"/>
          <w:insideV w:val="nil"/>
        </w:tcBorders>
        <w:shd w:val="clear" w:color="auto" w:fill="F9B000"/>
      </w:tcPr>
    </w:tblStylePr>
    <w:tblStylePr w:type="lastRow">
      <w:rPr>
        <w:b/>
        <w:bCs/>
      </w:rPr>
      <w:tblPr/>
      <w:tcPr>
        <w:tcBorders>
          <w:top w:val="double" w:sz="4" w:space="0" w:color="F9B000"/>
        </w:tcBorders>
      </w:tcPr>
    </w:tblStylePr>
    <w:tblStylePr w:type="firstCol">
      <w:rPr>
        <w:b/>
        <w:bCs/>
      </w:rPr>
    </w:tblStylePr>
    <w:tblStylePr w:type="lastCol">
      <w:rPr>
        <w:b/>
        <w:bCs/>
      </w:rPr>
    </w:tblStylePr>
    <w:tblStylePr w:type="band1Vert">
      <w:tblPr/>
      <w:tcPr>
        <w:shd w:val="clear" w:color="auto" w:fill="FFEFCA"/>
      </w:tcPr>
    </w:tblStylePr>
    <w:tblStylePr w:type="band1Horz">
      <w:tblPr/>
      <w:tcPr>
        <w:shd w:val="clear" w:color="auto" w:fill="FFEFCA"/>
      </w:tcPr>
    </w:tblStylePr>
  </w:style>
  <w:style w:type="paragraph" w:customStyle="1" w:styleId="TOC53">
    <w:name w:val="TOC 53"/>
    <w:basedOn w:val="Normal"/>
    <w:next w:val="Normal"/>
    <w:autoRedefine/>
    <w:uiPriority w:val="39"/>
    <w:unhideWhenUsed/>
    <w:pPr>
      <w:spacing w:after="0" w:line="259" w:lineRule="auto"/>
      <w:ind w:left="660"/>
    </w:pPr>
    <w:rPr>
      <w:rFonts w:asciiTheme="minorHAnsi" w:eastAsia="Times New Roman" w:hAnsiTheme="minorHAnsi"/>
      <w:snapToGrid w:val="0"/>
      <w:sz w:val="20"/>
      <w:szCs w:val="20"/>
      <w:lang w:val="en-US"/>
    </w:rPr>
  </w:style>
  <w:style w:type="paragraph" w:customStyle="1" w:styleId="TOC63">
    <w:name w:val="TOC 63"/>
    <w:basedOn w:val="Normal"/>
    <w:next w:val="Normal"/>
    <w:autoRedefine/>
    <w:uiPriority w:val="39"/>
    <w:unhideWhenUsed/>
    <w:pPr>
      <w:spacing w:after="0" w:line="259" w:lineRule="auto"/>
      <w:ind w:left="880"/>
    </w:pPr>
    <w:rPr>
      <w:rFonts w:asciiTheme="minorHAnsi" w:eastAsia="Times New Roman" w:hAnsiTheme="minorHAnsi"/>
      <w:snapToGrid w:val="0"/>
      <w:sz w:val="20"/>
      <w:szCs w:val="20"/>
      <w:lang w:val="en-US"/>
    </w:rPr>
  </w:style>
  <w:style w:type="paragraph" w:customStyle="1" w:styleId="TOC73">
    <w:name w:val="TOC 73"/>
    <w:basedOn w:val="Normal"/>
    <w:next w:val="Normal"/>
    <w:autoRedefine/>
    <w:uiPriority w:val="39"/>
    <w:unhideWhenUsed/>
    <w:pPr>
      <w:spacing w:after="0" w:line="259" w:lineRule="auto"/>
      <w:ind w:left="1100"/>
    </w:pPr>
    <w:rPr>
      <w:rFonts w:asciiTheme="minorHAnsi" w:eastAsia="Times New Roman" w:hAnsiTheme="minorHAnsi"/>
      <w:snapToGrid w:val="0"/>
      <w:sz w:val="20"/>
      <w:szCs w:val="20"/>
      <w:lang w:val="en-US"/>
    </w:rPr>
  </w:style>
  <w:style w:type="paragraph" w:customStyle="1" w:styleId="TOC83">
    <w:name w:val="TOC 83"/>
    <w:basedOn w:val="Normal"/>
    <w:next w:val="Normal"/>
    <w:autoRedefine/>
    <w:uiPriority w:val="39"/>
    <w:unhideWhenUsed/>
    <w:pPr>
      <w:spacing w:after="0" w:line="259" w:lineRule="auto"/>
      <w:ind w:left="1320"/>
    </w:pPr>
    <w:rPr>
      <w:rFonts w:asciiTheme="minorHAnsi" w:eastAsia="Times New Roman" w:hAnsiTheme="minorHAnsi"/>
      <w:snapToGrid w:val="0"/>
      <w:sz w:val="20"/>
      <w:szCs w:val="20"/>
      <w:lang w:val="en-US"/>
    </w:rPr>
  </w:style>
  <w:style w:type="paragraph" w:customStyle="1" w:styleId="TOC93">
    <w:name w:val="TOC 93"/>
    <w:basedOn w:val="Normal"/>
    <w:next w:val="Normal"/>
    <w:autoRedefine/>
    <w:uiPriority w:val="39"/>
    <w:unhideWhenUsed/>
    <w:pPr>
      <w:spacing w:after="0" w:line="259" w:lineRule="auto"/>
      <w:ind w:left="1540"/>
    </w:pPr>
    <w:rPr>
      <w:rFonts w:asciiTheme="minorHAnsi" w:eastAsia="Times New Roman" w:hAnsiTheme="minorHAnsi"/>
      <w:snapToGrid w:val="0"/>
      <w:sz w:val="20"/>
      <w:szCs w:val="20"/>
      <w:lang w:val="en-US"/>
    </w:rPr>
  </w:style>
  <w:style w:type="table" w:customStyle="1" w:styleId="EPS2">
    <w:name w:val="EPS2"/>
    <w:basedOn w:val="TableNormal"/>
    <w:uiPriority w:val="63"/>
    <w:pPr>
      <w:spacing w:after="0" w:line="240" w:lineRule="auto"/>
    </w:pPr>
    <w:rPr>
      <w:rFonts w:ascii="Cambria" w:eastAsia="Times New Roman" w:hAnsi="Cambria" w:cs="Times New Roman"/>
      <w:sz w:val="24"/>
      <w:szCs w:val="24"/>
      <w:lang w:val="it-IT"/>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ummaruudukkotaulukko5-korostus61">
    <w:name w:val="Tumma ruudukkotaulukko 5 - korostus 61"/>
    <w:basedOn w:val="TableNormal"/>
    <w:uiPriority w:val="50"/>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61">
    <w:name w:val="Grid Table 5 Dark - Accent 61"/>
    <w:basedOn w:val="TableNormal"/>
    <w:uiPriority w:val="50"/>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NoList4">
    <w:name w:val="No List4"/>
    <w:next w:val="NoList"/>
    <w:uiPriority w:val="99"/>
    <w:semiHidden/>
    <w:unhideWhenUsed/>
  </w:style>
  <w:style w:type="table" w:customStyle="1" w:styleId="GridTable5Dark-Accent113">
    <w:name w:val="Grid Table 5 Dark - Accent 113"/>
    <w:basedOn w:val="TableNormal"/>
    <w:uiPriority w:val="50"/>
    <w:pPr>
      <w:spacing w:after="0" w:line="240" w:lineRule="auto"/>
    </w:pPr>
    <w:rPr>
      <w:rFonts w:ascii="Calibri" w:eastAsia="Times New Roman" w:hAnsi="Calibri" w:cs="Mangal"/>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FC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9B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9B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9B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9B000"/>
      </w:tcPr>
    </w:tblStylePr>
    <w:tblStylePr w:type="band1Vert">
      <w:tblPr/>
      <w:tcPr>
        <w:shd w:val="clear" w:color="auto" w:fill="FFE096"/>
      </w:tcPr>
    </w:tblStylePr>
    <w:tblStylePr w:type="band1Horz">
      <w:tblPr/>
      <w:tcPr>
        <w:shd w:val="clear" w:color="auto" w:fill="FFE096"/>
      </w:tcPr>
    </w:tblStylePr>
  </w:style>
  <w:style w:type="table" w:customStyle="1" w:styleId="GridTable5Dark-Accent213">
    <w:name w:val="Grid Table 5 Dark - Accent 213"/>
    <w:basedOn w:val="TableNormal"/>
    <w:uiPriority w:val="50"/>
    <w:pPr>
      <w:spacing w:after="0" w:line="240" w:lineRule="auto"/>
    </w:pPr>
    <w:rPr>
      <w:rFonts w:ascii="Calibri" w:eastAsia="Times New Roman" w:hAnsi="Calibri" w:cs="Mangal"/>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EB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17C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17C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17C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17C6F"/>
      </w:tcPr>
    </w:tblStylePr>
    <w:tblStylePr w:type="band1Vert">
      <w:tblPr/>
      <w:tcPr>
        <w:shd w:val="clear" w:color="auto" w:fill="9ED8CE"/>
      </w:tcPr>
    </w:tblStylePr>
    <w:tblStylePr w:type="band1Horz">
      <w:tblPr/>
      <w:tcPr>
        <w:shd w:val="clear" w:color="auto" w:fill="9ED8CE"/>
      </w:tcPr>
    </w:tblStylePr>
  </w:style>
  <w:style w:type="table" w:customStyle="1" w:styleId="TableGridIDEA3">
    <w:name w:val="Table Grid IDEA3"/>
    <w:basedOn w:val="TableNormal"/>
    <w:next w:val="TableGrid"/>
    <w:uiPriority w:val="59"/>
    <w:pPr>
      <w:spacing w:after="0" w:line="240" w:lineRule="auto"/>
    </w:pPr>
    <w:rPr>
      <w:rFonts w:ascii="Calibri" w:eastAsia="Times New Roman" w:hAnsi="Calibri" w:cs="Mang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3">
    <w:name w:val="Table List 13"/>
    <w:basedOn w:val="TableNormal"/>
    <w:next w:val="TableList1"/>
    <w:pPr>
      <w:tabs>
        <w:tab w:val="left" w:pos="-720"/>
      </w:tabs>
      <w:suppressAutoHyphens/>
      <w:spacing w:after="100"/>
      <w:jc w:val="both"/>
      <w:outlineLvl w:val="0"/>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4-Accent113">
    <w:name w:val="Grid Table 4 - Accent 113"/>
    <w:basedOn w:val="TableNormal"/>
    <w:uiPriority w:val="49"/>
    <w:pPr>
      <w:spacing w:after="0" w:line="240" w:lineRule="auto"/>
    </w:pPr>
    <w:rPr>
      <w:rFonts w:ascii="Calibri" w:eastAsia="Times New Roman" w:hAnsi="Calibri" w:cs="Mangal"/>
      <w:lang w:val="en-US"/>
    </w:rPr>
    <w:tblPr>
      <w:tblStyleRowBandSize w:val="1"/>
      <w:tblStyleColBandSize w:val="1"/>
      <w:tblBorders>
        <w:top w:val="single" w:sz="4" w:space="0" w:color="FFD062"/>
        <w:left w:val="single" w:sz="4" w:space="0" w:color="FFD062"/>
        <w:bottom w:val="single" w:sz="4" w:space="0" w:color="FFD062"/>
        <w:right w:val="single" w:sz="4" w:space="0" w:color="FFD062"/>
        <w:insideH w:val="single" w:sz="4" w:space="0" w:color="FFD062"/>
        <w:insideV w:val="single" w:sz="4" w:space="0" w:color="FFD062"/>
      </w:tblBorders>
    </w:tblPr>
    <w:tblStylePr w:type="firstRow">
      <w:rPr>
        <w:b/>
        <w:bCs/>
        <w:color w:val="FFFFFF"/>
      </w:rPr>
      <w:tblPr/>
      <w:tcPr>
        <w:tcBorders>
          <w:top w:val="single" w:sz="4" w:space="0" w:color="F9B000"/>
          <w:left w:val="single" w:sz="4" w:space="0" w:color="F9B000"/>
          <w:bottom w:val="single" w:sz="4" w:space="0" w:color="F9B000"/>
          <w:right w:val="single" w:sz="4" w:space="0" w:color="F9B000"/>
          <w:insideH w:val="nil"/>
          <w:insideV w:val="nil"/>
        </w:tcBorders>
        <w:shd w:val="clear" w:color="auto" w:fill="F9B000"/>
      </w:tcPr>
    </w:tblStylePr>
    <w:tblStylePr w:type="lastRow">
      <w:rPr>
        <w:b/>
        <w:bCs/>
      </w:rPr>
      <w:tblPr/>
      <w:tcPr>
        <w:tcBorders>
          <w:top w:val="double" w:sz="4" w:space="0" w:color="F9B000"/>
        </w:tcBorders>
      </w:tcPr>
    </w:tblStylePr>
    <w:tblStylePr w:type="firstCol">
      <w:rPr>
        <w:b/>
        <w:bCs/>
      </w:rPr>
    </w:tblStylePr>
    <w:tblStylePr w:type="lastCol">
      <w:rPr>
        <w:b/>
        <w:bCs/>
      </w:rPr>
    </w:tblStylePr>
    <w:tblStylePr w:type="band1Vert">
      <w:tblPr/>
      <w:tcPr>
        <w:shd w:val="clear" w:color="auto" w:fill="FFEFCA"/>
      </w:tcPr>
    </w:tblStylePr>
    <w:tblStylePr w:type="band1Horz">
      <w:tblPr/>
      <w:tcPr>
        <w:shd w:val="clear" w:color="auto" w:fill="FFEFCA"/>
      </w:tcPr>
    </w:tblStylePr>
  </w:style>
  <w:style w:type="table" w:customStyle="1" w:styleId="TableGrid13">
    <w:name w:val="Table Grid13"/>
    <w:basedOn w:val="TableNormal"/>
    <w:next w:val="TableGrid"/>
    <w:uiPriority w:val="39"/>
    <w:pPr>
      <w:spacing w:after="0" w:line="240" w:lineRule="auto"/>
    </w:pPr>
    <w:rPr>
      <w:rFonts w:ascii="Calibri" w:eastAsia="Calibri" w:hAnsi="Calibri" w:cs="Mangal"/>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61">
    <w:name w:val="Grid Table 2 - Accent 61"/>
    <w:basedOn w:val="TableNormal"/>
    <w:uiPriority w:val="47"/>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23">
    <w:name w:val="Grid Table 4 - Accent 23"/>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aption1">
    <w:name w:val="Caption1"/>
    <w:basedOn w:val="Normal"/>
    <w:next w:val="Normal"/>
    <w:autoRedefine/>
    <w:uiPriority w:val="99"/>
    <w:unhideWhenUsed/>
    <w:qFormat/>
    <w:pPr>
      <w:keepNext/>
      <w:spacing w:line="259" w:lineRule="auto"/>
      <w:jc w:val="both"/>
    </w:pPr>
    <w:rPr>
      <w:rFonts w:ascii="Verdana" w:hAnsi="Verdana"/>
      <w:b/>
      <w:i/>
      <w:iCs/>
      <w:color w:val="000000"/>
      <w:sz w:val="22"/>
      <w:szCs w:val="18"/>
      <w:lang w:val="en-GB" w:eastAsia="en-GB"/>
    </w:rPr>
  </w:style>
  <w:style w:type="paragraph" w:customStyle="1" w:styleId="Noteunder">
    <w:name w:val="Note under"/>
    <w:basedOn w:val="Normal"/>
    <w:link w:val="NoteunderChar"/>
    <w:qFormat/>
    <w:pPr>
      <w:spacing w:after="0" w:line="259" w:lineRule="auto"/>
      <w:jc w:val="center"/>
    </w:pPr>
    <w:rPr>
      <w:rFonts w:ascii="Georgia" w:eastAsia="Times New Roman" w:hAnsi="Georgia" w:cs="Calibri"/>
      <w:i/>
      <w:sz w:val="18"/>
      <w:szCs w:val="20"/>
      <w:lang w:val="en-GB" w:eastAsia="en-GB"/>
    </w:rPr>
  </w:style>
  <w:style w:type="character" w:customStyle="1" w:styleId="NoteunderChar">
    <w:name w:val="Note under Char"/>
    <w:link w:val="Noteunder"/>
    <w:rPr>
      <w:rFonts w:ascii="Georgia" w:eastAsia="Times New Roman" w:hAnsi="Georgia" w:cs="Calibri"/>
      <w:i/>
      <w:sz w:val="18"/>
      <w:szCs w:val="20"/>
      <w:lang w:val="en-GB" w:eastAsia="en-GB"/>
    </w:rPr>
  </w:style>
  <w:style w:type="paragraph" w:customStyle="1" w:styleId="Highlight1">
    <w:name w:val="Highlight1"/>
    <w:basedOn w:val="Normal"/>
    <w:next w:val="BodyText2"/>
    <w:uiPriority w:val="99"/>
    <w:qFormat/>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EEBE6"/>
      <w:spacing w:after="120" w:line="264" w:lineRule="auto"/>
      <w:jc w:val="both"/>
    </w:pPr>
    <w:rPr>
      <w:rFonts w:ascii="Georgia" w:hAnsi="Georgia"/>
      <w:b/>
      <w:bCs/>
      <w:sz w:val="22"/>
      <w:lang w:val="en-US" w:eastAsia="en-GB"/>
    </w:rPr>
  </w:style>
  <w:style w:type="character" w:customStyle="1" w:styleId="FootnoteTextChar2">
    <w:name w:val="Footnote Text Char2"/>
    <w:basedOn w:val="DefaultParagraphFont"/>
    <w:uiPriority w:val="99"/>
    <w:semiHidden/>
    <w:rPr>
      <w:sz w:val="20"/>
      <w:szCs w:val="20"/>
      <w:lang w:val="en-GB"/>
    </w:rPr>
  </w:style>
  <w:style w:type="table" w:customStyle="1" w:styleId="GridTable5Dark-Accent13">
    <w:name w:val="Grid Table 5 Dark - Accent 13"/>
    <w:basedOn w:val="TableNormal"/>
    <w:uiPriority w:val="50"/>
    <w:pPr>
      <w:spacing w:after="0" w:line="240" w:lineRule="auto"/>
    </w:pPr>
    <w:rPr>
      <w:rFonts w:eastAsia="Times New Roman" w:cs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ubtitle">
    <w:name w:val="Subtitle"/>
    <w:aliases w:val="WS Subtitle"/>
    <w:basedOn w:val="Normal"/>
    <w:next w:val="Normal"/>
    <w:link w:val="SubtitleChar"/>
    <w:uiPriority w:val="48"/>
    <w:pPr>
      <w:numPr>
        <w:ilvl w:val="1"/>
      </w:numPr>
      <w:spacing w:line="264" w:lineRule="auto"/>
      <w:ind w:left="567"/>
      <w:contextualSpacing/>
      <w:jc w:val="both"/>
    </w:pPr>
    <w:rPr>
      <w:rFonts w:ascii="Georgia" w:eastAsia="HGPMinchoE" w:hAnsi="Georgia" w:cs="Times New Roman"/>
      <w:iCs/>
      <w:sz w:val="32"/>
      <w:szCs w:val="24"/>
      <w:lang w:val="en-GB" w:eastAsia="en-GB"/>
    </w:rPr>
  </w:style>
  <w:style w:type="character" w:customStyle="1" w:styleId="SubtitleChar">
    <w:name w:val="Subtitle Char"/>
    <w:aliases w:val="WS Subtitle Char"/>
    <w:basedOn w:val="DefaultParagraphFont"/>
    <w:link w:val="Subtitle"/>
    <w:uiPriority w:val="48"/>
    <w:rPr>
      <w:rFonts w:ascii="Georgia" w:eastAsia="HGPMinchoE" w:hAnsi="Georgia" w:cs="Times New Roman"/>
      <w:iCs/>
      <w:sz w:val="32"/>
      <w:szCs w:val="24"/>
      <w:lang w:val="en-GB" w:eastAsia="en-GB"/>
    </w:rPr>
  </w:style>
  <w:style w:type="paragraph" w:customStyle="1" w:styleId="HeaderLine">
    <w:name w:val="Header Line"/>
    <w:basedOn w:val="NoSpacing"/>
    <w:uiPriority w:val="48"/>
    <w:pPr>
      <w:pBdr>
        <w:top w:val="single" w:sz="8" w:space="1" w:color="9F9F9F"/>
      </w:pBdr>
      <w:ind w:left="-284" w:right="-284"/>
      <w:jc w:val="left"/>
    </w:pPr>
    <w:rPr>
      <w:rFonts w:eastAsiaTheme="minorHAnsi" w:cstheme="minorBidi"/>
      <w:i/>
      <w:sz w:val="18"/>
      <w:lang w:val="en-GB" w:eastAsia="en-GB"/>
    </w:rPr>
  </w:style>
  <w:style w:type="numbering" w:customStyle="1" w:styleId="ListHeadings">
    <w:name w:val="List Headings"/>
    <w:basedOn w:val="NoList"/>
    <w:uiPriority w:val="99"/>
    <w:pPr>
      <w:numPr>
        <w:numId w:val="49"/>
      </w:numPr>
    </w:pPr>
  </w:style>
  <w:style w:type="paragraph" w:styleId="List">
    <w:name w:val="List"/>
    <w:aliases w:val="WS Numbered List Level 1"/>
    <w:basedOn w:val="Normal"/>
    <w:uiPriority w:val="99"/>
    <w:pPr>
      <w:spacing w:after="120" w:line="264" w:lineRule="auto"/>
      <w:ind w:left="284" w:hanging="284"/>
      <w:jc w:val="both"/>
    </w:pPr>
    <w:rPr>
      <w:rFonts w:ascii="Georgia" w:hAnsi="Georgia"/>
      <w:sz w:val="22"/>
      <w:lang w:val="en-GB" w:eastAsia="en-GB"/>
    </w:rPr>
  </w:style>
  <w:style w:type="numbering" w:customStyle="1" w:styleId="ListBullets">
    <w:name w:val="List Bullets"/>
    <w:basedOn w:val="NoList"/>
    <w:pPr>
      <w:numPr>
        <w:numId w:val="62"/>
      </w:numPr>
    </w:pPr>
  </w:style>
  <w:style w:type="paragraph" w:styleId="List2">
    <w:name w:val="List 2"/>
    <w:aliases w:val="WS Numbered List Level 2"/>
    <w:basedOn w:val="Normal"/>
    <w:uiPriority w:val="99"/>
    <w:pPr>
      <w:numPr>
        <w:ilvl w:val="1"/>
        <w:numId w:val="50"/>
      </w:numPr>
      <w:spacing w:after="120" w:line="264" w:lineRule="auto"/>
      <w:jc w:val="both"/>
    </w:pPr>
    <w:rPr>
      <w:rFonts w:ascii="Georgia" w:hAnsi="Georgia"/>
      <w:sz w:val="22"/>
      <w:lang w:val="en-GB" w:eastAsia="en-GB"/>
    </w:rPr>
  </w:style>
  <w:style w:type="paragraph" w:styleId="ListContinue2">
    <w:name w:val="List Continue 2"/>
    <w:aliases w:val="WS List Indent Level 2"/>
    <w:basedOn w:val="Normal"/>
    <w:uiPriority w:val="99"/>
    <w:pPr>
      <w:spacing w:after="120" w:line="264" w:lineRule="auto"/>
      <w:jc w:val="both"/>
    </w:pPr>
    <w:rPr>
      <w:rFonts w:ascii="Georgia" w:hAnsi="Georgia"/>
      <w:sz w:val="22"/>
      <w:lang w:val="en-GB" w:eastAsia="en-GB"/>
    </w:rPr>
  </w:style>
  <w:style w:type="paragraph" w:styleId="ListContinue">
    <w:name w:val="List Continue"/>
    <w:aliases w:val="WS List Indent Level 1"/>
    <w:basedOn w:val="Normal"/>
    <w:uiPriority w:val="99"/>
    <w:pPr>
      <w:spacing w:after="120" w:line="264" w:lineRule="auto"/>
      <w:ind w:left="284"/>
      <w:jc w:val="both"/>
    </w:pPr>
    <w:rPr>
      <w:rFonts w:ascii="Georgia" w:hAnsi="Georgia"/>
      <w:sz w:val="22"/>
      <w:lang w:val="en-GB" w:eastAsia="en-GB"/>
    </w:rPr>
  </w:style>
  <w:style w:type="paragraph" w:styleId="List3">
    <w:name w:val="List 3"/>
    <w:aliases w:val="WS Numbered List Level 3"/>
    <w:basedOn w:val="Normal"/>
    <w:uiPriority w:val="99"/>
    <w:pPr>
      <w:numPr>
        <w:ilvl w:val="2"/>
        <w:numId w:val="50"/>
      </w:numPr>
      <w:spacing w:after="120" w:line="264" w:lineRule="auto"/>
      <w:jc w:val="both"/>
    </w:pPr>
    <w:rPr>
      <w:rFonts w:ascii="Georgia" w:hAnsi="Georgia"/>
      <w:sz w:val="22"/>
      <w:lang w:val="en-GB" w:eastAsia="en-GB"/>
    </w:rPr>
  </w:style>
  <w:style w:type="paragraph" w:styleId="ListContinue3">
    <w:name w:val="List Continue 3"/>
    <w:aliases w:val="WS List Indent Level 3"/>
    <w:basedOn w:val="Normal"/>
    <w:uiPriority w:val="99"/>
    <w:pPr>
      <w:spacing w:after="120" w:line="264" w:lineRule="auto"/>
      <w:ind w:left="851"/>
      <w:jc w:val="both"/>
    </w:pPr>
    <w:rPr>
      <w:rFonts w:ascii="Georgia" w:hAnsi="Georgia"/>
      <w:sz w:val="22"/>
      <w:lang w:val="en-GB" w:eastAsia="en-GB"/>
    </w:rPr>
  </w:style>
  <w:style w:type="paragraph" w:styleId="List4">
    <w:name w:val="List 4"/>
    <w:aliases w:val="WS Numbered List Level 4"/>
    <w:basedOn w:val="Normal"/>
    <w:uiPriority w:val="99"/>
    <w:pPr>
      <w:spacing w:after="120" w:line="264" w:lineRule="auto"/>
      <w:ind w:left="1134" w:hanging="283"/>
      <w:jc w:val="both"/>
    </w:pPr>
    <w:rPr>
      <w:rFonts w:ascii="Georgia" w:hAnsi="Georgia"/>
      <w:sz w:val="22"/>
      <w:lang w:val="en-GB" w:eastAsia="en-GB"/>
    </w:rPr>
  </w:style>
  <w:style w:type="paragraph" w:styleId="ListContinue4">
    <w:name w:val="List Continue 4"/>
    <w:aliases w:val="WS List Indent Level 4"/>
    <w:basedOn w:val="Normal"/>
    <w:uiPriority w:val="99"/>
    <w:pPr>
      <w:spacing w:after="120" w:line="264" w:lineRule="auto"/>
      <w:ind w:left="1134"/>
      <w:jc w:val="both"/>
    </w:pPr>
    <w:rPr>
      <w:rFonts w:ascii="Georgia" w:hAnsi="Georgia"/>
      <w:sz w:val="22"/>
      <w:lang w:val="en-GB" w:eastAsia="en-GB"/>
    </w:rPr>
  </w:style>
  <w:style w:type="numbering" w:customStyle="1" w:styleId="ListNumbering">
    <w:name w:val="List Numbering"/>
    <w:basedOn w:val="NoList"/>
    <w:uiPriority w:val="99"/>
    <w:pPr>
      <w:numPr>
        <w:numId w:val="48"/>
      </w:numPr>
    </w:pPr>
  </w:style>
  <w:style w:type="paragraph" w:customStyle="1" w:styleId="WSCoverPageTitle">
    <w:name w:val="WS Cover Page Title"/>
    <w:basedOn w:val="Normal"/>
    <w:uiPriority w:val="40"/>
    <w:pPr>
      <w:spacing w:after="0" w:line="264" w:lineRule="auto"/>
      <w:contextualSpacing/>
      <w:jc w:val="both"/>
    </w:pPr>
    <w:rPr>
      <w:rFonts w:ascii="Georgia" w:hAnsi="Georgia"/>
      <w:color w:val="503078"/>
      <w:sz w:val="56"/>
      <w:lang w:val="en-GB" w:eastAsia="en-GB"/>
    </w:rPr>
  </w:style>
  <w:style w:type="paragraph" w:customStyle="1" w:styleId="WSCoverPageSubtitle">
    <w:name w:val="WS Cover Page Subtitle"/>
    <w:basedOn w:val="Normal"/>
    <w:uiPriority w:val="41"/>
    <w:pPr>
      <w:spacing w:after="0" w:line="264" w:lineRule="auto"/>
      <w:contextualSpacing/>
      <w:jc w:val="both"/>
    </w:pPr>
    <w:rPr>
      <w:rFonts w:ascii="Georgia" w:hAnsi="Georgia"/>
      <w:sz w:val="40"/>
      <w:lang w:val="en-GB" w:eastAsia="en-GB"/>
    </w:rPr>
  </w:style>
  <w:style w:type="paragraph" w:customStyle="1" w:styleId="WSCoverPageThirdLine">
    <w:name w:val="WS Cover Page Third Line"/>
    <w:basedOn w:val="Normal"/>
    <w:uiPriority w:val="42"/>
    <w:pPr>
      <w:spacing w:after="0" w:line="264" w:lineRule="auto"/>
      <w:contextualSpacing/>
      <w:jc w:val="both"/>
    </w:pPr>
    <w:rPr>
      <w:rFonts w:ascii="Georgia" w:hAnsi="Georgia"/>
      <w:lang w:val="en-GB" w:eastAsia="en-GB"/>
    </w:rPr>
  </w:style>
  <w:style w:type="table" w:styleId="ColorfulList-Accent6">
    <w:name w:val="Colorful List Accent 6"/>
    <w:basedOn w:val="TableNormal"/>
    <w:uiPriority w:val="72"/>
    <w:pPr>
      <w:spacing w:after="160" w:line="259" w:lineRule="auto"/>
    </w:pPr>
    <w:rPr>
      <w:rFonts w:ascii="Tahoma" w:hAnsi="Tahoma"/>
      <w:lang w:val="en-GB" w:eastAsia="en-GB"/>
    </w:rPr>
    <w:tblPr>
      <w:tblStyleRowBandSize w:val="1"/>
      <w:tblStyleColBandSize w:val="1"/>
    </w:tblPr>
    <w:tcPr>
      <w:shd w:val="clear" w:color="auto" w:fill="FAF7F6"/>
    </w:tcPr>
    <w:tblStylePr w:type="firstRow">
      <w:rPr>
        <w:b/>
        <w:bCs/>
        <w:color w:val="FFFFFF"/>
      </w:rPr>
      <w:tblPr/>
      <w:tcPr>
        <w:tcBorders>
          <w:bottom w:val="single" w:sz="12" w:space="0" w:color="FFFFFF"/>
        </w:tcBorders>
        <w:shd w:val="clear" w:color="auto" w:fill="036E7B"/>
      </w:tcPr>
    </w:tblStylePr>
    <w:tblStylePr w:type="lastRow">
      <w:rPr>
        <w:b/>
        <w:bCs/>
        <w:color w:val="036E7B"/>
      </w:rPr>
      <w:tblPr/>
      <w:tcPr>
        <w:tcBorders>
          <w:top w:val="single" w:sz="12" w:space="0" w:color="5F5F5F"/>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CE8"/>
      </w:tcPr>
    </w:tblStylePr>
    <w:tblStylePr w:type="band1Horz">
      <w:tblPr/>
      <w:tcPr>
        <w:shd w:val="clear" w:color="auto" w:fill="F5EFED"/>
      </w:tcPr>
    </w:tblStylePr>
  </w:style>
  <w:style w:type="paragraph" w:customStyle="1" w:styleId="WSChapterPageTitle">
    <w:name w:val="WS Chapter Page Title"/>
    <w:basedOn w:val="Normal"/>
    <w:uiPriority w:val="43"/>
    <w:pPr>
      <w:spacing w:after="120" w:line="264" w:lineRule="auto"/>
      <w:jc w:val="both"/>
      <w:outlineLvl w:val="8"/>
    </w:pPr>
    <w:rPr>
      <w:rFonts w:ascii="Calibri" w:hAnsi="Calibri"/>
      <w:color w:val="F4F3F0"/>
      <w:sz w:val="64"/>
      <w:lang w:val="en-GB" w:eastAsia="en-GB"/>
    </w:rPr>
  </w:style>
  <w:style w:type="paragraph" w:customStyle="1" w:styleId="WSChapterPageSubtitle">
    <w:name w:val="WS Chapter Page Subtitle"/>
    <w:basedOn w:val="Normal"/>
    <w:uiPriority w:val="44"/>
    <w:pPr>
      <w:spacing w:after="120" w:line="264" w:lineRule="auto"/>
      <w:jc w:val="both"/>
    </w:pPr>
    <w:rPr>
      <w:rFonts w:ascii="Calibri" w:hAnsi="Calibri"/>
      <w:sz w:val="36"/>
      <w:lang w:val="en-GB" w:eastAsia="en-GB"/>
    </w:rPr>
  </w:style>
  <w:style w:type="paragraph" w:customStyle="1" w:styleId="1pt">
    <w:name w:val="1pt"/>
    <w:basedOn w:val="Normal"/>
    <w:uiPriority w:val="99"/>
    <w:pPr>
      <w:spacing w:after="0" w:line="264" w:lineRule="auto"/>
      <w:jc w:val="both"/>
    </w:pPr>
    <w:rPr>
      <w:rFonts w:ascii="Georgia" w:hAnsi="Georgia"/>
      <w:sz w:val="2"/>
      <w:lang w:val="en-GB" w:eastAsia="en-GB"/>
    </w:rPr>
  </w:style>
  <w:style w:type="table" w:customStyle="1" w:styleId="WS3Beige-Gray">
    <w:name w:val="WS3 Beige-Gray"/>
    <w:basedOn w:val="TableNormal"/>
    <w:uiPriority w:val="99"/>
    <w:pPr>
      <w:spacing w:after="160" w:line="259" w:lineRule="auto"/>
    </w:pPr>
    <w:rPr>
      <w:rFonts w:ascii="Tahoma" w:hAnsi="Tahoma"/>
      <w:lang w:val="en-GB" w:eastAsia="en-GB"/>
    </w:rPr>
    <w:tblPr>
      <w:tblInd w:w="567" w:type="dxa"/>
      <w:tblBorders>
        <w:bottom w:val="single" w:sz="4" w:space="0" w:color="E7EAEB"/>
        <w:insideH w:val="single" w:sz="4" w:space="0" w:color="E7EAEB"/>
      </w:tblBorders>
      <w:tblCellMar>
        <w:top w:w="58" w:type="dxa"/>
        <w:left w:w="115" w:type="dxa"/>
        <w:bottom w:w="58" w:type="dxa"/>
        <w:right w:w="115" w:type="dxa"/>
      </w:tblCellMar>
    </w:tblPr>
    <w:trPr>
      <w:cantSplit/>
    </w:trPr>
    <w:tcPr>
      <w:vAlign w:val="center"/>
    </w:tcPr>
    <w:tblStylePr w:type="firstRow">
      <w:rPr>
        <w:b/>
        <w:color w:val="5F5F5F"/>
      </w:rPr>
      <w:tblPr/>
      <w:tcPr>
        <w:shd w:val="clear" w:color="auto" w:fill="E7EAEB"/>
      </w:tcPr>
    </w:tblStylePr>
    <w:tblStylePr w:type="lastRow">
      <w:rPr>
        <w:b/>
      </w:rPr>
    </w:tblStylePr>
    <w:tblStylePr w:type="firstCol">
      <w:rPr>
        <w:b/>
      </w:rPr>
    </w:tblStylePr>
    <w:tblStylePr w:type="lastCol">
      <w:rPr>
        <w:b/>
      </w:rPr>
    </w:tblStylePr>
  </w:style>
  <w:style w:type="paragraph" w:customStyle="1" w:styleId="WSLocations">
    <w:name w:val="WS Locations"/>
    <w:basedOn w:val="Normal"/>
    <w:uiPriority w:val="99"/>
    <w:pPr>
      <w:spacing w:after="0" w:line="264" w:lineRule="auto"/>
      <w:jc w:val="both"/>
    </w:pPr>
    <w:rPr>
      <w:rFonts w:ascii="Georgia" w:hAnsi="Georgia"/>
      <w:sz w:val="22"/>
      <w:lang w:val="en-GB" w:eastAsia="en-GB"/>
    </w:rPr>
  </w:style>
  <w:style w:type="character" w:customStyle="1" w:styleId="WSRedandBold">
    <w:name w:val="WS Red and Bold"/>
    <w:uiPriority w:val="19"/>
    <w:rPr>
      <w:b/>
      <w:color w:val="C00000"/>
    </w:rPr>
  </w:style>
  <w:style w:type="paragraph" w:customStyle="1" w:styleId="WSCVandCaseStudyHeading">
    <w:name w:val="WS CV and Case Study Heading"/>
    <w:basedOn w:val="Normal"/>
    <w:link w:val="WSCVandCaseStudyHeadingChar"/>
    <w:uiPriority w:val="45"/>
    <w:pPr>
      <w:spacing w:before="240" w:after="120" w:line="264" w:lineRule="auto"/>
      <w:jc w:val="both"/>
    </w:pPr>
    <w:rPr>
      <w:rFonts w:ascii="Georgia" w:hAnsi="Georgia"/>
      <w:color w:val="503078"/>
      <w:sz w:val="22"/>
      <w:lang w:val="en-GB" w:eastAsia="en-GB"/>
    </w:rPr>
  </w:style>
  <w:style w:type="character" w:customStyle="1" w:styleId="WSCVandCaseStudyHeadingChar">
    <w:name w:val="WS CV and Case Study Heading Char"/>
    <w:link w:val="WSCVandCaseStudyHeading"/>
    <w:uiPriority w:val="45"/>
    <w:rPr>
      <w:rFonts w:ascii="Georgia" w:hAnsi="Georgia"/>
      <w:color w:val="503078"/>
      <w:lang w:val="en-GB" w:eastAsia="en-GB"/>
    </w:rPr>
  </w:style>
  <w:style w:type="paragraph" w:customStyle="1" w:styleId="MiniCVandMiniCaseStudyHeading">
    <w:name w:val="Mini CV and Mini Case Study Heading"/>
    <w:basedOn w:val="Normal"/>
    <w:uiPriority w:val="45"/>
    <w:pPr>
      <w:spacing w:after="120" w:line="264" w:lineRule="auto"/>
      <w:jc w:val="both"/>
    </w:pPr>
    <w:rPr>
      <w:rFonts w:ascii="Georgia" w:hAnsi="Georgia"/>
      <w:color w:val="F4F3F0"/>
      <w:lang w:val="en-GB" w:eastAsia="en-GB"/>
    </w:rPr>
  </w:style>
  <w:style w:type="paragraph" w:customStyle="1" w:styleId="Pardfaut">
    <w:name w:val="Par défaut"/>
    <w:pPr>
      <w:pBdr>
        <w:top w:val="nil"/>
        <w:left w:val="nil"/>
        <w:bottom w:val="nil"/>
        <w:right w:val="nil"/>
        <w:between w:val="nil"/>
        <w:bar w:val="nil"/>
      </w:pBdr>
      <w:spacing w:after="160" w:line="259" w:lineRule="auto"/>
    </w:pPr>
    <w:rPr>
      <w:rFonts w:ascii="Helvetica" w:eastAsia="Arial Unicode MS" w:hAnsi="Arial Unicode MS" w:cs="Arial Unicode MS"/>
      <w:color w:val="000000"/>
      <w:bdr w:val="nil"/>
      <w:lang w:val="fr-FR" w:eastAsia="fr-FR"/>
    </w:rPr>
  </w:style>
  <w:style w:type="table" w:customStyle="1" w:styleId="TableauGrille1Clair1">
    <w:name w:val="Tableau Grille 1 Clair1"/>
    <w:basedOn w:val="TableNormal"/>
    <w:uiPriority w:val="46"/>
    <w:pPr>
      <w:spacing w:after="160" w:line="259" w:lineRule="auto"/>
    </w:pPr>
    <w:rPr>
      <w:lang w:val="en-GB" w:eastAsia="en-GB"/>
    </w:rPr>
    <w:tblPr>
      <w:tblStyleRowBandSize w:val="1"/>
      <w:tblStyleColBandSize w:val="1"/>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Tableausimple11">
    <w:name w:val="Tableau simple 11"/>
    <w:basedOn w:val="TableNormal"/>
    <w:uiPriority w:val="41"/>
    <w:pPr>
      <w:spacing w:after="160" w:line="259" w:lineRule="auto"/>
    </w:pPr>
    <w:rPr>
      <w:lang w:val="en-GB" w:eastAsia="en-GB"/>
    </w:rPr>
    <w:tblPr>
      <w:tblStyleRowBandSize w:val="1"/>
      <w:tblStyleColBandSize w:val="1"/>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1">
    <w:name w:val="Tableau simple 21"/>
    <w:basedOn w:val="TableNormal"/>
    <w:uiPriority w:val="42"/>
    <w:pPr>
      <w:spacing w:after="160" w:line="259" w:lineRule="auto"/>
    </w:pPr>
    <w:rPr>
      <w:lang w:val="en-GB" w:eastAsia="en-GB"/>
    </w:rPr>
    <w:tblPr>
      <w:tblStyleRowBandSize w:val="1"/>
      <w:tblStyleColBandSize w:val="1"/>
      <w:tblInd w:w="567" w:type="dxa"/>
      <w:tblBorders>
        <w:top w:val="single" w:sz="4" w:space="0" w:color="AEAEAE"/>
        <w:bottom w:val="single" w:sz="4" w:space="0" w:color="AEAEAE"/>
      </w:tblBorders>
    </w:tblPr>
    <w:tcPr>
      <w:vAlign w:val="center"/>
    </w:tcPr>
    <w:tblStylePr w:type="firstRow">
      <w:rPr>
        <w:b/>
        <w:bCs/>
      </w:rPr>
      <w:tblPr/>
      <w:tcPr>
        <w:tcBorders>
          <w:bottom w:val="single" w:sz="4" w:space="0" w:color="AEAEAE"/>
        </w:tcBorders>
      </w:tcPr>
    </w:tblStylePr>
    <w:tblStylePr w:type="lastRow">
      <w:rPr>
        <w:b/>
        <w:bCs/>
      </w:rPr>
      <w:tblPr/>
      <w:tcPr>
        <w:tcBorders>
          <w:top w:val="single" w:sz="4" w:space="0" w:color="AEAEAE"/>
        </w:tcBorders>
      </w:tcPr>
    </w:tblStylePr>
    <w:tblStylePr w:type="firstCol">
      <w:rPr>
        <w:b/>
        <w:bCs/>
      </w:rPr>
    </w:tblStylePr>
    <w:tblStylePr w:type="lastCol">
      <w:rPr>
        <w:b/>
        <w:bCs/>
      </w:rPr>
    </w:tblStylePr>
    <w:tblStylePr w:type="band1Vert">
      <w:tblPr/>
      <w:tcPr>
        <w:tcBorders>
          <w:left w:val="single" w:sz="4" w:space="0" w:color="AEAEAE"/>
          <w:right w:val="single" w:sz="4" w:space="0" w:color="AEAEAE"/>
        </w:tcBorders>
      </w:tcPr>
    </w:tblStylePr>
    <w:tblStylePr w:type="band2Vert">
      <w:tblPr/>
      <w:tcPr>
        <w:tcBorders>
          <w:left w:val="single" w:sz="4" w:space="0" w:color="AEAEAE"/>
          <w:right w:val="single" w:sz="4" w:space="0" w:color="AEAEAE"/>
        </w:tcBorders>
      </w:tcPr>
    </w:tblStylePr>
    <w:tblStylePr w:type="band1Horz">
      <w:tblPr/>
      <w:tcPr>
        <w:tcBorders>
          <w:top w:val="single" w:sz="4" w:space="0" w:color="AEAEAE"/>
          <w:bottom w:val="single" w:sz="4" w:space="0" w:color="AEAEAE"/>
        </w:tcBorders>
      </w:tcPr>
    </w:tblStylePr>
  </w:style>
  <w:style w:type="table" w:styleId="TableTheme">
    <w:name w:val="Table Theme"/>
    <w:basedOn w:val="TableNormal"/>
    <w:uiPriority w:val="99"/>
    <w:pPr>
      <w:spacing w:after="160" w:line="259"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99"/>
    <w:rPr>
      <w:b/>
      <w:bCs/>
      <w:smallCaps/>
      <w:color w:val="938481"/>
      <w:spacing w:val="5"/>
      <w:u w:val="single"/>
    </w:rPr>
  </w:style>
  <w:style w:type="paragraph" w:styleId="IntenseQuote">
    <w:name w:val="Intense Quote"/>
    <w:basedOn w:val="Normal"/>
    <w:next w:val="Normal"/>
    <w:link w:val="IntenseQuoteChar"/>
    <w:uiPriority w:val="99"/>
    <w:pPr>
      <w:pBdr>
        <w:top w:val="single" w:sz="4" w:space="10" w:color="8C9B9C"/>
        <w:bottom w:val="single" w:sz="4" w:space="10" w:color="8C9B9C"/>
      </w:pBdr>
      <w:spacing w:before="360" w:after="360" w:line="264" w:lineRule="auto"/>
      <w:ind w:left="864" w:right="864"/>
      <w:jc w:val="center"/>
    </w:pPr>
    <w:rPr>
      <w:rFonts w:ascii="Georgia" w:hAnsi="Georgia"/>
      <w:i/>
      <w:iCs/>
      <w:color w:val="8C9B9C"/>
      <w:sz w:val="22"/>
      <w:lang w:val="en-GB" w:eastAsia="en-GB"/>
    </w:rPr>
  </w:style>
  <w:style w:type="character" w:customStyle="1" w:styleId="IntenseQuoteChar">
    <w:name w:val="Intense Quote Char"/>
    <w:basedOn w:val="DefaultParagraphFont"/>
    <w:link w:val="IntenseQuote"/>
    <w:uiPriority w:val="99"/>
    <w:rPr>
      <w:rFonts w:ascii="Georgia" w:hAnsi="Georgia"/>
      <w:i/>
      <w:iCs/>
      <w:color w:val="8C9B9C"/>
      <w:lang w:val="en-GB" w:eastAsia="en-GB"/>
    </w:rPr>
  </w:style>
  <w:style w:type="table" w:customStyle="1" w:styleId="GridTable1Light-Accent21">
    <w:name w:val="Grid Table 1 Light - Accent 21"/>
    <w:basedOn w:val="TableNormal"/>
    <w:uiPriority w:val="46"/>
    <w:pPr>
      <w:spacing w:after="160" w:line="259" w:lineRule="auto"/>
    </w:pPr>
    <w:rPr>
      <w:lang w:val="en-GB" w:eastAsia="en-GB"/>
    </w:rPr>
    <w:tblPr>
      <w:tblStyleRowBandSize w:val="1"/>
      <w:tblStyleColBandSize w:val="1"/>
      <w:tblBorders>
        <w:top w:val="single" w:sz="4" w:space="0" w:color="E9E7E2"/>
        <w:left w:val="single" w:sz="4" w:space="0" w:color="E9E7E2"/>
        <w:bottom w:val="single" w:sz="4" w:space="0" w:color="E9E7E2"/>
        <w:right w:val="single" w:sz="4" w:space="0" w:color="E9E7E2"/>
        <w:insideH w:val="single" w:sz="4" w:space="0" w:color="E9E7E2"/>
        <w:insideV w:val="single" w:sz="4" w:space="0" w:color="E9E7E2"/>
      </w:tblBorders>
    </w:tblPr>
    <w:tblStylePr w:type="firstRow">
      <w:rPr>
        <w:b/>
        <w:bCs/>
      </w:rPr>
      <w:tblPr/>
      <w:tcPr>
        <w:tcBorders>
          <w:bottom w:val="single" w:sz="12" w:space="0" w:color="DFDCD4"/>
        </w:tcBorders>
      </w:tcPr>
    </w:tblStylePr>
    <w:tblStylePr w:type="lastRow">
      <w:rPr>
        <w:b/>
        <w:bCs/>
      </w:rPr>
      <w:tblPr/>
      <w:tcPr>
        <w:tcBorders>
          <w:top w:val="double" w:sz="2" w:space="0" w:color="DFDCD4"/>
        </w:tcBorders>
      </w:tcPr>
    </w:tblStylePr>
    <w:tblStylePr w:type="firstCol">
      <w:rPr>
        <w:b/>
        <w:bCs/>
      </w:rPr>
    </w:tblStylePr>
    <w:tblStylePr w:type="lastCol">
      <w:rPr>
        <w:b/>
        <w:bCs/>
      </w:rPr>
    </w:tblStylePr>
  </w:style>
  <w:style w:type="table" w:customStyle="1" w:styleId="PlainTable21">
    <w:name w:val="Plain Table 21"/>
    <w:basedOn w:val="TableNormal"/>
    <w:uiPriority w:val="42"/>
    <w:pPr>
      <w:spacing w:after="160" w:line="259" w:lineRule="auto"/>
    </w:pPr>
    <w:rPr>
      <w:lang w:val="en-GB" w:eastAsia="en-GB"/>
    </w:rPr>
    <w:tblPr>
      <w:tblStyleRowBandSize w:val="1"/>
      <w:tblStyleColBandSize w:val="1"/>
      <w:tblBorders>
        <w:top w:val="single" w:sz="4" w:space="0" w:color="AEAEAE"/>
        <w:bottom w:val="single" w:sz="4" w:space="0" w:color="AEAEAE"/>
      </w:tblBorders>
    </w:tblPr>
    <w:tblStylePr w:type="firstRow">
      <w:rPr>
        <w:b/>
        <w:bCs/>
      </w:rPr>
      <w:tblPr/>
      <w:tcPr>
        <w:tcBorders>
          <w:bottom w:val="single" w:sz="4" w:space="0" w:color="AEAEAE"/>
        </w:tcBorders>
      </w:tcPr>
    </w:tblStylePr>
    <w:tblStylePr w:type="lastRow">
      <w:rPr>
        <w:b/>
        <w:bCs/>
      </w:rPr>
      <w:tblPr/>
      <w:tcPr>
        <w:tcBorders>
          <w:top w:val="single" w:sz="4" w:space="0" w:color="AEAEAE"/>
        </w:tcBorders>
      </w:tcPr>
    </w:tblStylePr>
    <w:tblStylePr w:type="firstCol">
      <w:rPr>
        <w:b/>
        <w:bCs/>
      </w:rPr>
    </w:tblStylePr>
    <w:tblStylePr w:type="lastCol">
      <w:rPr>
        <w:b/>
        <w:bCs/>
      </w:rPr>
    </w:tblStylePr>
    <w:tblStylePr w:type="band1Vert">
      <w:tblPr/>
      <w:tcPr>
        <w:tcBorders>
          <w:left w:val="single" w:sz="4" w:space="0" w:color="AEAEAE"/>
          <w:right w:val="single" w:sz="4" w:space="0" w:color="AEAEAE"/>
        </w:tcBorders>
      </w:tcPr>
    </w:tblStylePr>
    <w:tblStylePr w:type="band2Vert">
      <w:tblPr/>
      <w:tcPr>
        <w:tcBorders>
          <w:left w:val="single" w:sz="4" w:space="0" w:color="AEAEAE"/>
          <w:right w:val="single" w:sz="4" w:space="0" w:color="AEAEAE"/>
        </w:tcBorders>
      </w:tcPr>
    </w:tblStylePr>
    <w:tblStylePr w:type="band1Horz">
      <w:tblPr/>
      <w:tcPr>
        <w:tcBorders>
          <w:top w:val="single" w:sz="4" w:space="0" w:color="AEAEAE"/>
          <w:bottom w:val="single" w:sz="4" w:space="0" w:color="AEAEAE"/>
        </w:tcBorders>
      </w:tcPr>
    </w:tblStylePr>
  </w:style>
  <w:style w:type="table" w:customStyle="1" w:styleId="MediumList1-Accent111">
    <w:name w:val="Medium List 1 - Accent 111"/>
    <w:basedOn w:val="TableNormal"/>
    <w:uiPriority w:val="65"/>
    <w:pPr>
      <w:spacing w:after="160" w:line="259" w:lineRule="auto"/>
    </w:pPr>
    <w:rPr>
      <w:rFonts w:ascii="Times New Roman" w:eastAsia="Times New Roman" w:hAnsi="Times New Roman"/>
      <w:lang w:val="en-GB"/>
    </w:rPr>
    <w:tblPr>
      <w:tblStyleRowBandSize w:val="1"/>
      <w:tblStyleColBandSize w:val="1"/>
      <w:tblBorders>
        <w:top w:val="single" w:sz="8" w:space="0" w:color="8C9B9C"/>
        <w:bottom w:val="single" w:sz="8" w:space="0" w:color="8C9B9C"/>
      </w:tblBorders>
    </w:tblPr>
    <w:tblStylePr w:type="firstRow">
      <w:rPr>
        <w:rFonts w:ascii="Calibri" w:eastAsia="Gungsuh" w:hAnsi="Calibri" w:cs="Times New Roman"/>
      </w:rPr>
      <w:tblPr/>
      <w:tcPr>
        <w:tcBorders>
          <w:top w:val="nil"/>
          <w:bottom w:val="single" w:sz="8" w:space="0" w:color="8C9B9C"/>
        </w:tcBorders>
      </w:tcPr>
    </w:tblStylePr>
    <w:tblStylePr w:type="lastRow">
      <w:rPr>
        <w:b/>
        <w:bCs/>
        <w:color w:val="F4F3F0"/>
      </w:rPr>
      <w:tblPr/>
      <w:tcPr>
        <w:tcBorders>
          <w:top w:val="single" w:sz="8" w:space="0" w:color="8C9B9C"/>
          <w:bottom w:val="single" w:sz="8" w:space="0" w:color="8C9B9C"/>
        </w:tcBorders>
      </w:tcPr>
    </w:tblStylePr>
    <w:tblStylePr w:type="firstCol">
      <w:rPr>
        <w:b/>
        <w:bCs/>
      </w:rPr>
    </w:tblStylePr>
    <w:tblStylePr w:type="lastCol">
      <w:rPr>
        <w:b/>
        <w:bCs/>
      </w:rPr>
      <w:tblPr/>
      <w:tcPr>
        <w:tcBorders>
          <w:top w:val="single" w:sz="8" w:space="0" w:color="8C9B9C"/>
          <w:bottom w:val="single" w:sz="8" w:space="0" w:color="8C9B9C"/>
        </w:tcBorders>
      </w:tcPr>
    </w:tblStylePr>
    <w:tblStylePr w:type="band1Vert">
      <w:tblPr/>
      <w:tcPr>
        <w:shd w:val="clear" w:color="auto" w:fill="E2E6E6"/>
      </w:tcPr>
    </w:tblStylePr>
    <w:tblStylePr w:type="band1Horz">
      <w:tblPr/>
      <w:tcPr>
        <w:shd w:val="clear" w:color="auto" w:fill="E2E6E6"/>
      </w:tcPr>
    </w:tblStylePr>
  </w:style>
  <w:style w:type="paragraph" w:customStyle="1" w:styleId="Source">
    <w:name w:val="Source"/>
    <w:basedOn w:val="Normal"/>
    <w:link w:val="SourceChar"/>
    <w:pPr>
      <w:spacing w:after="240" w:line="264" w:lineRule="auto"/>
      <w:jc w:val="right"/>
    </w:pPr>
    <w:rPr>
      <w:rFonts w:ascii="Georgia" w:hAnsi="Georgia"/>
      <w:sz w:val="16"/>
      <w:u w:val="single"/>
      <w:lang w:val="en-GB" w:eastAsia="en-GB"/>
    </w:rPr>
  </w:style>
  <w:style w:type="paragraph" w:customStyle="1" w:styleId="Corps">
    <w:name w:val="Corps"/>
    <w:pPr>
      <w:spacing w:after="120" w:line="259" w:lineRule="auto"/>
      <w:ind w:left="567"/>
      <w:jc w:val="both"/>
    </w:pPr>
    <w:rPr>
      <w:rFonts w:ascii="Tahoma" w:eastAsia="Tahoma" w:hAnsi="Tahoma" w:cs="Tahoma"/>
      <w:color w:val="5F5F5F"/>
      <w:u w:color="5F5F5F"/>
      <w:lang w:val="en-GB" w:eastAsia="en-GB"/>
    </w:rPr>
  </w:style>
  <w:style w:type="character" w:customStyle="1" w:styleId="SourceChar">
    <w:name w:val="Source Char"/>
    <w:link w:val="Source"/>
    <w:rPr>
      <w:rFonts w:ascii="Georgia" w:hAnsi="Georgia"/>
      <w:sz w:val="16"/>
      <w:u w:val="single"/>
      <w:lang w:val="en-GB" w:eastAsia="en-GB"/>
    </w:rPr>
  </w:style>
  <w:style w:type="paragraph" w:customStyle="1" w:styleId="Annexlevel1">
    <w:name w:val="Annex level 1"/>
    <w:basedOn w:val="Heading1"/>
    <w:link w:val="Annexlevel1Char"/>
    <w:pPr>
      <w:keepLines/>
      <w:numPr>
        <w:numId w:val="51"/>
      </w:numPr>
      <w:tabs>
        <w:tab w:val="left" w:pos="709"/>
      </w:tabs>
      <w:spacing w:before="120" w:after="120" w:line="264" w:lineRule="auto"/>
      <w:ind w:left="1985" w:hanging="1985"/>
      <w:jc w:val="left"/>
    </w:pPr>
    <w:rPr>
      <w:rFonts w:ascii="Georgia" w:eastAsiaTheme="majorEastAsia" w:hAnsi="Georgia" w:cstheme="majorBidi"/>
      <w:smallCaps w:val="0"/>
      <w:sz w:val="32"/>
      <w:szCs w:val="32"/>
      <w:lang w:eastAsia="en-GB"/>
    </w:rPr>
  </w:style>
  <w:style w:type="character" w:customStyle="1" w:styleId="Annexlevel1Char">
    <w:name w:val="Annex level 1 Char"/>
    <w:link w:val="Annexlevel1"/>
    <w:rPr>
      <w:rFonts w:ascii="Georgia" w:eastAsiaTheme="majorEastAsia" w:hAnsi="Georgia" w:cstheme="majorBidi"/>
      <w:b/>
      <w:sz w:val="32"/>
      <w:szCs w:val="32"/>
      <w:lang w:val="en-GB" w:eastAsia="en-GB"/>
    </w:rPr>
  </w:style>
  <w:style w:type="paragraph" w:customStyle="1" w:styleId="xl64">
    <w:name w:val="xl64"/>
    <w:basedOn w:val="Normal"/>
    <w:pPr>
      <w:spacing w:before="100" w:beforeAutospacing="1" w:after="100" w:afterAutospacing="1" w:line="259" w:lineRule="auto"/>
      <w:jc w:val="center"/>
    </w:pPr>
    <w:rPr>
      <w:rFonts w:ascii="Calibri" w:eastAsia="Times New Roman" w:hAnsi="Calibri" w:cs="Times New Roman"/>
      <w:b/>
      <w:bCs/>
      <w:szCs w:val="24"/>
      <w:lang w:val="fr-FR" w:eastAsia="fr-FR"/>
    </w:rPr>
  </w:style>
  <w:style w:type="paragraph" w:customStyle="1" w:styleId="xl65">
    <w:name w:val="xl65"/>
    <w:basedOn w:val="Normal"/>
    <w:pPr>
      <w:spacing w:before="100" w:beforeAutospacing="1" w:after="100" w:afterAutospacing="1" w:line="259" w:lineRule="auto"/>
    </w:pPr>
    <w:rPr>
      <w:rFonts w:ascii="Calibri" w:eastAsia="Times New Roman" w:hAnsi="Calibri" w:cs="Times New Roman"/>
      <w:b/>
      <w:bCs/>
      <w:szCs w:val="24"/>
      <w:lang w:val="fr-FR" w:eastAsia="fr-FR"/>
    </w:rPr>
  </w:style>
  <w:style w:type="paragraph" w:customStyle="1" w:styleId="xl66">
    <w:name w:val="xl66"/>
    <w:basedOn w:val="Normal"/>
    <w:pP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67">
    <w:name w:val="xl67"/>
    <w:basedOn w:val="Normal"/>
    <w:pPr>
      <w:spacing w:before="100" w:beforeAutospacing="1" w:after="100" w:afterAutospacing="1" w:line="259" w:lineRule="auto"/>
    </w:pPr>
    <w:rPr>
      <w:rFonts w:ascii="Calibri" w:eastAsia="Times New Roman" w:hAnsi="Calibri" w:cs="Times New Roman"/>
      <w:szCs w:val="24"/>
      <w:lang w:val="fr-FR" w:eastAsia="fr-FR"/>
    </w:rPr>
  </w:style>
  <w:style w:type="paragraph" w:customStyle="1" w:styleId="xl68">
    <w:name w:val="xl68"/>
    <w:basedOn w:val="Normal"/>
    <w:pPr>
      <w:spacing w:before="100" w:beforeAutospacing="1" w:after="100" w:afterAutospacing="1" w:line="259" w:lineRule="auto"/>
      <w:textAlignment w:val="center"/>
    </w:pPr>
    <w:rPr>
      <w:rFonts w:ascii="Calibri" w:eastAsia="Times New Roman" w:hAnsi="Calibri" w:cs="Times New Roman"/>
      <w:szCs w:val="24"/>
      <w:lang w:val="fr-FR" w:eastAsia="fr-FR"/>
    </w:rPr>
  </w:style>
  <w:style w:type="paragraph" w:customStyle="1" w:styleId="xl69">
    <w:name w:val="xl69"/>
    <w:basedOn w:val="Normal"/>
    <w:pPr>
      <w:spacing w:before="100" w:beforeAutospacing="1" w:after="100" w:afterAutospacing="1" w:line="259" w:lineRule="auto"/>
    </w:pPr>
    <w:rPr>
      <w:rFonts w:ascii="Calibri Light" w:eastAsia="Times New Roman" w:hAnsi="Calibri Light" w:cs="Times New Roman"/>
      <w:szCs w:val="24"/>
      <w:lang w:val="fr-FR" w:eastAsia="fr-FR"/>
    </w:rPr>
  </w:style>
  <w:style w:type="paragraph" w:customStyle="1" w:styleId="xl70">
    <w:name w:val="xl70"/>
    <w:basedOn w:val="Normal"/>
    <w:pP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1">
    <w:name w:val="xl71"/>
    <w:basedOn w:val="Normal"/>
    <w:pPr>
      <w:pBdr>
        <w:right w:val="single" w:sz="4" w:space="0" w:color="CAC9D9"/>
      </w:pBdr>
      <w:shd w:val="clear" w:color="FFFFFF" w:fill="F0F0F4"/>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2">
    <w:name w:val="xl72"/>
    <w:basedOn w:val="Normal"/>
    <w:pPr>
      <w:pBdr>
        <w:right w:val="single" w:sz="4" w:space="0" w:color="CAC9D9"/>
      </w:pBdr>
      <w:shd w:val="clear" w:color="FFFFFF" w:fill="FFFFFF"/>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3">
    <w:name w:val="xl73"/>
    <w:basedOn w:val="Normal"/>
    <w:pPr>
      <w:shd w:val="clear" w:color="FFFFFF" w:fill="FFFFFF"/>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4">
    <w:name w:val="xl74"/>
    <w:basedOn w:val="Normal"/>
    <w:pPr>
      <w:shd w:val="clear" w:color="000000" w:fill="FFFFFF"/>
      <w:spacing w:before="100" w:beforeAutospacing="1" w:after="100" w:afterAutospacing="1" w:line="259" w:lineRule="auto"/>
    </w:pPr>
    <w:rPr>
      <w:rFonts w:eastAsia="Times New Roman" w:cs="Times New Roman"/>
      <w:szCs w:val="24"/>
      <w:lang w:val="fr-FR" w:eastAsia="fr-FR"/>
    </w:rPr>
  </w:style>
  <w:style w:type="paragraph" w:customStyle="1" w:styleId="xl75">
    <w:name w:val="xl75"/>
    <w:basedOn w:val="Normal"/>
    <w:pPr>
      <w:pBdr>
        <w:left w:val="single" w:sz="4" w:space="0" w:color="CAC9D9"/>
      </w:pBd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6">
    <w:name w:val="xl76"/>
    <w:basedOn w:val="Normal"/>
    <w:pPr>
      <w:spacing w:before="100" w:beforeAutospacing="1" w:after="100" w:afterAutospacing="1" w:line="259" w:lineRule="auto"/>
    </w:pPr>
    <w:rPr>
      <w:rFonts w:ascii="Arial" w:eastAsia="Times New Roman" w:hAnsi="Arial" w:cs="Arial"/>
      <w:color w:val="000000"/>
      <w:sz w:val="18"/>
      <w:szCs w:val="18"/>
      <w:lang w:val="fr-FR" w:eastAsia="fr-FR"/>
    </w:rPr>
  </w:style>
  <w:style w:type="paragraph" w:customStyle="1" w:styleId="xl77">
    <w:name w:val="xl77"/>
    <w:basedOn w:val="Normal"/>
    <w:pPr>
      <w:pBdr>
        <w:top w:val="single" w:sz="4" w:space="0" w:color="CAC9D9"/>
        <w:left w:val="single" w:sz="4" w:space="0" w:color="CAC9D9"/>
        <w:bottom w:val="single" w:sz="4" w:space="0" w:color="CAC9D9"/>
        <w:right w:val="single" w:sz="4" w:space="0" w:color="CAC9D9"/>
      </w:pBdr>
      <w:spacing w:before="100" w:beforeAutospacing="1" w:after="100" w:afterAutospacing="1" w:line="259" w:lineRule="auto"/>
    </w:pPr>
    <w:rPr>
      <w:rFonts w:eastAsia="Times New Roman" w:cs="Times New Roman"/>
      <w:szCs w:val="24"/>
      <w:lang w:val="fr-FR" w:eastAsia="fr-FR"/>
    </w:rPr>
  </w:style>
  <w:style w:type="paragraph" w:customStyle="1" w:styleId="xl78">
    <w:name w:val="xl78"/>
    <w:basedOn w:val="Normal"/>
    <w:pPr>
      <w:shd w:val="clear" w:color="FFFFFF" w:fill="F0F0F4"/>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79">
    <w:name w:val="xl79"/>
    <w:basedOn w:val="Normal"/>
    <w:pPr>
      <w:pBdr>
        <w:left w:val="single" w:sz="4" w:space="0" w:color="CAC9D9"/>
      </w:pBd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80">
    <w:name w:val="xl80"/>
    <w:basedOn w:val="Normal"/>
    <w:pPr>
      <w:pBdr>
        <w:left w:val="single" w:sz="4" w:space="0" w:color="CAC9D9"/>
      </w:pBdr>
      <w:spacing w:before="100" w:beforeAutospacing="1" w:after="100" w:afterAutospacing="1" w:line="259" w:lineRule="auto"/>
    </w:pPr>
    <w:rPr>
      <w:rFonts w:eastAsia="Times New Roman" w:cs="Times New Roman"/>
      <w:szCs w:val="24"/>
      <w:lang w:val="fr-FR" w:eastAsia="fr-FR"/>
    </w:rPr>
  </w:style>
  <w:style w:type="paragraph" w:customStyle="1" w:styleId="xl81">
    <w:name w:val="xl81"/>
    <w:basedOn w:val="Normal"/>
    <w:pPr>
      <w:pBdr>
        <w:left w:val="single" w:sz="4" w:space="0" w:color="CAC9D9"/>
      </w:pBd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82">
    <w:name w:val="xl82"/>
    <w:basedOn w:val="Normal"/>
    <w:pPr>
      <w:pBdr>
        <w:left w:val="single" w:sz="4" w:space="0" w:color="CAC9D9"/>
      </w:pBdr>
      <w:spacing w:before="100" w:beforeAutospacing="1" w:after="100" w:afterAutospacing="1" w:line="259" w:lineRule="auto"/>
    </w:pPr>
    <w:rPr>
      <w:rFonts w:eastAsia="Times New Roman" w:cs="Times New Roman"/>
      <w:color w:val="0563C1"/>
      <w:szCs w:val="24"/>
      <w:u w:val="single"/>
      <w:lang w:val="fr-FR" w:eastAsia="fr-FR"/>
    </w:rPr>
  </w:style>
  <w:style w:type="paragraph" w:customStyle="1" w:styleId="xl83">
    <w:name w:val="xl83"/>
    <w:basedOn w:val="Normal"/>
    <w:pPr>
      <w:pBdr>
        <w:top w:val="single" w:sz="4" w:space="0" w:color="666666"/>
        <w:left w:val="single" w:sz="4" w:space="0" w:color="666666"/>
        <w:bottom w:val="single" w:sz="4" w:space="0" w:color="666666"/>
        <w:right w:val="single" w:sz="4" w:space="0" w:color="666666"/>
      </w:pBdr>
      <w:spacing w:before="100" w:beforeAutospacing="1" w:after="100" w:afterAutospacing="1" w:line="259" w:lineRule="auto"/>
    </w:pPr>
    <w:rPr>
      <w:rFonts w:eastAsia="Times New Roman" w:cs="Times New Roman"/>
      <w:color w:val="0563C1"/>
      <w:szCs w:val="24"/>
      <w:u w:val="single"/>
      <w:lang w:val="fr-FR" w:eastAsia="fr-FR"/>
    </w:rPr>
  </w:style>
  <w:style w:type="table" w:customStyle="1" w:styleId="ListTable41">
    <w:name w:val="List Table 41"/>
    <w:basedOn w:val="TableNormal"/>
    <w:uiPriority w:val="49"/>
    <w:pPr>
      <w:spacing w:after="160" w:line="259" w:lineRule="auto"/>
    </w:pPr>
    <w:rPr>
      <w:lang w:val="en-GB" w:eastAsia="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tcBorders>
        <w:shd w:val="clear" w:color="auto" w:fill="5F5F5F"/>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m8152960186109781831gmail-m6176526134931210704gmail-m1642433259182450243m-1022289211935347996gmail-m-35571645869609104m-3516747098457013066m3796190280198928025gmail-im">
    <w:name w:val="m_8152960186109781831gmail-m_6176526134931210704gmail-m_1642433259182450243m_-1022289211935347996gmail-m_-35571645869609104m_-3516747098457013066m_3796190280198928025gmail-im"/>
    <w:basedOn w:val="DefaultParagraphFont"/>
  </w:style>
  <w:style w:type="paragraph" w:customStyle="1" w:styleId="Table-stylePSP">
    <w:name w:val="Table-style PSP"/>
    <w:basedOn w:val="Normal"/>
    <w:link w:val="Table-stylePSPChar"/>
    <w:pPr>
      <w:spacing w:before="60" w:after="60" w:line="259" w:lineRule="auto"/>
    </w:pPr>
    <w:rPr>
      <w:rFonts w:ascii="Calibri" w:eastAsia="HGPMinchoE" w:hAnsi="Calibri" w:cs="Times New Roman"/>
      <w:bCs/>
      <w:sz w:val="18"/>
      <w:lang w:val="en-GB"/>
    </w:rPr>
  </w:style>
  <w:style w:type="character" w:customStyle="1" w:styleId="Table-stylePSPChar">
    <w:name w:val="Table-style PSP Char"/>
    <w:link w:val="Table-stylePSP"/>
    <w:rPr>
      <w:rFonts w:ascii="Calibri" w:eastAsia="HGPMinchoE" w:hAnsi="Calibri" w:cs="Times New Roman"/>
      <w:bCs/>
      <w:sz w:val="18"/>
      <w:lang w:val="en-GB"/>
    </w:rPr>
  </w:style>
  <w:style w:type="paragraph" w:styleId="PlainText">
    <w:name w:val="Plain Text"/>
    <w:basedOn w:val="Normal"/>
    <w:link w:val="PlainTextChar1"/>
    <w:pPr>
      <w:autoSpaceDE w:val="0"/>
      <w:autoSpaceDN w:val="0"/>
      <w:spacing w:after="120" w:line="320" w:lineRule="atLeast"/>
      <w:jc w:val="both"/>
    </w:pPr>
    <w:rPr>
      <w:rFonts w:eastAsia="Times New Roman" w:cs="RotisSerif"/>
      <w:sz w:val="22"/>
      <w:lang w:val="en-GB" w:eastAsia="en-GB"/>
    </w:rPr>
  </w:style>
  <w:style w:type="character" w:customStyle="1" w:styleId="PlainTextChar">
    <w:name w:val="Plain Text Char"/>
    <w:basedOn w:val="DefaultParagraphFont"/>
    <w:uiPriority w:val="99"/>
    <w:semiHidden/>
    <w:rPr>
      <w:rFonts w:ascii="Consolas" w:hAnsi="Consolas"/>
      <w:sz w:val="21"/>
      <w:szCs w:val="21"/>
    </w:rPr>
  </w:style>
  <w:style w:type="character" w:customStyle="1" w:styleId="PlainTextChar1">
    <w:name w:val="Plain Text Char1"/>
    <w:link w:val="PlainText"/>
    <w:rPr>
      <w:rFonts w:ascii="Times New Roman" w:eastAsia="Times New Roman" w:hAnsi="Times New Roman" w:cs="RotisSerif"/>
      <w:lang w:val="en-GB" w:eastAsia="en-GB"/>
    </w:rPr>
  </w:style>
  <w:style w:type="character" w:customStyle="1" w:styleId="Bullet1Char">
    <w:name w:val="Bullet 1 Char"/>
    <w:link w:val="Bullet1"/>
    <w:locked/>
    <w:rPr>
      <w:rFonts w:ascii="Arial" w:eastAsia="Meiryo UI" w:hAnsi="Arial" w:cs="Arial"/>
      <w:color w:val="5F5F5F"/>
      <w:lang w:eastAsia="zh-CN"/>
    </w:rPr>
  </w:style>
  <w:style w:type="paragraph" w:customStyle="1" w:styleId="Bullet1">
    <w:name w:val="Bullet 1"/>
    <w:basedOn w:val="ListParagraph"/>
    <w:link w:val="Bullet1Char"/>
    <w:pPr>
      <w:numPr>
        <w:numId w:val="52"/>
      </w:numPr>
      <w:spacing w:after="200" w:line="259" w:lineRule="auto"/>
      <w:ind w:left="720" w:firstLine="0"/>
    </w:pPr>
    <w:rPr>
      <w:rFonts w:ascii="Arial" w:eastAsia="Meiryo UI" w:hAnsi="Arial" w:cs="Arial"/>
      <w:color w:val="5F5F5F"/>
      <w:sz w:val="22"/>
      <w:szCs w:val="22"/>
      <w:lang w:val="fr-BE" w:eastAsia="zh-CN"/>
    </w:rPr>
  </w:style>
  <w:style w:type="paragraph" w:customStyle="1" w:styleId="Bullet3">
    <w:name w:val="Bullet 3"/>
    <w:basedOn w:val="Bullet1"/>
    <w:pPr>
      <w:numPr>
        <w:ilvl w:val="2"/>
      </w:numPr>
      <w:ind w:left="720" w:firstLine="0"/>
    </w:pPr>
  </w:style>
  <w:style w:type="paragraph" w:customStyle="1" w:styleId="ECVOrganisationDetails">
    <w:name w:val="_ECV_OrganisationDetails"/>
    <w:basedOn w:val="Normal"/>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hi-IN" w:bidi="hi-IN"/>
    </w:rPr>
  </w:style>
  <w:style w:type="paragraph" w:customStyle="1" w:styleId="ECVNameField">
    <w:name w:val="_ECV_NameField"/>
    <w:basedOn w:val="Normal"/>
    <w:pPr>
      <w:widowControl w:val="0"/>
      <w:suppressLineNumbers/>
      <w:suppressAutoHyphens/>
      <w:spacing w:after="0" w:line="100" w:lineRule="atLeast"/>
    </w:pPr>
    <w:rPr>
      <w:rFonts w:ascii="Arial" w:eastAsia="SimSun" w:hAnsi="Arial" w:cs="Mangal"/>
      <w:color w:val="3F3A38"/>
      <w:spacing w:val="-6"/>
      <w:kern w:val="1"/>
      <w:sz w:val="26"/>
      <w:szCs w:val="18"/>
      <w:lang w:val="en-GB" w:eastAsia="hi-IN" w:bidi="hi-IN"/>
    </w:rPr>
  </w:style>
  <w:style w:type="character" w:customStyle="1" w:styleId="UnresolvedMention3">
    <w:name w:val="Unresolved Mention3"/>
    <w:uiPriority w:val="99"/>
    <w:unhideWhenUsed/>
    <w:rPr>
      <w:color w:val="808080"/>
      <w:shd w:val="clear" w:color="auto" w:fill="E6E6E6"/>
    </w:rPr>
  </w:style>
  <w:style w:type="paragraph" w:customStyle="1" w:styleId="msonormal0">
    <w:name w:val="msonormal"/>
    <w:basedOn w:val="Normal"/>
    <w:pPr>
      <w:spacing w:before="100" w:beforeAutospacing="1" w:after="100" w:afterAutospacing="1" w:line="259" w:lineRule="auto"/>
    </w:pPr>
    <w:rPr>
      <w:rFonts w:eastAsia="Times New Roman" w:cs="Times New Roman"/>
      <w:szCs w:val="24"/>
      <w:lang w:val="fr-LU" w:eastAsia="fr-LU"/>
    </w:rPr>
  </w:style>
  <w:style w:type="paragraph" w:customStyle="1" w:styleId="xl63">
    <w:name w:val="xl63"/>
    <w:basedOn w:val="Normal"/>
    <w:pPr>
      <w:spacing w:before="100" w:beforeAutospacing="1" w:after="100" w:afterAutospacing="1" w:line="259" w:lineRule="auto"/>
    </w:pPr>
    <w:rPr>
      <w:rFonts w:eastAsia="Times New Roman" w:cs="Times New Roman"/>
      <w:sz w:val="16"/>
      <w:szCs w:val="16"/>
      <w:lang w:val="fr-LU" w:eastAsia="fr-LU"/>
    </w:rPr>
  </w:style>
  <w:style w:type="character" w:customStyle="1" w:styleId="italique">
    <w:name w:val="italique"/>
    <w:basedOn w:val="DefaultParagraphFont"/>
  </w:style>
  <w:style w:type="numbering" w:customStyle="1" w:styleId="Style1">
    <w:name w:val="Style1"/>
    <w:uiPriority w:val="99"/>
    <w:pPr>
      <w:numPr>
        <w:numId w:val="53"/>
      </w:numPr>
    </w:pPr>
  </w:style>
  <w:style w:type="table" w:customStyle="1" w:styleId="GridTable4-Accent51">
    <w:name w:val="Grid Table 4 - Accent 51"/>
    <w:basedOn w:val="TableNormal"/>
    <w:uiPriority w:val="49"/>
    <w:pPr>
      <w:spacing w:after="160" w:line="259" w:lineRule="auto"/>
    </w:pPr>
    <w:rPr>
      <w:rFonts w:eastAsia="Times New Roman"/>
      <w:lang w:val="en-GB"/>
    </w:rPr>
    <w:tblPr>
      <w:tblStyleRowBandSize w:val="1"/>
      <w:tblStyleColBandSize w:val="1"/>
      <w:tblBorders>
        <w:top w:val="single" w:sz="4" w:space="0" w:color="31E5F9"/>
        <w:left w:val="single" w:sz="4" w:space="0" w:color="31E5F9"/>
        <w:bottom w:val="single" w:sz="4" w:space="0" w:color="31E5F9"/>
        <w:right w:val="single" w:sz="4" w:space="0" w:color="31E5F9"/>
        <w:insideH w:val="single" w:sz="4" w:space="0" w:color="31E5F9"/>
        <w:insideV w:val="single" w:sz="4" w:space="0" w:color="31E5F9"/>
      </w:tblBorders>
    </w:tblPr>
    <w:tblStylePr w:type="firstRow">
      <w:rPr>
        <w:b/>
        <w:bCs/>
        <w:color w:val="FFFFFF"/>
      </w:rPr>
      <w:tblPr/>
      <w:tcPr>
        <w:tcBorders>
          <w:top w:val="single" w:sz="4" w:space="0" w:color="048B9A"/>
          <w:left w:val="single" w:sz="4" w:space="0" w:color="048B9A"/>
          <w:bottom w:val="single" w:sz="4" w:space="0" w:color="048B9A"/>
          <w:right w:val="single" w:sz="4" w:space="0" w:color="048B9A"/>
          <w:insideH w:val="nil"/>
          <w:insideV w:val="nil"/>
        </w:tcBorders>
        <w:shd w:val="clear" w:color="auto" w:fill="048B9A"/>
      </w:tcPr>
    </w:tblStylePr>
    <w:tblStylePr w:type="lastRow">
      <w:rPr>
        <w:b/>
        <w:bCs/>
      </w:rPr>
      <w:tblPr/>
      <w:tcPr>
        <w:tcBorders>
          <w:top w:val="double" w:sz="4" w:space="0" w:color="048B9A"/>
        </w:tcBorders>
      </w:tcPr>
    </w:tblStylePr>
    <w:tblStylePr w:type="firstCol">
      <w:rPr>
        <w:b/>
        <w:bCs/>
      </w:rPr>
    </w:tblStylePr>
    <w:tblStylePr w:type="lastCol">
      <w:rPr>
        <w:b/>
        <w:bCs/>
      </w:rPr>
    </w:tblStylePr>
    <w:tblStylePr w:type="band1Vert">
      <w:tblPr/>
      <w:tcPr>
        <w:shd w:val="clear" w:color="auto" w:fill="BAF6FD"/>
      </w:tcPr>
    </w:tblStylePr>
    <w:tblStylePr w:type="band1Horz">
      <w:tblPr/>
      <w:tcPr>
        <w:shd w:val="clear" w:color="auto" w:fill="BAF6FD"/>
      </w:tcPr>
    </w:tblStylePr>
  </w:style>
  <w:style w:type="table" w:customStyle="1" w:styleId="GridTable3-Accent11">
    <w:name w:val="Grid Table 3 - Accent 11"/>
    <w:basedOn w:val="TableNormal"/>
    <w:uiPriority w:val="48"/>
    <w:pPr>
      <w:spacing w:after="160" w:line="259" w:lineRule="auto"/>
    </w:pPr>
    <w:rPr>
      <w:rFonts w:eastAsia="Times New Roman"/>
      <w:lang w:val="en-GB"/>
    </w:rPr>
    <w:tblPr>
      <w:tblStyleRowBandSize w:val="1"/>
      <w:tblStyleColBandSize w:val="1"/>
      <w:tblBorders>
        <w:top w:val="single" w:sz="4" w:space="0" w:color="B9C2C3"/>
        <w:left w:val="single" w:sz="4" w:space="0" w:color="B9C2C3"/>
        <w:bottom w:val="single" w:sz="4" w:space="0" w:color="B9C2C3"/>
        <w:right w:val="single" w:sz="4" w:space="0" w:color="B9C2C3"/>
        <w:insideH w:val="single" w:sz="4" w:space="0" w:color="B9C2C3"/>
        <w:insideV w:val="single" w:sz="4" w:space="0" w:color="B9C2C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EAEB"/>
      </w:tcPr>
    </w:tblStylePr>
    <w:tblStylePr w:type="band1Horz">
      <w:tblPr/>
      <w:tcPr>
        <w:shd w:val="clear" w:color="auto" w:fill="E7EAEB"/>
      </w:tcPr>
    </w:tblStylePr>
    <w:tblStylePr w:type="neCell">
      <w:tblPr/>
      <w:tcPr>
        <w:tcBorders>
          <w:bottom w:val="single" w:sz="4" w:space="0" w:color="B9C2C3"/>
        </w:tcBorders>
      </w:tcPr>
    </w:tblStylePr>
    <w:tblStylePr w:type="nwCell">
      <w:tblPr/>
      <w:tcPr>
        <w:tcBorders>
          <w:bottom w:val="single" w:sz="4" w:space="0" w:color="B9C2C3"/>
        </w:tcBorders>
      </w:tcPr>
    </w:tblStylePr>
    <w:tblStylePr w:type="seCell">
      <w:tblPr/>
      <w:tcPr>
        <w:tcBorders>
          <w:top w:val="single" w:sz="4" w:space="0" w:color="B9C2C3"/>
        </w:tcBorders>
      </w:tcPr>
    </w:tblStylePr>
    <w:tblStylePr w:type="swCell">
      <w:tblPr/>
      <w:tcPr>
        <w:tcBorders>
          <w:top w:val="single" w:sz="4" w:space="0" w:color="B9C2C3"/>
        </w:tcBorders>
      </w:tcPr>
    </w:tblStylePr>
  </w:style>
  <w:style w:type="table" w:customStyle="1" w:styleId="GridTable31">
    <w:name w:val="Grid Table 31"/>
    <w:basedOn w:val="TableNormal"/>
    <w:uiPriority w:val="48"/>
    <w:pPr>
      <w:spacing w:after="160" w:line="259" w:lineRule="auto"/>
    </w:pPr>
    <w:rPr>
      <w:rFonts w:eastAsia="Times New Roman"/>
      <w:lang w:val="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DFDF"/>
      </w:tcPr>
    </w:tblStylePr>
    <w:tblStylePr w:type="band1Horz">
      <w:tblPr/>
      <w:tcPr>
        <w:shd w:val="clear" w:color="auto" w:fill="DFDFDF"/>
      </w:tcPr>
    </w:tblStylePr>
    <w:tblStylePr w:type="neCell">
      <w:tblPr/>
      <w:tcPr>
        <w:tcBorders>
          <w:bottom w:val="single" w:sz="4" w:space="0" w:color="9F9F9F"/>
        </w:tcBorders>
      </w:tcPr>
    </w:tblStylePr>
    <w:tblStylePr w:type="nwCell">
      <w:tblPr/>
      <w:tcPr>
        <w:tcBorders>
          <w:bottom w:val="single" w:sz="4" w:space="0" w:color="9F9F9F"/>
        </w:tcBorders>
      </w:tcPr>
    </w:tblStylePr>
    <w:tblStylePr w:type="seCell">
      <w:tblPr/>
      <w:tcPr>
        <w:tcBorders>
          <w:top w:val="single" w:sz="4" w:space="0" w:color="9F9F9F"/>
        </w:tcBorders>
      </w:tcPr>
    </w:tblStylePr>
    <w:tblStylePr w:type="swCell">
      <w:tblPr/>
      <w:tcPr>
        <w:tcBorders>
          <w:top w:val="single" w:sz="4" w:space="0" w:color="9F9F9F"/>
        </w:tcBorders>
      </w:tcPr>
    </w:tblStylePr>
  </w:style>
  <w:style w:type="table" w:customStyle="1" w:styleId="Grigliatab31">
    <w:name w:val="Griglia tab. 31"/>
    <w:basedOn w:val="TableNormal"/>
    <w:uiPriority w:val="48"/>
    <w:pPr>
      <w:spacing w:after="160" w:line="259" w:lineRule="auto"/>
    </w:pPr>
    <w:rPr>
      <w:rFonts w:eastAsia="Times New Roman"/>
      <w:lang w:val="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DFDF"/>
      </w:tcPr>
    </w:tblStylePr>
    <w:tblStylePr w:type="band1Horz">
      <w:tblPr/>
      <w:tcPr>
        <w:shd w:val="clear" w:color="auto" w:fill="DFDFDF"/>
      </w:tcPr>
    </w:tblStylePr>
    <w:tblStylePr w:type="neCell">
      <w:tblPr/>
      <w:tcPr>
        <w:tcBorders>
          <w:bottom w:val="single" w:sz="4" w:space="0" w:color="9F9F9F"/>
        </w:tcBorders>
      </w:tcPr>
    </w:tblStylePr>
    <w:tblStylePr w:type="nwCell">
      <w:tblPr/>
      <w:tcPr>
        <w:tcBorders>
          <w:bottom w:val="single" w:sz="4" w:space="0" w:color="9F9F9F"/>
        </w:tcBorders>
      </w:tcPr>
    </w:tblStylePr>
    <w:tblStylePr w:type="seCell">
      <w:tblPr/>
      <w:tcPr>
        <w:tcBorders>
          <w:top w:val="single" w:sz="4" w:space="0" w:color="9F9F9F"/>
        </w:tcBorders>
      </w:tcPr>
    </w:tblStylePr>
    <w:tblStylePr w:type="swCell">
      <w:tblPr/>
      <w:tcPr>
        <w:tcBorders>
          <w:top w:val="single" w:sz="4" w:space="0" w:color="9F9F9F"/>
        </w:tcBorders>
      </w:tcPr>
    </w:tblStylePr>
  </w:style>
  <w:style w:type="table" w:customStyle="1" w:styleId="GridTable5Dark1">
    <w:name w:val="Grid Table 5 Dark1"/>
    <w:basedOn w:val="TableNormal"/>
    <w:uiPriority w:val="50"/>
    <w:pPr>
      <w:spacing w:after="160" w:line="259" w:lineRule="auto"/>
    </w:pPr>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paragraph" w:customStyle="1" w:styleId="PreAddr">
    <w:name w:val="_PreAddr"/>
    <w:basedOn w:val="Normal"/>
    <w:uiPriority w:val="99"/>
    <w:pPr>
      <w:spacing w:after="0" w:line="259" w:lineRule="auto"/>
      <w:jc w:val="center"/>
    </w:pPr>
    <w:rPr>
      <w:rFonts w:ascii="Book Antiqua" w:eastAsia="Times New Roman" w:hAnsi="Book Antiqua" w:cs="Times New Roman"/>
      <w:b/>
      <w:sz w:val="22"/>
      <w:szCs w:val="20"/>
      <w:lang w:val="en-GB"/>
    </w:rPr>
  </w:style>
  <w:style w:type="paragraph" w:customStyle="1" w:styleId="broodtekst">
    <w:name w:val="broodtekst"/>
    <w:basedOn w:val="Normal"/>
    <w:link w:val="broodtekstChar"/>
    <w:pPr>
      <w:spacing w:after="0" w:line="280" w:lineRule="atLeast"/>
    </w:pPr>
    <w:rPr>
      <w:rFonts w:ascii="Arial" w:eastAsia="Times New Roman" w:hAnsi="Arial" w:cs="Times New Roman"/>
      <w:sz w:val="18"/>
      <w:szCs w:val="24"/>
      <w:lang w:val="en-GB" w:eastAsia="nl-NL"/>
    </w:rPr>
  </w:style>
  <w:style w:type="character" w:customStyle="1" w:styleId="broodtekstChar">
    <w:name w:val="broodtekst Char"/>
    <w:link w:val="broodtekst"/>
    <w:locked/>
    <w:rPr>
      <w:rFonts w:ascii="Arial" w:eastAsia="Times New Roman" w:hAnsi="Arial" w:cs="Times New Roman"/>
      <w:sz w:val="18"/>
      <w:szCs w:val="24"/>
      <w:lang w:val="en-GB" w:eastAsia="nl-NL"/>
    </w:rPr>
  </w:style>
  <w:style w:type="table" w:customStyle="1" w:styleId="GridTable4-Accent511">
    <w:name w:val="Grid Table 4 - Accent 511"/>
    <w:basedOn w:val="TableNormal"/>
    <w:uiPriority w:val="49"/>
    <w:pPr>
      <w:spacing w:after="160" w:line="259" w:lineRule="auto"/>
    </w:pPr>
    <w:rPr>
      <w:rFonts w:eastAsia="Times New Roman"/>
      <w:lang w:val="en-GB"/>
    </w:rPr>
    <w:tblPr>
      <w:tblStyleRowBandSize w:val="1"/>
      <w:tblStyleColBandSize w:val="1"/>
      <w:tblBorders>
        <w:top w:val="single" w:sz="4" w:space="0" w:color="31E5F9"/>
        <w:left w:val="single" w:sz="4" w:space="0" w:color="31E5F9"/>
        <w:bottom w:val="single" w:sz="4" w:space="0" w:color="31E5F9"/>
        <w:right w:val="single" w:sz="4" w:space="0" w:color="31E5F9"/>
        <w:insideH w:val="single" w:sz="4" w:space="0" w:color="31E5F9"/>
        <w:insideV w:val="single" w:sz="4" w:space="0" w:color="31E5F9"/>
      </w:tblBorders>
    </w:tblPr>
    <w:tblStylePr w:type="firstRow">
      <w:rPr>
        <w:b/>
        <w:bCs/>
        <w:color w:val="FFFFFF"/>
      </w:rPr>
      <w:tblPr/>
      <w:tcPr>
        <w:tcBorders>
          <w:top w:val="single" w:sz="4" w:space="0" w:color="048B9A"/>
          <w:left w:val="single" w:sz="4" w:space="0" w:color="048B9A"/>
          <w:bottom w:val="single" w:sz="4" w:space="0" w:color="048B9A"/>
          <w:right w:val="single" w:sz="4" w:space="0" w:color="048B9A"/>
          <w:insideH w:val="nil"/>
          <w:insideV w:val="nil"/>
        </w:tcBorders>
        <w:shd w:val="clear" w:color="auto" w:fill="048B9A"/>
      </w:tcPr>
    </w:tblStylePr>
    <w:tblStylePr w:type="lastRow">
      <w:rPr>
        <w:b/>
        <w:bCs/>
      </w:rPr>
      <w:tblPr/>
      <w:tcPr>
        <w:tcBorders>
          <w:top w:val="double" w:sz="4" w:space="0" w:color="048B9A"/>
        </w:tcBorders>
      </w:tcPr>
    </w:tblStylePr>
    <w:tblStylePr w:type="firstCol">
      <w:rPr>
        <w:b/>
        <w:bCs/>
      </w:rPr>
    </w:tblStylePr>
    <w:tblStylePr w:type="lastCol">
      <w:rPr>
        <w:b/>
        <w:bCs/>
      </w:rPr>
    </w:tblStylePr>
    <w:tblStylePr w:type="band1Vert">
      <w:tblPr/>
      <w:tcPr>
        <w:shd w:val="clear" w:color="auto" w:fill="BAF6FD"/>
      </w:tcPr>
    </w:tblStylePr>
    <w:tblStylePr w:type="band1Horz">
      <w:tblPr/>
      <w:tcPr>
        <w:shd w:val="clear" w:color="auto" w:fill="BAF6FD"/>
      </w:tcPr>
    </w:tblStylePr>
  </w:style>
  <w:style w:type="table" w:customStyle="1" w:styleId="GridTable3-Accent111">
    <w:name w:val="Grid Table 3 - Accent 111"/>
    <w:basedOn w:val="TableNormal"/>
    <w:uiPriority w:val="48"/>
    <w:pPr>
      <w:spacing w:after="160" w:line="259" w:lineRule="auto"/>
    </w:pPr>
    <w:rPr>
      <w:rFonts w:eastAsia="Times New Roman"/>
      <w:lang w:val="en-GB"/>
    </w:rPr>
    <w:tblPr>
      <w:tblStyleRowBandSize w:val="1"/>
      <w:tblStyleColBandSize w:val="1"/>
      <w:tblBorders>
        <w:top w:val="single" w:sz="4" w:space="0" w:color="B9C2C3"/>
        <w:left w:val="single" w:sz="4" w:space="0" w:color="B9C2C3"/>
        <w:bottom w:val="single" w:sz="4" w:space="0" w:color="B9C2C3"/>
        <w:right w:val="single" w:sz="4" w:space="0" w:color="B9C2C3"/>
        <w:insideH w:val="single" w:sz="4" w:space="0" w:color="B9C2C3"/>
        <w:insideV w:val="single" w:sz="4" w:space="0" w:color="B9C2C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7EAEB"/>
      </w:tcPr>
    </w:tblStylePr>
    <w:tblStylePr w:type="band1Horz">
      <w:tblPr/>
      <w:tcPr>
        <w:shd w:val="clear" w:color="auto" w:fill="E7EAEB"/>
      </w:tcPr>
    </w:tblStylePr>
    <w:tblStylePr w:type="neCell">
      <w:tblPr/>
      <w:tcPr>
        <w:tcBorders>
          <w:bottom w:val="single" w:sz="4" w:space="0" w:color="B9C2C3"/>
        </w:tcBorders>
      </w:tcPr>
    </w:tblStylePr>
    <w:tblStylePr w:type="nwCell">
      <w:tblPr/>
      <w:tcPr>
        <w:tcBorders>
          <w:bottom w:val="single" w:sz="4" w:space="0" w:color="B9C2C3"/>
        </w:tcBorders>
      </w:tcPr>
    </w:tblStylePr>
    <w:tblStylePr w:type="seCell">
      <w:tblPr/>
      <w:tcPr>
        <w:tcBorders>
          <w:top w:val="single" w:sz="4" w:space="0" w:color="B9C2C3"/>
        </w:tcBorders>
      </w:tcPr>
    </w:tblStylePr>
    <w:tblStylePr w:type="swCell">
      <w:tblPr/>
      <w:tcPr>
        <w:tcBorders>
          <w:top w:val="single" w:sz="4" w:space="0" w:color="B9C2C3"/>
        </w:tcBorders>
      </w:tcPr>
    </w:tblStylePr>
  </w:style>
  <w:style w:type="table" w:customStyle="1" w:styleId="GridTable311">
    <w:name w:val="Grid Table 311"/>
    <w:basedOn w:val="TableNormal"/>
    <w:uiPriority w:val="48"/>
    <w:pPr>
      <w:spacing w:after="160" w:line="259" w:lineRule="auto"/>
    </w:pPr>
    <w:rPr>
      <w:rFonts w:eastAsia="Times New Roman"/>
      <w:lang w:val="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DFDF"/>
      </w:tcPr>
    </w:tblStylePr>
    <w:tblStylePr w:type="band1Horz">
      <w:tblPr/>
      <w:tcPr>
        <w:shd w:val="clear" w:color="auto" w:fill="DFDFDF"/>
      </w:tcPr>
    </w:tblStylePr>
    <w:tblStylePr w:type="neCell">
      <w:tblPr/>
      <w:tcPr>
        <w:tcBorders>
          <w:bottom w:val="single" w:sz="4" w:space="0" w:color="9F9F9F"/>
        </w:tcBorders>
      </w:tcPr>
    </w:tblStylePr>
    <w:tblStylePr w:type="nwCell">
      <w:tblPr/>
      <w:tcPr>
        <w:tcBorders>
          <w:bottom w:val="single" w:sz="4" w:space="0" w:color="9F9F9F"/>
        </w:tcBorders>
      </w:tcPr>
    </w:tblStylePr>
    <w:tblStylePr w:type="seCell">
      <w:tblPr/>
      <w:tcPr>
        <w:tcBorders>
          <w:top w:val="single" w:sz="4" w:space="0" w:color="9F9F9F"/>
        </w:tcBorders>
      </w:tcPr>
    </w:tblStylePr>
    <w:tblStylePr w:type="swCell">
      <w:tblPr/>
      <w:tcPr>
        <w:tcBorders>
          <w:top w:val="single" w:sz="4" w:space="0" w:color="9F9F9F"/>
        </w:tcBorders>
      </w:tcPr>
    </w:tblStylePr>
  </w:style>
  <w:style w:type="numbering" w:customStyle="1" w:styleId="list-bullet-color1">
    <w:name w:val="list-bullet-color1"/>
  </w:style>
  <w:style w:type="character" w:customStyle="1" w:styleId="boldface">
    <w:name w:val="boldface"/>
    <w:basedOn w:val="DefaultParagraphFont"/>
  </w:style>
  <w:style w:type="table" w:customStyle="1" w:styleId="Grigliatabella1">
    <w:name w:val="Griglia tabella1"/>
    <w:basedOn w:val="TableNormal"/>
    <w:uiPriority w:val="39"/>
    <w:pPr>
      <w:spacing w:after="160" w:line="259"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1">
    <w:name w:val="Footnote Char1"/>
    <w:aliases w:val="single space Char1,Fußnotentextf Char1,Footnote text Char1,Schriftart: 9 pt Char1,Schriftart: 10 pt Char1,Schriftart: 8 pt Char1,WB-Fußnotentext Char1,Footnote Text2 Char1,f Char1,Fuß Char"/>
    <w:uiPriority w:val="99"/>
    <w:locked/>
    <w:rPr>
      <w:lang w:val="en-US"/>
    </w:rPr>
  </w:style>
  <w:style w:type="table" w:customStyle="1" w:styleId="GridTable5Dark-Accent131">
    <w:name w:val="Grid Table 5 Dark - Accent 131"/>
    <w:basedOn w:val="TableNormal"/>
    <w:uiPriority w:val="50"/>
    <w:pPr>
      <w:spacing w:after="160" w:line="259" w:lineRule="auto"/>
    </w:pPr>
    <w:rPr>
      <w:rFonts w:eastAsia="Times New Roman"/>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7EA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9B9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9B9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9B9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9B9C"/>
      </w:tcPr>
    </w:tblStylePr>
    <w:tblStylePr w:type="band1Vert">
      <w:tblPr/>
      <w:tcPr>
        <w:shd w:val="clear" w:color="auto" w:fill="D0D7D7"/>
      </w:tcPr>
    </w:tblStylePr>
    <w:tblStylePr w:type="band1Horz">
      <w:tblPr/>
      <w:tcPr>
        <w:shd w:val="clear" w:color="auto" w:fill="D0D7D7"/>
      </w:tcPr>
    </w:tblStylePr>
  </w:style>
  <w:style w:type="table" w:customStyle="1" w:styleId="Grigliatabella4">
    <w:name w:val="Griglia tabella4"/>
    <w:basedOn w:val="TableNormal"/>
    <w:next w:val="TableGrid"/>
    <w:uiPriority w:val="39"/>
    <w:pPr>
      <w:spacing w:after="160" w:line="259" w:lineRule="auto"/>
    </w:pPr>
    <w:rPr>
      <w:rFonts w:eastAsia="Calibri"/>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web">
    <w:name w:val="citation web"/>
    <w:basedOn w:val="DefaultParagraphFont"/>
  </w:style>
  <w:style w:type="character" w:customStyle="1" w:styleId="printonly">
    <w:name w:val="printonly"/>
    <w:basedOn w:val="DefaultParagraphFont"/>
  </w:style>
  <w:style w:type="paragraph" w:customStyle="1" w:styleId="TextBoxBullet">
    <w:name w:val="TextBoxBullet"/>
    <w:basedOn w:val="Normal"/>
    <w:uiPriority w:val="99"/>
    <w:pPr>
      <w:keepNext/>
      <w:numPr>
        <w:numId w:val="55"/>
      </w:numPr>
      <w:pBdr>
        <w:top w:val="single" w:sz="6" w:space="12" w:color="auto"/>
        <w:left w:val="single" w:sz="6" w:space="12" w:color="auto"/>
        <w:bottom w:val="single" w:sz="6" w:space="12" w:color="auto"/>
        <w:right w:val="single" w:sz="6" w:space="12" w:color="auto"/>
      </w:pBdr>
      <w:spacing w:after="300" w:line="271" w:lineRule="auto"/>
      <w:ind w:right="245"/>
      <w:jc w:val="both"/>
    </w:pPr>
    <w:rPr>
      <w:rFonts w:ascii="Book Antiqua" w:eastAsia="Times New Roman" w:hAnsi="Book Antiqua" w:cs="Times New Roman"/>
      <w:sz w:val="22"/>
      <w:szCs w:val="20"/>
      <w:lang w:val="en-GB"/>
    </w:rPr>
  </w:style>
  <w:style w:type="character" w:customStyle="1" w:styleId="ECVHeadingContactDetails">
    <w:name w:val="_ECV_HeadingContactDetails"/>
    <w:rPr>
      <w:rFonts w:ascii="Arial" w:hAnsi="Arial"/>
      <w:color w:val="1593CB"/>
      <w:sz w:val="18"/>
      <w:szCs w:val="18"/>
      <w:shd w:val="clear" w:color="auto" w:fill="auto"/>
    </w:rPr>
  </w:style>
  <w:style w:type="character" w:customStyle="1" w:styleId="ECVContactDetails">
    <w:name w:val="_ECV_ContactDetails"/>
    <w:rPr>
      <w:rFonts w:ascii="Arial" w:hAnsi="Arial"/>
      <w:color w:val="3F3A38"/>
      <w:sz w:val="18"/>
      <w:szCs w:val="18"/>
      <w:shd w:val="clear" w:color="auto" w:fill="auto"/>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ECVInternetLink">
    <w:name w:val="_ECV_InternetLink"/>
    <w:rPr>
      <w:rFonts w:ascii="Arial" w:hAnsi="Arial"/>
      <w:color w:val="3F3A38"/>
      <w:sz w:val="18"/>
      <w:u w:val="single"/>
      <w:shd w:val="clear" w:color="auto" w:fill="auto"/>
      <w:lang w:val="en-GB"/>
    </w:rPr>
  </w:style>
  <w:style w:type="character" w:customStyle="1" w:styleId="ECVHeadingBusinessSector">
    <w:name w:val="_ECV_HeadingBusinessSector"/>
    <w:rPr>
      <w:rFonts w:ascii="Arial" w:hAnsi="Arial"/>
      <w:color w:val="1593CB"/>
      <w:spacing w:val="-6"/>
      <w:sz w:val="18"/>
      <w:szCs w:val="18"/>
      <w:shd w:val="clear" w:color="auto" w:fill="auto"/>
    </w:rPr>
  </w:style>
  <w:style w:type="paragraph" w:customStyle="1" w:styleId="Heading">
    <w:name w:val="Heading"/>
    <w:basedOn w:val="Normal"/>
    <w:next w:val="BodyText"/>
    <w:pPr>
      <w:keepNext/>
      <w:widowControl w:val="0"/>
      <w:suppressAutoHyphens/>
      <w:spacing w:before="240" w:after="120" w:line="259" w:lineRule="auto"/>
    </w:pPr>
    <w:rPr>
      <w:rFonts w:ascii="Arial" w:eastAsia="Microsoft YaHei" w:hAnsi="Arial" w:cs="Mangal"/>
      <w:color w:val="3F3A38"/>
      <w:spacing w:val="-6"/>
      <w:kern w:val="1"/>
      <w:sz w:val="28"/>
      <w:szCs w:val="28"/>
      <w:lang w:val="en-GB" w:eastAsia="en-GB" w:bidi="hi-IN"/>
    </w:rPr>
  </w:style>
  <w:style w:type="paragraph" w:customStyle="1" w:styleId="Index">
    <w:name w:val="Index"/>
    <w:basedOn w:val="Normal"/>
    <w:pPr>
      <w:widowControl w:val="0"/>
      <w:suppressLineNumber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TableContents">
    <w:name w:val="Table Contents"/>
    <w:basedOn w:val="Normal"/>
    <w:pPr>
      <w:widowControl w:val="0"/>
      <w:suppressLineNumber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TableHeading">
    <w:name w:val="Table Heading"/>
    <w:basedOn w:val="TableContents"/>
    <w:pPr>
      <w:jc w:val="center"/>
    </w:pPr>
    <w:rPr>
      <w:b/>
      <w:bCs/>
    </w:rPr>
  </w:style>
  <w:style w:type="paragraph" w:customStyle="1" w:styleId="ECVLeftHeading">
    <w:name w:val="_ECV_LeftHeading"/>
    <w:basedOn w:val="TableContents"/>
    <w:pPr>
      <w:ind w:right="283"/>
      <w:jc w:val="right"/>
    </w:pPr>
    <w:rPr>
      <w:caps/>
      <w:color w:val="0E4194"/>
      <w:sz w:val="18"/>
    </w:rPr>
  </w:style>
  <w:style w:type="paragraph" w:customStyle="1" w:styleId="ECVMiddleColumn">
    <w:name w:val="_ECV_MiddleColumn"/>
    <w:basedOn w:val="TableContents"/>
    <w:rPr>
      <w:color w:val="404040"/>
      <w:sz w:val="20"/>
    </w:rPr>
  </w:style>
  <w:style w:type="paragraph" w:customStyle="1" w:styleId="ECVRightColumn">
    <w:name w:val="_ECV_RightColumn"/>
    <w:basedOn w:val="TableContents"/>
    <w:pPr>
      <w:spacing w:before="62"/>
    </w:pPr>
    <w:rPr>
      <w:color w:val="404040"/>
    </w:rPr>
  </w:style>
  <w:style w:type="paragraph" w:customStyle="1" w:styleId="ECVRightHeading">
    <w:name w:val="_ECV_RightHeading"/>
    <w:basedOn w:val="ECVNameField"/>
  </w:style>
  <w:style w:type="paragraph" w:customStyle="1" w:styleId="ECV1stPage">
    <w:name w:val="_ECV_1stPage"/>
    <w:basedOn w:val="ECVRightHeading"/>
  </w:style>
  <w:style w:type="paragraph" w:customStyle="1" w:styleId="ECVComments">
    <w:name w:val="_ECV_Comments"/>
    <w:basedOn w:val="ECVText"/>
    <w:pPr>
      <w:widowControl w:val="0"/>
      <w:suppressAutoHyphens/>
      <w:spacing w:after="0" w:line="100" w:lineRule="atLeast"/>
      <w:jc w:val="center"/>
    </w:pPr>
    <w:rPr>
      <w:rFonts w:ascii="Arial" w:eastAsia="SimSun" w:hAnsi="Arial" w:cs="Mangal"/>
      <w:color w:val="FF0000"/>
      <w:spacing w:val="-6"/>
      <w:kern w:val="1"/>
      <w:sz w:val="16"/>
      <w:szCs w:val="24"/>
      <w:lang w:eastAsia="en-GB" w:bidi="hi-IN"/>
    </w:rPr>
  </w:style>
  <w:style w:type="paragraph" w:customStyle="1" w:styleId="ECVNarrowSpacing">
    <w:name w:val="_ECV_NarrowSpacing"/>
    <w:basedOn w:val="ECVRightColumn"/>
  </w:style>
  <w:style w:type="paragraph" w:customStyle="1" w:styleId="ECVSectionSpacing">
    <w:name w:val="_ECV_SectionSpacing"/>
    <w:basedOn w:val="ECVRightColumn"/>
  </w:style>
  <w:style w:type="paragraph" w:customStyle="1" w:styleId="Table">
    <w:name w:val="Table"/>
    <w:basedOn w:val="caption2"/>
    <w:uiPriority w:val="99"/>
    <w:pPr>
      <w:widowControl w:val="0"/>
      <w:suppressLineNumbers/>
      <w:suppressAutoHyphens/>
      <w:spacing w:before="120" w:line="259" w:lineRule="auto"/>
    </w:pPr>
    <w:rPr>
      <w:rFonts w:ascii="Arial" w:eastAsia="SimSun" w:hAnsi="Arial" w:cs="Mangal"/>
      <w:bCs/>
      <w:iCs w:val="0"/>
      <w:color w:val="3F3A38"/>
      <w:spacing w:val="-6"/>
      <w:kern w:val="1"/>
      <w:szCs w:val="24"/>
      <w:lang w:bidi="hi-IN"/>
    </w:rPr>
  </w:style>
  <w:style w:type="paragraph" w:customStyle="1" w:styleId="ECVSubSectionHeading">
    <w:name w:val="_ECV_SubSectionHeading"/>
    <w:basedOn w:val="ECVRightColumn"/>
  </w:style>
  <w:style w:type="paragraph" w:customStyle="1" w:styleId="ECVSectionDetails">
    <w:name w:val="_ECV_SectionDetails"/>
    <w:basedOn w:val="Normal"/>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en-GB" w:eastAsia="en-GB" w:bidi="hi-IN"/>
    </w:rPr>
  </w:style>
  <w:style w:type="paragraph" w:customStyle="1" w:styleId="ECVSectionBullet">
    <w:name w:val="_ECV_SectionBullet"/>
    <w:basedOn w:val="ECVSectionDetails"/>
  </w:style>
  <w:style w:type="paragraph" w:customStyle="1" w:styleId="ECVHeadingBullet">
    <w:name w:val="_ECV_HeadingBullet"/>
    <w:basedOn w:val="ECVLeftHeading"/>
    <w:pPr>
      <w:numPr>
        <w:numId w:val="53"/>
      </w:numPr>
      <w:ind w:left="0" w:firstLine="0"/>
    </w:pPr>
  </w:style>
  <w:style w:type="paragraph" w:customStyle="1" w:styleId="ECVSubHeadingBullet">
    <w:name w:val="_ECV_SubHeadingBullet"/>
    <w:basedOn w:val="ECVLeftDetails"/>
  </w:style>
  <w:style w:type="paragraph" w:customStyle="1" w:styleId="CVMajor">
    <w:name w:val="CV Major"/>
    <w:basedOn w:val="Normal"/>
    <w:pPr>
      <w:widowControl w:val="0"/>
      <w:suppressAutoHyphens/>
      <w:spacing w:after="0" w:line="259" w:lineRule="auto"/>
      <w:ind w:left="113" w:right="113"/>
    </w:pPr>
    <w:rPr>
      <w:rFonts w:ascii="Arial" w:eastAsia="SimSun" w:hAnsi="Arial" w:cs="Mangal"/>
      <w:b/>
      <w:color w:val="3F3A38"/>
      <w:spacing w:val="-6"/>
      <w:kern w:val="1"/>
      <w:szCs w:val="24"/>
      <w:lang w:val="en-GB" w:eastAsia="en-GB" w:bidi="hi-IN"/>
    </w:rPr>
  </w:style>
  <w:style w:type="paragraph" w:customStyle="1" w:styleId="ECVDate">
    <w:name w:val="_ECV_Date"/>
    <w:basedOn w:val="ECVLeftHeading"/>
  </w:style>
  <w:style w:type="paragraph" w:customStyle="1" w:styleId="CVHeading3">
    <w:name w:val="CV Heading 3"/>
    <w:basedOn w:val="Normal"/>
    <w:next w:val="Normal"/>
    <w:pPr>
      <w:widowControl w:val="0"/>
      <w:suppressAutoHyphens/>
      <w:spacing w:after="0" w:line="259" w:lineRule="auto"/>
      <w:ind w:left="113" w:right="113"/>
      <w:jc w:val="right"/>
      <w:textAlignment w:val="center"/>
    </w:pPr>
    <w:rPr>
      <w:rFonts w:ascii="Arial" w:eastAsia="SimSun" w:hAnsi="Arial" w:cs="Mangal"/>
      <w:color w:val="3F3A38"/>
      <w:spacing w:val="-6"/>
      <w:kern w:val="1"/>
      <w:sz w:val="16"/>
      <w:szCs w:val="24"/>
      <w:lang w:val="en-GB" w:eastAsia="en-GB" w:bidi="hi-IN"/>
    </w:rPr>
  </w:style>
  <w:style w:type="paragraph" w:customStyle="1" w:styleId="ECVHeadingLine">
    <w:name w:val="_ECV_HeadingLine"/>
    <w:basedOn w:val="ECVSubSectionHeading"/>
    <w:pPr>
      <w:spacing w:before="0" w:line="100" w:lineRule="atLeast"/>
    </w:pPr>
    <w:rPr>
      <w:color w:val="17ACE6"/>
      <w:sz w:val="22"/>
    </w:rPr>
  </w:style>
  <w:style w:type="paragraph" w:customStyle="1" w:styleId="ECVAttachment">
    <w:name w:val="_ECV_Attachment"/>
    <w:basedOn w:val="ECVSectionDetails"/>
  </w:style>
  <w:style w:type="paragraph" w:customStyle="1" w:styleId="ECVHeaderFirstPage">
    <w:name w:val="_ECV_HeaderFirstPage"/>
    <w:basedOn w:val="Header"/>
    <w:pPr>
      <w:widowControl w:val="0"/>
      <w:suppressLineNumbers/>
      <w:tabs>
        <w:tab w:val="clear" w:pos="4535"/>
        <w:tab w:val="clear" w:pos="9071"/>
        <w:tab w:val="center" w:pos="2835"/>
        <w:tab w:val="center" w:pos="5103"/>
        <w:tab w:val="right" w:pos="10206"/>
      </w:tabs>
      <w:suppressAutoHyphens/>
      <w:spacing w:after="0" w:line="100" w:lineRule="atLeast"/>
      <w:jc w:val="left"/>
    </w:pPr>
    <w:rPr>
      <w:rFonts w:ascii="Arial" w:eastAsia="SimSun" w:hAnsi="Arial" w:cs="Mangal"/>
      <w:color w:val="17ACE6"/>
      <w:spacing w:val="-6"/>
      <w:kern w:val="1"/>
      <w:sz w:val="20"/>
      <w:szCs w:val="24"/>
      <w:lang w:val="en-GB" w:eastAsia="en-GB" w:bidi="hi-IN"/>
    </w:rPr>
  </w:style>
  <w:style w:type="paragraph" w:customStyle="1" w:styleId="ECVHeaderOtherPage">
    <w:name w:val="_ECV_HeaderOtherPage"/>
    <w:basedOn w:val="ECVHeaderFirstPage"/>
  </w:style>
  <w:style w:type="paragraph" w:customStyle="1" w:styleId="ECVLeftDetails">
    <w:name w:val="_ECV_LeftDetails"/>
    <w:basedOn w:val="ECVLeftHeading"/>
  </w:style>
  <w:style w:type="paragraph" w:customStyle="1" w:styleId="ECVLanguageHeading">
    <w:name w:val="_ECV_LanguageHeading"/>
    <w:basedOn w:val="ECVRightColumn"/>
  </w:style>
  <w:style w:type="paragraph" w:customStyle="1" w:styleId="ECVLanguageSubHeading">
    <w:name w:val="_ECV_LanguageSubHeading"/>
    <w:basedOn w:val="ECVLanguageHeading"/>
  </w:style>
  <w:style w:type="paragraph" w:customStyle="1" w:styleId="ECVLanguageLevel">
    <w:name w:val="_ECV_LanguageLevel"/>
    <w:basedOn w:val="ECVSectionDetails"/>
  </w:style>
  <w:style w:type="paragraph" w:customStyle="1" w:styleId="ECVLanguageCertificate">
    <w:name w:val="_ECV_LanguageCertificate"/>
    <w:basedOn w:val="ECVRightColumn"/>
  </w:style>
  <w:style w:type="paragraph" w:customStyle="1" w:styleId="ECVLanguageExplanation">
    <w:name w:val="_ECV_LanguageExplanation"/>
    <w:basedOn w:val="Normal"/>
    <w:pPr>
      <w:widowControl w:val="0"/>
      <w:suppressAutoHyphens/>
      <w:autoSpaceDE w:val="0"/>
      <w:spacing w:after="0" w:line="100" w:lineRule="atLeast"/>
    </w:pPr>
    <w:rPr>
      <w:rFonts w:ascii="Arial" w:eastAsia="SimSun" w:hAnsi="Arial" w:cs="Mangal"/>
      <w:color w:val="0E4194"/>
      <w:spacing w:val="-6"/>
      <w:kern w:val="1"/>
      <w:sz w:val="15"/>
      <w:szCs w:val="24"/>
      <w:lang w:val="en-GB" w:eastAsia="en-GB" w:bidi="hi-IN"/>
    </w:rPr>
  </w:style>
  <w:style w:type="paragraph" w:customStyle="1" w:styleId="ECVLinks">
    <w:name w:val="_ECV_Links"/>
    <w:pPr>
      <w:widowControl w:val="0"/>
      <w:suppressLineNumbers/>
      <w:suppressAutoHyphens/>
      <w:spacing w:after="160" w:line="100" w:lineRule="atLeast"/>
      <w:textAlignment w:val="center"/>
    </w:pPr>
    <w:rPr>
      <w:rFonts w:ascii="Arial" w:eastAsia="SimSun" w:hAnsi="Arial" w:cs="Mangal"/>
      <w:color w:val="3F3A38"/>
      <w:spacing w:val="-6"/>
      <w:sz w:val="18"/>
      <w:szCs w:val="18"/>
      <w:u w:val="single"/>
      <w:lang w:val="en-GB" w:eastAsia="zh-CN" w:bidi="hi-IN"/>
    </w:rPr>
  </w:style>
  <w:style w:type="paragraph" w:customStyle="1" w:styleId="ECVText">
    <w:name w:val="_ECV_Text"/>
    <w:basedOn w:val="BodyText"/>
  </w:style>
  <w:style w:type="paragraph" w:customStyle="1" w:styleId="ECVBusinessSector">
    <w:name w:val="_ECV_BusinessSector"/>
    <w:basedOn w:val="ECVOrganisationDetails"/>
  </w:style>
  <w:style w:type="paragraph" w:customStyle="1" w:styleId="ECVLanguageName">
    <w:name w:val="_ECV_LanguageName"/>
    <w:basedOn w:val="ECVLanguageCertificate"/>
  </w:style>
  <w:style w:type="paragraph" w:customStyle="1" w:styleId="ECVPersonalInfoHeading">
    <w:name w:val="_ECV_PersonalInfoHeading"/>
    <w:basedOn w:val="ECVLeftHeading"/>
  </w:style>
  <w:style w:type="paragraph" w:customStyle="1" w:styleId="ECVOccupationalFieldHeading">
    <w:name w:val="_ECV_OccupationalFieldHeading"/>
    <w:basedOn w:val="ECVLeftHeading"/>
  </w:style>
  <w:style w:type="paragraph" w:customStyle="1" w:styleId="ECVGenderRow">
    <w:name w:val="_ECV_GenderRow"/>
    <w:basedOn w:val="Normal"/>
    <w:pPr>
      <w:widowControl w:val="0"/>
      <w:suppressAutoHyphens/>
      <w:spacing w:before="85" w:after="0" w:line="259" w:lineRule="auto"/>
    </w:pPr>
    <w:rPr>
      <w:rFonts w:ascii="Arial" w:eastAsia="SimSun" w:hAnsi="Arial" w:cs="Mangal"/>
      <w:color w:val="1593CB"/>
      <w:spacing w:val="-6"/>
      <w:kern w:val="1"/>
      <w:sz w:val="16"/>
      <w:szCs w:val="24"/>
      <w:lang w:val="en-GB" w:eastAsia="en-GB" w:bidi="hi-IN"/>
    </w:rPr>
  </w:style>
  <w:style w:type="paragraph" w:customStyle="1" w:styleId="ECVCurriculumVitaeNextPages">
    <w:name w:val="_ECV_CurriculumVitae_NextPages"/>
    <w:basedOn w:val="ECV1stPage"/>
  </w:style>
  <w:style w:type="paragraph" w:customStyle="1" w:styleId="ECVBusinessSctionRow">
    <w:name w:val="_ECV_BusinessSctionRow"/>
    <w:basedOn w:val="Normal"/>
    <w:pPr>
      <w:widowControl w:val="0"/>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ECVBusinessSectorRow">
    <w:name w:val="_ECV_BusinessSectorRow"/>
    <w:basedOn w:val="Normal"/>
    <w:pPr>
      <w:widowControl w:val="0"/>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ECVBlueBox">
    <w:name w:val="_ECV_BlueBox"/>
    <w:basedOn w:val="ECVNarrowSpacing"/>
    <w:pPr>
      <w:spacing w:before="0"/>
      <w:jc w:val="right"/>
      <w:textAlignment w:val="bottom"/>
    </w:pPr>
    <w:rPr>
      <w:color w:val="402C24"/>
      <w:spacing w:val="0"/>
      <w:sz w:val="8"/>
      <w:szCs w:val="10"/>
    </w:rPr>
  </w:style>
  <w:style w:type="paragraph" w:customStyle="1" w:styleId="ESP1stPage">
    <w:name w:val="_ESP_1stPage"/>
    <w:basedOn w:val="ECVCurriculumVitaeNextPages"/>
  </w:style>
  <w:style w:type="paragraph" w:customStyle="1" w:styleId="ESPText">
    <w:name w:val="_ESP_Text"/>
    <w:basedOn w:val="ECVText"/>
    <w:pPr>
      <w:widowControl w:val="0"/>
      <w:suppressAutoHyphens/>
      <w:spacing w:after="0" w:line="100" w:lineRule="atLeast"/>
      <w:jc w:val="left"/>
    </w:pPr>
    <w:rPr>
      <w:rFonts w:ascii="Arial" w:eastAsia="SimSun" w:hAnsi="Arial" w:cs="Mangal"/>
      <w:color w:val="3F3A38"/>
      <w:spacing w:val="-6"/>
      <w:kern w:val="1"/>
      <w:sz w:val="16"/>
      <w:szCs w:val="24"/>
      <w:lang w:eastAsia="en-GB" w:bidi="hi-IN"/>
    </w:rPr>
  </w:style>
  <w:style w:type="paragraph" w:customStyle="1" w:styleId="ESPHeading">
    <w:name w:val="_ESP_Heading"/>
    <w:basedOn w:val="ESPText"/>
  </w:style>
  <w:style w:type="paragraph" w:customStyle="1" w:styleId="Footerleft">
    <w:name w:val="Footer left"/>
    <w:basedOn w:val="Normal"/>
    <w:pPr>
      <w:widowControl w:val="0"/>
      <w:suppressLineNumbers/>
      <w:tabs>
        <w:tab w:val="center" w:pos="5188"/>
        <w:tab w:val="right" w:pos="10376"/>
      </w:tab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Footerright">
    <w:name w:val="Footer right"/>
    <w:basedOn w:val="Normal"/>
    <w:pPr>
      <w:widowControl w:val="0"/>
      <w:suppressLineNumbers/>
      <w:tabs>
        <w:tab w:val="center" w:pos="5188"/>
        <w:tab w:val="right" w:pos="10376"/>
      </w:tab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ECVRelatedDocumentRow">
    <w:name w:val="_ECV_RelatedDocumentRow"/>
    <w:basedOn w:val="ECVBusinessSectorRow"/>
  </w:style>
  <w:style w:type="paragraph" w:customStyle="1" w:styleId="Eaoaeaa">
    <w:name w:val="Eaoae?aa"/>
    <w:basedOn w:val="Normal"/>
    <w:pPr>
      <w:widowControl w:val="0"/>
      <w:tabs>
        <w:tab w:val="center" w:pos="4153"/>
        <w:tab w:val="right" w:pos="8306"/>
      </w:tabs>
      <w:spacing w:after="0" w:line="259" w:lineRule="auto"/>
    </w:pPr>
    <w:rPr>
      <w:rFonts w:eastAsia="Times New Roman" w:cs="Times New Roman"/>
      <w:sz w:val="22"/>
      <w:szCs w:val="20"/>
      <w:lang w:val="en-US" w:eastAsia="de-AT"/>
    </w:rPr>
  </w:style>
  <w:style w:type="paragraph" w:customStyle="1" w:styleId="OiaeaeiYiio2">
    <w:name w:val="O?ia eaeiYiio 2"/>
    <w:basedOn w:val="Normal"/>
    <w:pPr>
      <w:widowControl w:val="0"/>
      <w:autoSpaceDE w:val="0"/>
      <w:autoSpaceDN w:val="0"/>
      <w:spacing w:after="0" w:line="259" w:lineRule="auto"/>
      <w:jc w:val="right"/>
    </w:pPr>
    <w:rPr>
      <w:rFonts w:eastAsia="Times New Roman" w:cs="Times New Roman"/>
      <w:i/>
      <w:iCs/>
      <w:sz w:val="16"/>
      <w:szCs w:val="16"/>
      <w:lang w:val="en-US" w:eastAsia="it-IT"/>
    </w:rPr>
  </w:style>
  <w:style w:type="paragraph" w:customStyle="1" w:styleId="CVNormal-FirstLine">
    <w:name w:val="CV Normal - First Line"/>
    <w:basedOn w:val="Normal"/>
    <w:next w:val="Normal"/>
    <w:pPr>
      <w:suppressAutoHyphens/>
      <w:spacing w:before="74" w:after="0" w:line="259" w:lineRule="auto"/>
      <w:ind w:left="113" w:right="113"/>
    </w:pPr>
    <w:rPr>
      <w:rFonts w:ascii="Arial Narrow" w:eastAsia="Times New Roman" w:hAnsi="Arial Narrow" w:cs="Times New Roman"/>
      <w:sz w:val="22"/>
      <w:szCs w:val="20"/>
      <w:lang w:val="en-US" w:eastAsia="ar-SA"/>
    </w:rPr>
  </w:style>
  <w:style w:type="paragraph" w:customStyle="1" w:styleId="CVNormal">
    <w:name w:val="CV Normal"/>
    <w:basedOn w:val="Normal"/>
    <w:link w:val="CVNormalCarattere"/>
    <w:pPr>
      <w:suppressAutoHyphens/>
      <w:spacing w:after="0" w:line="259" w:lineRule="auto"/>
      <w:ind w:left="113" w:right="113"/>
    </w:pPr>
    <w:rPr>
      <w:rFonts w:ascii="Arial Narrow" w:eastAsia="Times New Roman" w:hAnsi="Arial Narrow" w:cs="Times New Roman"/>
      <w:sz w:val="22"/>
      <w:szCs w:val="20"/>
      <w:lang w:val="en-US" w:eastAsia="ar-SA"/>
    </w:rPr>
  </w:style>
  <w:style w:type="character" w:customStyle="1" w:styleId="CVNormalCarattere">
    <w:name w:val="CV Normal Carattere"/>
    <w:link w:val="CVNormal"/>
    <w:rPr>
      <w:rFonts w:ascii="Arial Narrow" w:eastAsia="Times New Roman" w:hAnsi="Arial Narrow" w:cs="Times New Roman"/>
      <w:szCs w:val="20"/>
      <w:lang w:val="en-US" w:eastAsia="ar-SA"/>
    </w:rPr>
  </w:style>
  <w:style w:type="numbering" w:customStyle="1" w:styleId="NoList11">
    <w:name w:val="No List11"/>
    <w:next w:val="NoList"/>
    <w:uiPriority w:val="99"/>
    <w:semiHidden/>
    <w:unhideWhenUsed/>
  </w:style>
  <w:style w:type="paragraph" w:customStyle="1" w:styleId="non-boldlefttitle">
    <w:name w:val="non-bold left title"/>
    <w:uiPriority w:val="99"/>
    <w:pPr>
      <w:widowControl w:val="0"/>
      <w:suppressAutoHyphens/>
      <w:spacing w:before="58" w:after="58" w:line="259" w:lineRule="auto"/>
      <w:jc w:val="right"/>
    </w:pPr>
    <w:rPr>
      <w:rFonts w:ascii="Times New Roman" w:eastAsia="Times New Roman" w:hAnsi="Times New Roman"/>
      <w:lang w:val="el-GR" w:eastAsia="it-IT"/>
    </w:rPr>
  </w:style>
  <w:style w:type="paragraph" w:customStyle="1" w:styleId="WW-NormalWeb">
    <w:name w:val="WW-Normal (Web)"/>
    <w:basedOn w:val="Normal"/>
    <w:uiPriority w:val="99"/>
    <w:pPr>
      <w:widowControl w:val="0"/>
      <w:suppressAutoHyphens/>
      <w:spacing w:before="280" w:after="280" w:line="259" w:lineRule="auto"/>
    </w:pPr>
    <w:rPr>
      <w:rFonts w:eastAsia="Times New Roman" w:cs="Times New Roman"/>
      <w:sz w:val="22"/>
      <w:szCs w:val="20"/>
      <w:lang w:val="en-US" w:eastAsia="it-IT"/>
    </w:rPr>
  </w:style>
  <w:style w:type="paragraph" w:customStyle="1" w:styleId="AddrDesc">
    <w:name w:val="_AddrDesc"/>
    <w:basedOn w:val="Normal"/>
    <w:uiPriority w:val="99"/>
    <w:pPr>
      <w:framePr w:hSpace="187" w:wrap="around" w:vAnchor="text" w:hAnchor="page" w:x="1067" w:y="649"/>
      <w:spacing w:after="120" w:line="271" w:lineRule="auto"/>
      <w:jc w:val="both"/>
    </w:pPr>
    <w:rPr>
      <w:rFonts w:eastAsia="Times New Roman" w:cs="Times New Roman"/>
      <w:spacing w:val="6"/>
      <w:kern w:val="22"/>
      <w:sz w:val="22"/>
      <w:szCs w:val="20"/>
      <w:lang w:val="en-GB"/>
    </w:rPr>
  </w:style>
  <w:style w:type="paragraph" w:customStyle="1" w:styleId="AddrName">
    <w:name w:val="_AddrName"/>
    <w:basedOn w:val="Normal"/>
    <w:uiPriority w:val="99"/>
    <w:pPr>
      <w:framePr w:hSpace="187" w:wrap="around" w:vAnchor="text" w:hAnchor="page" w:x="1067" w:y="649"/>
      <w:spacing w:before="120" w:after="300" w:line="271" w:lineRule="auto"/>
      <w:jc w:val="both"/>
    </w:pPr>
    <w:rPr>
      <w:rFonts w:eastAsia="Times New Roman" w:cs="Times New Roman"/>
      <w:b/>
      <w:spacing w:val="6"/>
      <w:kern w:val="22"/>
      <w:sz w:val="22"/>
      <w:szCs w:val="20"/>
      <w:lang w:val="en-GB"/>
    </w:rPr>
  </w:style>
  <w:style w:type="paragraph" w:customStyle="1" w:styleId="AddrRest">
    <w:name w:val="_AddrRest"/>
    <w:basedOn w:val="Normal"/>
    <w:uiPriority w:val="99"/>
    <w:pPr>
      <w:spacing w:after="300" w:line="271" w:lineRule="auto"/>
      <w:jc w:val="both"/>
    </w:pPr>
    <w:rPr>
      <w:rFonts w:ascii="Book Antiqua" w:eastAsia="Times New Roman" w:hAnsi="Book Antiqua" w:cs="Times New Roman"/>
      <w:spacing w:val="6"/>
      <w:kern w:val="1"/>
      <w:sz w:val="22"/>
      <w:szCs w:val="20"/>
      <w:lang w:val="en-GB"/>
    </w:rPr>
  </w:style>
  <w:style w:type="paragraph" w:customStyle="1" w:styleId="AltBase">
    <w:name w:val="_AltBase"/>
    <w:uiPriority w:val="99"/>
    <w:pPr>
      <w:spacing w:after="160" w:line="259" w:lineRule="auto"/>
      <w:jc w:val="both"/>
    </w:pPr>
    <w:rPr>
      <w:rFonts w:ascii="Times New Roman" w:eastAsia="Times New Roman" w:hAnsi="Times New Roman"/>
      <w:lang w:val="en-GB"/>
    </w:rPr>
  </w:style>
  <w:style w:type="paragraph" w:customStyle="1" w:styleId="CentreHead">
    <w:name w:val="_CentreHead"/>
    <w:basedOn w:val="AltBase"/>
    <w:uiPriority w:val="99"/>
    <w:pPr>
      <w:jc w:val="center"/>
    </w:pPr>
    <w:rPr>
      <w:b/>
    </w:rPr>
  </w:style>
  <w:style w:type="paragraph" w:customStyle="1" w:styleId="FaxAddr">
    <w:name w:val="_FaxAddr"/>
    <w:basedOn w:val="AltBase"/>
    <w:uiPriority w:val="99"/>
    <w:pPr>
      <w:tabs>
        <w:tab w:val="left" w:pos="1080"/>
        <w:tab w:val="left" w:pos="5040"/>
        <w:tab w:val="left" w:pos="5760"/>
      </w:tabs>
    </w:pPr>
    <w:rPr>
      <w:rFonts w:ascii="Book Antiqua" w:hAnsi="Book Antiqua"/>
      <w:b/>
    </w:rPr>
  </w:style>
  <w:style w:type="paragraph" w:customStyle="1" w:styleId="FaxAddrMadrid">
    <w:name w:val="_FaxAddrMadrid"/>
    <w:basedOn w:val="FaxAddr"/>
    <w:uiPriority w:val="99"/>
  </w:style>
  <w:style w:type="paragraph" w:customStyle="1" w:styleId="FaxWarning">
    <w:name w:val="_FaxWarning"/>
    <w:basedOn w:val="AltBase"/>
    <w:uiPriority w:val="99"/>
    <w:pPr>
      <w:pBdr>
        <w:top w:val="single" w:sz="6" w:space="6" w:color="auto"/>
      </w:pBdr>
      <w:spacing w:line="180" w:lineRule="exact"/>
    </w:pPr>
    <w:rPr>
      <w:rFonts w:ascii="Book Antiqua" w:hAnsi="Book Antiqua"/>
      <w:sz w:val="16"/>
    </w:rPr>
  </w:style>
  <w:style w:type="paragraph" w:customStyle="1" w:styleId="MadFaxAddr">
    <w:name w:val="_MadFaxAddr"/>
    <w:basedOn w:val="FaxAddr"/>
    <w:uiPriority w:val="99"/>
  </w:style>
  <w:style w:type="paragraph" w:customStyle="1" w:styleId="PreDoc">
    <w:name w:val="_PreDoc"/>
    <w:basedOn w:val="AltBase"/>
    <w:uiPriority w:val="99"/>
    <w:pPr>
      <w:spacing w:after="240"/>
      <w:ind w:left="1440" w:hanging="1440"/>
      <w:jc w:val="left"/>
    </w:pPr>
    <w:rPr>
      <w:rFonts w:ascii="Book Antiqua" w:hAnsi="Book Antiqua"/>
    </w:rPr>
  </w:style>
  <w:style w:type="paragraph" w:customStyle="1" w:styleId="ReportDate">
    <w:name w:val="_ReportDate"/>
    <w:basedOn w:val="Normal"/>
    <w:uiPriority w:val="99"/>
    <w:pPr>
      <w:spacing w:after="300" w:line="271" w:lineRule="auto"/>
      <w:jc w:val="right"/>
    </w:pPr>
    <w:rPr>
      <w:rFonts w:ascii="Book Antiqua" w:eastAsia="Times New Roman" w:hAnsi="Book Antiqua" w:cs="Times New Roman"/>
      <w:sz w:val="22"/>
      <w:szCs w:val="20"/>
      <w:lang w:val="en-GB"/>
    </w:rPr>
  </w:style>
  <w:style w:type="paragraph" w:customStyle="1" w:styleId="ReportFor">
    <w:name w:val="_ReportFor"/>
    <w:basedOn w:val="ReportHeading"/>
    <w:uiPriority w:val="99"/>
  </w:style>
  <w:style w:type="paragraph" w:customStyle="1" w:styleId="ReportHeading">
    <w:name w:val="_ReportHeading"/>
    <w:basedOn w:val="Normal"/>
    <w:uiPriority w:val="99"/>
    <w:pPr>
      <w:spacing w:after="300" w:line="271" w:lineRule="auto"/>
      <w:jc w:val="right"/>
    </w:pPr>
    <w:rPr>
      <w:rFonts w:ascii="Book Antiqua" w:eastAsia="Times New Roman" w:hAnsi="Book Antiqua" w:cs="Times New Roman"/>
      <w:b/>
      <w:caps/>
      <w:sz w:val="25"/>
      <w:szCs w:val="20"/>
      <w:lang w:val="en-GB"/>
    </w:rPr>
  </w:style>
  <w:style w:type="paragraph" w:customStyle="1" w:styleId="ReportTeam">
    <w:name w:val="_ReportTeam"/>
    <w:basedOn w:val="Normal"/>
    <w:uiPriority w:val="99"/>
    <w:pPr>
      <w:spacing w:after="300" w:line="271" w:lineRule="auto"/>
      <w:jc w:val="center"/>
    </w:pPr>
    <w:rPr>
      <w:rFonts w:ascii="Book Antiqua" w:eastAsia="Times New Roman" w:hAnsi="Book Antiqua" w:cs="Times New Roman"/>
      <w:b/>
      <w:sz w:val="22"/>
      <w:szCs w:val="20"/>
      <w:lang w:val="en-GB"/>
    </w:rPr>
  </w:style>
  <w:style w:type="paragraph" w:customStyle="1" w:styleId="TOCHeading0">
    <w:name w:val="_TOCHeading"/>
    <w:basedOn w:val="HeadingU"/>
    <w:uiPriority w:val="99"/>
  </w:style>
  <w:style w:type="paragraph" w:customStyle="1" w:styleId="HeadingU">
    <w:name w:val="Heading U"/>
    <w:basedOn w:val="Normal"/>
    <w:uiPriority w:val="99"/>
    <w:pPr>
      <w:keepNext/>
      <w:spacing w:after="300" w:line="271" w:lineRule="auto"/>
      <w:jc w:val="both"/>
    </w:pPr>
    <w:rPr>
      <w:rFonts w:ascii="Book Antiqua" w:eastAsia="Times New Roman" w:hAnsi="Book Antiqua" w:cs="Times New Roman"/>
      <w:b/>
      <w:caps/>
      <w:sz w:val="28"/>
      <w:szCs w:val="20"/>
      <w:lang w:val="en-GB"/>
    </w:rPr>
  </w:style>
  <w:style w:type="paragraph" w:customStyle="1" w:styleId="TypeHead">
    <w:name w:val="_TypeHead"/>
    <w:basedOn w:val="AltBase"/>
    <w:uiPriority w:val="99"/>
    <w:pPr>
      <w:jc w:val="right"/>
    </w:pPr>
    <w:rPr>
      <w:rFonts w:ascii="Book Antiqua" w:hAnsi="Book Antiqua"/>
      <w:b/>
      <w:sz w:val="40"/>
    </w:rPr>
  </w:style>
  <w:style w:type="paragraph" w:customStyle="1" w:styleId="VacReq">
    <w:name w:val="_VacReq"/>
    <w:basedOn w:val="Normal"/>
    <w:uiPriority w:val="99"/>
    <w:pPr>
      <w:spacing w:after="300" w:line="271" w:lineRule="auto"/>
      <w:ind w:left="2160" w:hanging="2160"/>
      <w:jc w:val="both"/>
    </w:pPr>
    <w:rPr>
      <w:rFonts w:ascii="Book Antiqua" w:eastAsia="Times New Roman" w:hAnsi="Book Antiqua" w:cs="Times New Roman"/>
      <w:b/>
      <w:sz w:val="22"/>
      <w:szCs w:val="20"/>
      <w:lang w:val="en-GB"/>
    </w:rPr>
  </w:style>
  <w:style w:type="paragraph" w:customStyle="1" w:styleId="Appendix1">
    <w:name w:val="Appendix 1"/>
    <w:basedOn w:val="Heading1"/>
    <w:next w:val="Normal"/>
    <w:uiPriority w:val="99"/>
    <w:pPr>
      <w:numPr>
        <w:numId w:val="0"/>
      </w:numPr>
      <w:tabs>
        <w:tab w:val="num" w:pos="648"/>
        <w:tab w:val="num" w:pos="720"/>
      </w:tabs>
      <w:spacing w:before="0" w:after="300" w:line="271" w:lineRule="auto"/>
      <w:ind w:left="648" w:hanging="648"/>
      <w:jc w:val="left"/>
      <w:outlineLvl w:val="9"/>
    </w:pPr>
    <w:rPr>
      <w:rFonts w:ascii="Book Antiqua" w:hAnsi="Book Antiqua"/>
      <w:b w:val="0"/>
      <w:bCs/>
      <w:caps/>
      <w:smallCaps w:val="0"/>
      <w:sz w:val="28"/>
    </w:rPr>
  </w:style>
  <w:style w:type="paragraph" w:customStyle="1" w:styleId="Appendix2">
    <w:name w:val="Appendix 2"/>
    <w:basedOn w:val="Heading2"/>
    <w:next w:val="Normal"/>
    <w:uiPriority w:val="99"/>
    <w:pPr>
      <w:numPr>
        <w:numId w:val="0"/>
      </w:numPr>
      <w:tabs>
        <w:tab w:val="num" w:pos="648"/>
        <w:tab w:val="num" w:pos="926"/>
        <w:tab w:val="num" w:pos="1209"/>
      </w:tabs>
      <w:spacing w:before="60" w:after="300" w:line="271" w:lineRule="auto"/>
      <w:ind w:left="1209" w:hanging="360"/>
      <w:jc w:val="left"/>
      <w:outlineLvl w:val="9"/>
    </w:pPr>
    <w:rPr>
      <w:rFonts w:ascii="Book Antiqua" w:hAnsi="Book Antiqua"/>
      <w:b w:val="0"/>
      <w:bCs/>
      <w:i/>
      <w:sz w:val="25"/>
    </w:rPr>
  </w:style>
  <w:style w:type="paragraph" w:customStyle="1" w:styleId="Appendix3">
    <w:name w:val="Appendix 3"/>
    <w:basedOn w:val="Heading3"/>
    <w:next w:val="Normal"/>
    <w:uiPriority w:val="99"/>
    <w:pPr>
      <w:keepLines w:val="0"/>
      <w:numPr>
        <w:ilvl w:val="2"/>
      </w:numPr>
      <w:tabs>
        <w:tab w:val="num" w:pos="648"/>
      </w:tabs>
      <w:spacing w:before="60" w:after="220" w:line="271" w:lineRule="auto"/>
      <w:ind w:left="648" w:hanging="648"/>
      <w:outlineLvl w:val="9"/>
    </w:pPr>
    <w:rPr>
      <w:rFonts w:ascii="Book Antiqua" w:eastAsia="Times New Roman" w:hAnsi="Book Antiqua"/>
      <w:bCs/>
      <w:sz w:val="22"/>
      <w:szCs w:val="20"/>
      <w:u w:val="none"/>
      <w:lang w:val="en-GB"/>
    </w:rPr>
  </w:style>
  <w:style w:type="paragraph" w:customStyle="1" w:styleId="Appendix4">
    <w:name w:val="Appendix 4"/>
    <w:basedOn w:val="Heading4"/>
    <w:next w:val="Normal"/>
    <w:uiPriority w:val="99"/>
    <w:pPr>
      <w:numPr>
        <w:ilvl w:val="3"/>
      </w:numPr>
      <w:tabs>
        <w:tab w:val="num" w:pos="1296"/>
      </w:tabs>
      <w:spacing w:before="60" w:after="220" w:line="271" w:lineRule="auto"/>
      <w:ind w:left="1296" w:hanging="1296"/>
      <w:outlineLvl w:val="9"/>
    </w:pPr>
    <w:rPr>
      <w:rFonts w:ascii="Book Antiqua" w:eastAsia="Times New Roman" w:hAnsi="Book Antiqua"/>
      <w:bCs/>
      <w:iCs w:val="0"/>
      <w:sz w:val="22"/>
      <w:szCs w:val="20"/>
      <w:u w:val="none"/>
    </w:rPr>
  </w:style>
  <w:style w:type="paragraph" w:customStyle="1" w:styleId="Appendix5">
    <w:name w:val="Appendix 5"/>
    <w:basedOn w:val="Heading5"/>
    <w:next w:val="Normal"/>
    <w:uiPriority w:val="99"/>
    <w:pPr>
      <w:keepLines w:val="0"/>
      <w:tabs>
        <w:tab w:val="num" w:pos="1296"/>
      </w:tabs>
      <w:spacing w:before="60" w:after="220" w:line="271" w:lineRule="auto"/>
      <w:ind w:left="1296" w:hanging="1296"/>
      <w:outlineLvl w:val="9"/>
    </w:pPr>
    <w:rPr>
      <w:rFonts w:ascii="Book Antiqua" w:eastAsia="Times New Roman" w:hAnsi="Book Antiqua" w:cs="Times New Roman"/>
      <w:b/>
      <w:bCs/>
      <w:iCs w:val="0"/>
      <w:snapToGrid/>
      <w:color w:val="auto"/>
      <w:sz w:val="22"/>
      <w:lang w:val="en-GB" w:eastAsia="en-US"/>
    </w:rPr>
  </w:style>
  <w:style w:type="character" w:customStyle="1" w:styleId="BodyTextChar1">
    <w:name w:val="Body Text Char1"/>
    <w:aliases w:val="Corpo del testo Char"/>
    <w:uiPriority w:val="99"/>
    <w:rPr>
      <w:rFonts w:ascii="Arial" w:eastAsia="SimSun" w:hAnsi="Arial" w:cs="Mangal"/>
      <w:color w:val="3F3A38"/>
      <w:spacing w:val="-6"/>
      <w:kern w:val="1"/>
      <w:sz w:val="16"/>
      <w:szCs w:val="24"/>
      <w:lang w:val="en-GB" w:eastAsia="zh-CN" w:bidi="hi-IN"/>
    </w:rPr>
  </w:style>
  <w:style w:type="paragraph" w:styleId="Closing">
    <w:name w:val="Closing"/>
    <w:basedOn w:val="Normal"/>
    <w:link w:val="ClosingChar"/>
    <w:uiPriority w:val="99"/>
    <w:pPr>
      <w:spacing w:after="300" w:line="271" w:lineRule="auto"/>
      <w:ind w:left="4320"/>
      <w:jc w:val="both"/>
    </w:pPr>
    <w:rPr>
      <w:rFonts w:ascii="Book Antiqua" w:eastAsia="Times New Roman" w:hAnsi="Book Antiqua" w:cs="Times New Roman"/>
      <w:sz w:val="22"/>
      <w:szCs w:val="20"/>
      <w:lang w:val="en-GB"/>
    </w:rPr>
  </w:style>
  <w:style w:type="character" w:customStyle="1" w:styleId="ClosingChar">
    <w:name w:val="Closing Char"/>
    <w:basedOn w:val="DefaultParagraphFont"/>
    <w:link w:val="Closing"/>
    <w:uiPriority w:val="99"/>
    <w:rPr>
      <w:rFonts w:ascii="Book Antiqua" w:eastAsia="Times New Roman" w:hAnsi="Book Antiqua" w:cs="Times New Roman"/>
      <w:szCs w:val="20"/>
      <w:lang w:val="en-GB"/>
    </w:rPr>
  </w:style>
  <w:style w:type="character" w:customStyle="1" w:styleId="CommentTextChar1">
    <w:name w:val="Comment Text Char1"/>
    <w:uiPriority w:val="99"/>
    <w:semiHidden/>
    <w:rPr>
      <w:rFonts w:ascii="Arial" w:eastAsia="SimSun" w:hAnsi="Arial" w:cs="Mangal"/>
      <w:color w:val="3F3A38"/>
      <w:spacing w:val="-6"/>
      <w:kern w:val="1"/>
      <w:szCs w:val="18"/>
      <w:lang w:val="en-GB" w:eastAsia="zh-CN" w:bidi="hi-IN"/>
    </w:rPr>
  </w:style>
  <w:style w:type="paragraph" w:styleId="Date">
    <w:name w:val="Date"/>
    <w:basedOn w:val="Normal"/>
    <w:next w:val="Normal"/>
    <w:link w:val="DateChar"/>
    <w:uiPriority w:val="99"/>
    <w:pPr>
      <w:spacing w:after="300" w:line="271" w:lineRule="auto"/>
      <w:jc w:val="both"/>
    </w:pPr>
    <w:rPr>
      <w:rFonts w:ascii="Book Antiqua" w:eastAsia="Times New Roman" w:hAnsi="Book Antiqua" w:cs="Times New Roman"/>
      <w:sz w:val="22"/>
      <w:szCs w:val="20"/>
      <w:lang w:val="en-GB"/>
    </w:rPr>
  </w:style>
  <w:style w:type="character" w:customStyle="1" w:styleId="DateChar">
    <w:name w:val="Date Char"/>
    <w:basedOn w:val="DefaultParagraphFont"/>
    <w:link w:val="Date"/>
    <w:uiPriority w:val="99"/>
    <w:rPr>
      <w:rFonts w:ascii="Book Antiqua" w:eastAsia="Times New Roman" w:hAnsi="Book Antiqua" w:cs="Times New Roman"/>
      <w:szCs w:val="20"/>
      <w:lang w:val="en-GB"/>
    </w:rPr>
  </w:style>
  <w:style w:type="character" w:customStyle="1" w:styleId="EndnoteTextChar1">
    <w:name w:val="Endnote Text Char1"/>
    <w:uiPriority w:val="99"/>
    <w:semiHidden/>
    <w:rPr>
      <w:rFonts w:ascii="Georgia" w:hAnsi="Georgia"/>
      <w:snapToGrid w:val="0"/>
      <w:sz w:val="20"/>
      <w:szCs w:val="20"/>
    </w:rPr>
  </w:style>
  <w:style w:type="paragraph" w:styleId="EnvelopeAddress">
    <w:name w:val="envelope address"/>
    <w:basedOn w:val="Normal"/>
    <w:uiPriority w:val="99"/>
    <w:pPr>
      <w:framePr w:w="7920" w:hSpace="187" w:vSpace="187" w:wrap="around" w:hAnchor="page" w:xAlign="center" w:yAlign="bottom"/>
      <w:spacing w:after="300" w:line="271" w:lineRule="auto"/>
      <w:ind w:left="2880"/>
      <w:jc w:val="both"/>
    </w:pPr>
    <w:rPr>
      <w:rFonts w:ascii="Book Antiqua" w:eastAsia="Times New Roman" w:hAnsi="Book Antiqua" w:cs="Times New Roman"/>
      <w:szCs w:val="20"/>
      <w:lang w:val="en-GB"/>
    </w:rPr>
  </w:style>
  <w:style w:type="paragraph" w:styleId="EnvelopeReturn">
    <w:name w:val="envelope return"/>
    <w:basedOn w:val="Normal"/>
    <w:uiPriority w:val="99"/>
    <w:pPr>
      <w:spacing w:after="300" w:line="271" w:lineRule="auto"/>
      <w:jc w:val="both"/>
    </w:pPr>
    <w:rPr>
      <w:rFonts w:ascii="Book Antiqua" w:eastAsia="Times New Roman" w:hAnsi="Book Antiqua" w:cs="Times New Roman"/>
      <w:sz w:val="22"/>
      <w:szCs w:val="20"/>
      <w:lang w:val="en-GB"/>
    </w:rPr>
  </w:style>
  <w:style w:type="paragraph" w:customStyle="1" w:styleId="HeadingA">
    <w:name w:val="Heading A"/>
    <w:basedOn w:val="Heading1"/>
    <w:next w:val="Normal"/>
    <w:uiPriority w:val="99"/>
    <w:pPr>
      <w:numPr>
        <w:numId w:val="0"/>
      </w:numPr>
      <w:tabs>
        <w:tab w:val="left" w:pos="-720"/>
        <w:tab w:val="left" w:pos="0"/>
        <w:tab w:val="num" w:pos="648"/>
        <w:tab w:val="left" w:pos="720"/>
        <w:tab w:val="left" w:pos="1440"/>
      </w:tabs>
      <w:spacing w:before="0" w:after="300" w:line="271" w:lineRule="auto"/>
      <w:ind w:left="648" w:hanging="648"/>
      <w:jc w:val="left"/>
      <w:outlineLvl w:val="9"/>
    </w:pPr>
    <w:rPr>
      <w:rFonts w:ascii="Book Antiqua" w:hAnsi="Book Antiqua"/>
      <w:b w:val="0"/>
      <w:bCs/>
      <w:caps/>
      <w:smallCaps w:val="0"/>
      <w:sz w:val="28"/>
    </w:rPr>
  </w:style>
  <w:style w:type="paragraph" w:customStyle="1" w:styleId="TextBox">
    <w:name w:val="TextBox"/>
    <w:basedOn w:val="Normal"/>
    <w:next w:val="Normal"/>
    <w:uiPriority w:val="99"/>
    <w:pPr>
      <w:pBdr>
        <w:top w:val="single" w:sz="6" w:space="12" w:color="auto"/>
        <w:left w:val="single" w:sz="6" w:space="12" w:color="auto"/>
        <w:bottom w:val="single" w:sz="6" w:space="12" w:color="auto"/>
        <w:right w:val="single" w:sz="6" w:space="12" w:color="auto"/>
      </w:pBdr>
      <w:spacing w:after="300" w:line="271" w:lineRule="auto"/>
      <w:ind w:left="240" w:right="240"/>
      <w:jc w:val="both"/>
    </w:pPr>
    <w:rPr>
      <w:rFonts w:ascii="Book Antiqua" w:eastAsia="Times New Roman" w:hAnsi="Book Antiqua" w:cs="Times New Roman"/>
      <w:sz w:val="22"/>
      <w:szCs w:val="20"/>
      <w:lang w:val="en-GB"/>
    </w:rPr>
  </w:style>
  <w:style w:type="paragraph" w:customStyle="1" w:styleId="VacReq0">
    <w:name w:val="VacReq"/>
    <w:basedOn w:val="Normal"/>
    <w:uiPriority w:val="99"/>
    <w:pPr>
      <w:tabs>
        <w:tab w:val="left" w:pos="720"/>
        <w:tab w:val="left" w:pos="2160"/>
      </w:tabs>
      <w:spacing w:after="300" w:line="271" w:lineRule="auto"/>
      <w:ind w:left="2160" w:hanging="2160"/>
      <w:jc w:val="both"/>
    </w:pPr>
    <w:rPr>
      <w:rFonts w:ascii="Book Antiqua" w:eastAsia="Times New Roman" w:hAnsi="Book Antiqua" w:cs="Times New Roman"/>
      <w:b/>
      <w:sz w:val="22"/>
      <w:szCs w:val="20"/>
      <w:lang w:val="en-GB"/>
    </w:rPr>
  </w:style>
  <w:style w:type="paragraph" w:styleId="List5">
    <w:name w:val="List 5"/>
    <w:basedOn w:val="Normal"/>
    <w:uiPriority w:val="99"/>
    <w:pPr>
      <w:spacing w:after="300" w:line="271" w:lineRule="auto"/>
      <w:ind w:left="3600" w:hanging="720"/>
      <w:jc w:val="both"/>
    </w:pPr>
    <w:rPr>
      <w:rFonts w:ascii="Book Antiqua" w:eastAsia="Times New Roman" w:hAnsi="Book Antiqua" w:cs="Times New Roman"/>
      <w:sz w:val="22"/>
      <w:szCs w:val="20"/>
      <w:lang w:val="en-GB"/>
    </w:rPr>
  </w:style>
  <w:style w:type="paragraph" w:styleId="ListContinue5">
    <w:name w:val="List Continue 5"/>
    <w:basedOn w:val="Normal"/>
    <w:uiPriority w:val="99"/>
    <w:pPr>
      <w:spacing w:after="120" w:line="271" w:lineRule="auto"/>
      <w:ind w:left="3600"/>
      <w:jc w:val="both"/>
    </w:pPr>
    <w:rPr>
      <w:rFonts w:ascii="Book Antiqua" w:eastAsia="Times New Roman" w:hAnsi="Book Antiqua" w:cs="Times New Roman"/>
      <w:sz w:val="22"/>
      <w:szCs w:val="20"/>
      <w:lang w:val="en-GB"/>
    </w:rPr>
  </w:style>
  <w:style w:type="paragraph" w:customStyle="1" w:styleId="text">
    <w:name w:val="text"/>
    <w:uiPriority w:val="99"/>
    <w:pPr>
      <w:widowControl w:val="0"/>
      <w:tabs>
        <w:tab w:val="left" w:pos="-1440"/>
        <w:tab w:val="left" w:pos="-663"/>
        <w:tab w:val="left" w:pos="28"/>
        <w:tab w:val="left" w:pos="648"/>
        <w:tab w:val="left" w:pos="1296"/>
        <w:tab w:val="left" w:pos="1944"/>
        <w:tab w:val="left" w:pos="2592"/>
        <w:tab w:val="left" w:pos="3096"/>
        <w:tab w:val="left" w:pos="3600"/>
        <w:tab w:val="left" w:pos="4176"/>
        <w:tab w:val="left" w:pos="4896"/>
        <w:tab w:val="left" w:pos="5616"/>
        <w:tab w:val="left" w:pos="6336"/>
        <w:tab w:val="left" w:pos="7056"/>
        <w:tab w:val="left" w:pos="7776"/>
        <w:tab w:val="left" w:pos="8496"/>
      </w:tabs>
      <w:suppressAutoHyphens/>
      <w:spacing w:after="160" w:line="271" w:lineRule="auto"/>
      <w:jc w:val="both"/>
    </w:pPr>
    <w:rPr>
      <w:rFonts w:ascii="Kino MT" w:eastAsia="Times New Roman" w:hAnsi="Kino MT"/>
      <w:spacing w:val="-2"/>
      <w:lang w:val="en-GB"/>
    </w:rPr>
  </w:style>
  <w:style w:type="paragraph" w:styleId="Salutation">
    <w:name w:val="Salutation"/>
    <w:basedOn w:val="Normal"/>
    <w:link w:val="SalutationChar"/>
    <w:uiPriority w:val="99"/>
    <w:pPr>
      <w:numPr>
        <w:numId w:val="56"/>
      </w:numPr>
      <w:tabs>
        <w:tab w:val="clear" w:pos="360"/>
      </w:tabs>
      <w:spacing w:after="0" w:line="259" w:lineRule="auto"/>
      <w:ind w:left="0" w:firstLine="0"/>
    </w:pPr>
    <w:rPr>
      <w:rFonts w:eastAsia="Times New Roman" w:cs="Times New Roman"/>
      <w:sz w:val="22"/>
      <w:szCs w:val="20"/>
      <w:lang w:val="en-GB"/>
    </w:rPr>
  </w:style>
  <w:style w:type="character" w:customStyle="1" w:styleId="SalutationChar">
    <w:name w:val="Salutation Char"/>
    <w:basedOn w:val="DefaultParagraphFont"/>
    <w:link w:val="Salutation"/>
    <w:uiPriority w:val="99"/>
    <w:rPr>
      <w:rFonts w:ascii="Times New Roman" w:eastAsia="Times New Roman" w:hAnsi="Times New Roman" w:cs="Times New Roman"/>
      <w:szCs w:val="20"/>
      <w:lang w:val="en-GB"/>
    </w:rPr>
  </w:style>
  <w:style w:type="character" w:customStyle="1" w:styleId="BalloonTextChar1">
    <w:name w:val="Balloon Text Char1"/>
    <w:uiPriority w:val="99"/>
    <w:semiHidden/>
    <w:rPr>
      <w:rFonts w:ascii="Segoe UI" w:eastAsia="SimSun" w:hAnsi="Segoe UI" w:cs="Mangal"/>
      <w:color w:val="3F3A38"/>
      <w:spacing w:val="-6"/>
      <w:kern w:val="1"/>
      <w:sz w:val="18"/>
      <w:szCs w:val="16"/>
      <w:lang w:val="en-GB" w:eastAsia="zh-CN" w:bidi="hi-IN"/>
    </w:rPr>
  </w:style>
  <w:style w:type="character" w:customStyle="1" w:styleId="fieldtitle">
    <w:name w:val="field_title"/>
    <w:uiPriority w:val="99"/>
    <w:rPr>
      <w:rFonts w:cs="Times New Roman"/>
    </w:rPr>
  </w:style>
  <w:style w:type="character" w:customStyle="1" w:styleId="citation">
    <w:name w:val="citation"/>
    <w:uiPriority w:val="99"/>
    <w:rPr>
      <w:rFonts w:cs="Times New Roman"/>
    </w:rPr>
  </w:style>
  <w:style w:type="character" w:customStyle="1" w:styleId="fieldauthors">
    <w:name w:val="field_authors"/>
    <w:uiPriority w:val="99"/>
    <w:rPr>
      <w:rFonts w:cs="Times New Roman"/>
    </w:rPr>
  </w:style>
  <w:style w:type="character" w:customStyle="1" w:styleId="personname">
    <w:name w:val="person_name"/>
    <w:uiPriority w:val="99"/>
    <w:rPr>
      <w:rFonts w:cs="Times New Roman"/>
    </w:rPr>
  </w:style>
  <w:style w:type="character" w:customStyle="1" w:styleId="fieldyear">
    <w:name w:val="field_year"/>
    <w:uiPriority w:val="99"/>
    <w:rPr>
      <w:rFonts w:cs="Times New Roman"/>
    </w:rPr>
  </w:style>
  <w:style w:type="character" w:customStyle="1" w:styleId="field-content">
    <w:name w:val="field-content"/>
  </w:style>
  <w:style w:type="character" w:customStyle="1" w:styleId="date-display-single">
    <w:name w:val="date-display-single"/>
  </w:style>
  <w:style w:type="paragraph" w:customStyle="1" w:styleId="EuropassSectionDetails">
    <w:name w:val="Europass_SectionDetails"/>
    <w:basedOn w:val="Normal"/>
    <w:pPr>
      <w:widowControl w:val="0"/>
      <w:suppressLineNumbers/>
      <w:suppressAutoHyphens/>
      <w:autoSpaceDE w:val="0"/>
      <w:spacing w:before="28" w:after="56" w:line="100" w:lineRule="atLeast"/>
    </w:pPr>
    <w:rPr>
      <w:rFonts w:ascii="Arial" w:eastAsia="SimSun" w:hAnsi="Arial" w:cs="Mangal"/>
      <w:color w:val="3F3A38"/>
      <w:spacing w:val="-6"/>
      <w:kern w:val="1"/>
      <w:sz w:val="18"/>
      <w:szCs w:val="24"/>
      <w:lang w:val="en-GB" w:eastAsia="en-GB" w:bidi="hi-IN"/>
    </w:rPr>
  </w:style>
  <w:style w:type="paragraph" w:customStyle="1" w:styleId="CVHeading2-FirstLine">
    <w:name w:val="CV Heading 2 - First Line"/>
    <w:basedOn w:val="Normal"/>
    <w:next w:val="Normal"/>
    <w:pPr>
      <w:suppressAutoHyphens/>
      <w:spacing w:before="74" w:after="0" w:line="259" w:lineRule="auto"/>
      <w:ind w:left="113" w:right="113"/>
      <w:jc w:val="right"/>
    </w:pPr>
    <w:rPr>
      <w:rFonts w:ascii="Arial Narrow" w:eastAsia="Times New Roman" w:hAnsi="Arial Narrow" w:cs="Times New Roman"/>
      <w:sz w:val="22"/>
      <w:szCs w:val="20"/>
      <w:lang w:val="en-US" w:eastAsia="ar-SA"/>
    </w:rPr>
  </w:style>
  <w:style w:type="paragraph" w:customStyle="1" w:styleId="CVHeadingLanguage">
    <w:name w:val="CV Heading Language"/>
    <w:basedOn w:val="Normal"/>
    <w:next w:val="LevelAssessment-Code"/>
    <w:pPr>
      <w:suppressAutoHyphens/>
      <w:spacing w:after="0" w:line="259" w:lineRule="auto"/>
      <w:ind w:left="113" w:right="113"/>
      <w:jc w:val="right"/>
    </w:pPr>
    <w:rPr>
      <w:rFonts w:ascii="Arial Narrow" w:eastAsia="Times New Roman" w:hAnsi="Arial Narrow" w:cs="Times New Roman"/>
      <w:b/>
      <w:sz w:val="22"/>
      <w:szCs w:val="20"/>
      <w:lang w:val="en-US" w:eastAsia="ar-SA"/>
    </w:rPr>
  </w:style>
  <w:style w:type="paragraph" w:customStyle="1" w:styleId="LevelAssessment-Code">
    <w:name w:val="Level Assessment - Code"/>
    <w:basedOn w:val="Normal"/>
    <w:next w:val="LevelAssessment-Description"/>
    <w:pPr>
      <w:suppressAutoHyphens/>
      <w:spacing w:after="0" w:line="259" w:lineRule="auto"/>
      <w:ind w:left="28"/>
      <w:jc w:val="center"/>
    </w:pPr>
    <w:rPr>
      <w:rFonts w:ascii="Arial Narrow" w:eastAsia="Times New Roman" w:hAnsi="Arial Narrow" w:cs="Times New Roman"/>
      <w:sz w:val="18"/>
      <w:szCs w:val="20"/>
      <w:lang w:val="en-US" w:eastAsia="ar-SA"/>
    </w:rPr>
  </w:style>
  <w:style w:type="paragraph" w:customStyle="1" w:styleId="LevelAssessment-Description">
    <w:name w:val="Level Assessment - Description"/>
    <w:basedOn w:val="LevelAssessment-Code"/>
    <w:next w:val="LevelAssessment-Code"/>
    <w:pPr>
      <w:textAlignment w:val="bottom"/>
    </w:pPr>
  </w:style>
  <w:style w:type="paragraph" w:customStyle="1" w:styleId="CVHeadingLevel">
    <w:name w:val="CV Heading Level"/>
    <w:basedOn w:val="Normal"/>
    <w:next w:val="Normal"/>
    <w:pPr>
      <w:suppressAutoHyphens/>
      <w:spacing w:after="0" w:line="259" w:lineRule="auto"/>
      <w:ind w:left="113" w:right="113"/>
      <w:jc w:val="right"/>
      <w:textAlignment w:val="center"/>
    </w:pPr>
    <w:rPr>
      <w:rFonts w:ascii="Arial Narrow" w:eastAsia="Times New Roman" w:hAnsi="Arial Narrow" w:cs="Times New Roman"/>
      <w:i/>
      <w:sz w:val="22"/>
      <w:szCs w:val="20"/>
      <w:lang w:val="en-US" w:eastAsia="ar-SA"/>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al"/>
    <w:pPr>
      <w:suppressAutoHyphens/>
      <w:spacing w:after="0" w:line="259" w:lineRule="auto"/>
      <w:ind w:left="57" w:right="57"/>
      <w:jc w:val="center"/>
    </w:pPr>
    <w:rPr>
      <w:rFonts w:ascii="Arial Narrow" w:eastAsia="Times New Roman" w:hAnsi="Arial Narrow" w:cs="Times New Roman"/>
      <w:sz w:val="18"/>
      <w:szCs w:val="20"/>
      <w:lang w:val="en-US" w:eastAsia="ar-SA"/>
    </w:rPr>
  </w:style>
  <w:style w:type="paragraph" w:customStyle="1" w:styleId="Aaoeeu">
    <w:name w:val="Aaoeeu"/>
    <w:pPr>
      <w:widowControl w:val="0"/>
      <w:suppressAutoHyphens/>
      <w:spacing w:after="160" w:line="259" w:lineRule="auto"/>
    </w:pPr>
    <w:rPr>
      <w:rFonts w:ascii="Times New Roman" w:eastAsia="Arial" w:hAnsi="Times New Roman"/>
      <w:lang w:val="en-US" w:eastAsia="ar-SA"/>
    </w:rPr>
  </w:style>
  <w:style w:type="paragraph" w:customStyle="1" w:styleId="Aeeaoaeaa1">
    <w:name w:val="A?eeaoae?aa 1"/>
    <w:basedOn w:val="Aaoeeu"/>
    <w:next w:val="Aaoeeu"/>
    <w:pPr>
      <w:keepNext/>
      <w:jc w:val="right"/>
    </w:pPr>
    <w:rPr>
      <w:b/>
      <w:bCs/>
    </w:rPr>
  </w:style>
  <w:style w:type="paragraph" w:customStyle="1" w:styleId="CVHeading2">
    <w:name w:val="CV Heading 2"/>
    <w:basedOn w:val="Normal"/>
    <w:next w:val="Normal"/>
    <w:pPr>
      <w:suppressAutoHyphens/>
      <w:spacing w:after="0" w:line="259" w:lineRule="auto"/>
      <w:ind w:left="113" w:right="113"/>
      <w:jc w:val="right"/>
    </w:pPr>
    <w:rPr>
      <w:rFonts w:ascii="Arial Narrow" w:eastAsia="Times New Roman" w:hAnsi="Arial Narrow" w:cs="Times New Roman"/>
      <w:sz w:val="22"/>
      <w:szCs w:val="20"/>
      <w:lang w:val="en-US" w:eastAsia="ar-SA"/>
    </w:rPr>
  </w:style>
  <w:style w:type="paragraph" w:customStyle="1" w:styleId="CVMedium-FirstLine">
    <w:name w:val="CV Medium - First Line"/>
    <w:basedOn w:val="Normal"/>
    <w:next w:val="Normal"/>
    <w:pPr>
      <w:suppressAutoHyphens/>
      <w:spacing w:before="74" w:after="0" w:line="259" w:lineRule="auto"/>
      <w:ind w:left="113" w:right="113"/>
    </w:pPr>
    <w:rPr>
      <w:rFonts w:ascii="Arial Narrow" w:eastAsia="Times New Roman" w:hAnsi="Arial Narrow" w:cs="Times New Roman"/>
      <w:b/>
      <w:sz w:val="22"/>
      <w:szCs w:val="20"/>
      <w:lang w:val="en-US" w:eastAsia="ar-SA"/>
    </w:rPr>
  </w:style>
  <w:style w:type="paragraph" w:customStyle="1" w:styleId="EQStyle">
    <w:name w:val="EQ Style"/>
    <w:basedOn w:val="ListParagraph"/>
    <w:link w:val="EQStyleChar"/>
    <w:pPr>
      <w:numPr>
        <w:numId w:val="54"/>
      </w:numPr>
      <w:spacing w:after="200" w:line="259" w:lineRule="auto"/>
      <w:ind w:left="720" w:firstLine="0"/>
    </w:pPr>
    <w:rPr>
      <w:rFonts w:ascii="Verdana" w:hAnsi="Verdana"/>
      <w:sz w:val="20"/>
      <w:lang w:val="en-US"/>
    </w:rPr>
  </w:style>
  <w:style w:type="character" w:customStyle="1" w:styleId="EQStyleChar">
    <w:name w:val="EQ Style Char"/>
    <w:link w:val="EQStyle"/>
    <w:rPr>
      <w:rFonts w:ascii="Verdana" w:eastAsia="Times New Roman" w:hAnsi="Verdana" w:cs="Times New Roman"/>
      <w:sz w:val="20"/>
      <w:szCs w:val="20"/>
      <w:lang w:val="en-US"/>
    </w:rPr>
  </w:style>
  <w:style w:type="paragraph" w:customStyle="1" w:styleId="Bullet">
    <w:name w:val="Bullet"/>
    <w:basedOn w:val="Normal"/>
    <w:pPr>
      <w:numPr>
        <w:numId w:val="58"/>
      </w:numPr>
      <w:spacing w:after="0" w:line="360" w:lineRule="auto"/>
      <w:jc w:val="both"/>
    </w:pPr>
    <w:rPr>
      <w:rFonts w:ascii="Verdana" w:eastAsia="Calibri" w:hAnsi="Verdana" w:cs="Arial"/>
      <w:sz w:val="16"/>
      <w:szCs w:val="18"/>
      <w:lang w:val="en-US"/>
    </w:rPr>
  </w:style>
  <w:style w:type="character" w:customStyle="1" w:styleId="UnresolvedMention4">
    <w:name w:val="Unresolved Mention4"/>
    <w:uiPriority w:val="99"/>
    <w:semiHidden/>
    <w:unhideWhenUsed/>
    <w:rPr>
      <w:color w:val="808080"/>
      <w:shd w:val="clear" w:color="auto" w:fill="E6E6E6"/>
    </w:rPr>
  </w:style>
  <w:style w:type="character" w:customStyle="1" w:styleId="UnresolvedMention5">
    <w:name w:val="Unresolved Mention5"/>
    <w:uiPriority w:val="99"/>
    <w:semiHidden/>
    <w:unhideWhenUsed/>
    <w:rPr>
      <w:color w:val="808080"/>
      <w:shd w:val="clear" w:color="auto" w:fill="E6E6E6"/>
    </w:rPr>
  </w:style>
  <w:style w:type="paragraph" w:customStyle="1" w:styleId="paragraph">
    <w:name w:val="paragraph"/>
    <w:basedOn w:val="Normal"/>
    <w:pPr>
      <w:spacing w:before="100" w:beforeAutospacing="1" w:after="100" w:afterAutospacing="1" w:line="259" w:lineRule="auto"/>
    </w:pPr>
    <w:rPr>
      <w:rFonts w:eastAsia="Times New Roman" w:cs="Times New Roman"/>
      <w:szCs w:val="24"/>
      <w:lang w:val="fr-LU" w:eastAsia="fr-LU"/>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paragraph" w:customStyle="1" w:styleId="list-bullet-color-table">
    <w:name w:val="list-bullet-color-table"/>
    <w:basedOn w:val="DefaultText"/>
    <w:pPr>
      <w:numPr>
        <w:numId w:val="59"/>
      </w:numPr>
      <w:ind w:left="0" w:firstLine="0"/>
    </w:pPr>
  </w:style>
  <w:style w:type="paragraph" w:customStyle="1" w:styleId="m3946350689199770744msolistparagraph">
    <w:name w:val="m_3946350689199770744msolistparagraph"/>
    <w:basedOn w:val="Normal"/>
    <w:pPr>
      <w:spacing w:before="100" w:beforeAutospacing="1" w:after="100" w:afterAutospacing="1" w:line="259" w:lineRule="auto"/>
    </w:pPr>
    <w:rPr>
      <w:rFonts w:eastAsia="Times New Roman" w:cs="Times New Roman"/>
      <w:szCs w:val="24"/>
      <w:lang w:val="en-GB" w:eastAsia="en-GB"/>
    </w:rPr>
  </w:style>
  <w:style w:type="character" w:customStyle="1" w:styleId="m3946350689199770744msohyperlink">
    <w:name w:val="m_3946350689199770744msohyperlink"/>
    <w:basedOn w:val="DefaultParagraphFont"/>
  </w:style>
  <w:style w:type="character" w:customStyle="1" w:styleId="EuropassTextSubscript">
    <w:name w:val="Europass_Text_Subscript"/>
    <w:rPr>
      <w:vertAlign w:val="subscript"/>
    </w:rPr>
  </w:style>
  <w:style w:type="character" w:customStyle="1" w:styleId="EuropassTextSuperscript">
    <w:name w:val="Europass_Text_Superscript"/>
    <w:rPr>
      <w:vertAlign w:val="superscript"/>
    </w:rPr>
  </w:style>
  <w:style w:type="character" w:customStyle="1" w:styleId="EuropassTextBold">
    <w:name w:val="Europass_Text_Bold"/>
    <w:rPr>
      <w:rFonts w:ascii="Arial" w:hAnsi="Arial"/>
      <w:b/>
    </w:rPr>
  </w:style>
  <w:style w:type="character" w:customStyle="1" w:styleId="EuropassTextUnderline">
    <w:name w:val="Europass_Text_Underline"/>
    <w:rPr>
      <w:rFonts w:ascii="Arial" w:hAnsi="Arial"/>
      <w:u w:val="single"/>
    </w:rPr>
  </w:style>
  <w:style w:type="character" w:customStyle="1" w:styleId="EuropassTextItalics">
    <w:name w:val="Europass_Text_Italics"/>
    <w:rPr>
      <w:rFonts w:ascii="Arial" w:hAnsi="Arial"/>
      <w:i/>
    </w:rPr>
  </w:style>
  <w:style w:type="character" w:customStyle="1" w:styleId="EuropassTextBoldAndUnderline">
    <w:name w:val="Europass_Text_Bold_And_Underline"/>
    <w:rPr>
      <w:rFonts w:ascii="Arial" w:hAnsi="Arial"/>
      <w:b/>
      <w:u w:val="single"/>
    </w:rPr>
  </w:style>
  <w:style w:type="character" w:customStyle="1" w:styleId="EuropassTextBoldAndItalics">
    <w:name w:val="Europass_Text_Bold_And_Italics"/>
    <w:rPr>
      <w:rFonts w:ascii="Arial" w:hAnsi="Arial"/>
      <w:b/>
      <w:i/>
    </w:rPr>
  </w:style>
  <w:style w:type="character" w:customStyle="1" w:styleId="EuropassTextBoldAndUnderlineAndItalics">
    <w:name w:val="Europass_Text_Bold_And_Underline_And_Italics"/>
    <w:rPr>
      <w:rFonts w:ascii="Arial" w:hAnsi="Arial"/>
      <w:b/>
      <w:i/>
      <w:u w:val="single"/>
    </w:rPr>
  </w:style>
  <w:style w:type="character" w:customStyle="1" w:styleId="EuropassTextUnderlineAndItalics">
    <w:name w:val="Europass_Text_Underline_And_Italics"/>
    <w:rPr>
      <w:rFonts w:ascii="Arial" w:hAnsi="Arial"/>
      <w:i/>
      <w:u w:val="single"/>
    </w:rPr>
  </w:style>
  <w:style w:type="paragraph" w:customStyle="1" w:styleId="ECVFirstPageParagraph">
    <w:name w:val="_ECV_First_Page_Paragraph"/>
    <w:basedOn w:val="ECVRightHeading"/>
  </w:style>
  <w:style w:type="paragraph" w:customStyle="1" w:styleId="ECVPersonalStatement">
    <w:name w:val="_ECV_PersonalStatement"/>
    <w:basedOn w:val="ECVRightColumn"/>
  </w:style>
  <w:style w:type="paragraph" w:customStyle="1" w:styleId="ECVOccupationalFieldHeadingPersonal">
    <w:name w:val="_ECV_OccupationalFieldHeadingPersonal"/>
    <w:basedOn w:val="ECVLeftHeading"/>
  </w:style>
  <w:style w:type="paragraph" w:customStyle="1" w:styleId="ECVNextPagesParagraph">
    <w:name w:val="_ECV_Next_Pages_Paragraph"/>
    <w:basedOn w:val="ECVFirstPageParagraph"/>
    <w:pPr>
      <w:tabs>
        <w:tab w:val="left" w:pos="2807"/>
        <w:tab w:val="right" w:pos="10350"/>
      </w:tabs>
      <w:spacing w:before="153"/>
      <w:jc w:val="right"/>
    </w:pPr>
    <w:rPr>
      <w:color w:val="1593CB"/>
      <w:sz w:val="20"/>
      <w:lang w:eastAsia="zh-CN"/>
    </w:rPr>
  </w:style>
  <w:style w:type="paragraph" w:customStyle="1" w:styleId="ESPPagesParagraph">
    <w:name w:val="_ESP_Pages_Paragraph"/>
    <w:basedOn w:val="ECVNextPagesParagraph"/>
  </w:style>
  <w:style w:type="paragraph" w:customStyle="1" w:styleId="FooterLeft0">
    <w:name w:val="Footer Left"/>
    <w:basedOn w:val="Normal"/>
    <w:pPr>
      <w:widowControl w:val="0"/>
      <w:suppressLineNumbers/>
      <w:tabs>
        <w:tab w:val="center" w:pos="5188"/>
        <w:tab w:val="right" w:pos="10376"/>
      </w:tab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FooterRight0">
    <w:name w:val="Footer Right"/>
    <w:basedOn w:val="Normal"/>
    <w:pPr>
      <w:widowControl w:val="0"/>
      <w:suppressLineNumbers/>
      <w:tabs>
        <w:tab w:val="center" w:pos="5188"/>
        <w:tab w:val="right" w:pos="10376"/>
      </w:tabs>
      <w:suppressAutoHyphens/>
      <w:spacing w:after="0" w:line="259" w:lineRule="auto"/>
    </w:pPr>
    <w:rPr>
      <w:rFonts w:ascii="Arial" w:eastAsia="SimSun" w:hAnsi="Arial" w:cs="Mangal"/>
      <w:color w:val="3F3A38"/>
      <w:spacing w:val="-6"/>
      <w:kern w:val="1"/>
      <w:sz w:val="16"/>
      <w:szCs w:val="24"/>
      <w:lang w:val="en-GB" w:eastAsia="en-GB" w:bidi="hi-IN"/>
    </w:rPr>
  </w:style>
  <w:style w:type="paragraph" w:customStyle="1" w:styleId="europass5fnumbered5flist">
    <w:name w:val="europass_5f_numbered_5f_list"/>
    <w:basedOn w:val="EuropassSectionDetails"/>
  </w:style>
  <w:style w:type="paragraph" w:customStyle="1" w:styleId="europass5fbulleted5flist">
    <w:name w:val="europass_5f_bulleted_5f_list"/>
    <w:basedOn w:val="EuropassSectionDetails"/>
  </w:style>
  <w:style w:type="paragraph" w:customStyle="1" w:styleId="europassparagraphindented">
    <w:name w:val="europass_paragraph_indented"/>
    <w:basedOn w:val="EuropassSectionDetails"/>
    <w:pPr>
      <w:ind w:left="567"/>
    </w:pPr>
  </w:style>
  <w:style w:type="paragraph" w:customStyle="1" w:styleId="europassparagraphindent1">
    <w:name w:val="europass_paragraph_indent1"/>
    <w:basedOn w:val="EuropassSectionDetails"/>
    <w:pPr>
      <w:ind w:left="567"/>
    </w:pPr>
  </w:style>
  <w:style w:type="paragraph" w:customStyle="1" w:styleId="europassparagraphindent2">
    <w:name w:val="europass_paragraph_indent2"/>
    <w:basedOn w:val="EuropassSectionDetails"/>
    <w:pPr>
      <w:ind w:left="1134"/>
    </w:pPr>
  </w:style>
  <w:style w:type="paragraph" w:customStyle="1" w:styleId="europassparagraphindent3">
    <w:name w:val="europass_paragraph_indent3"/>
    <w:basedOn w:val="EuropassSectionDetails"/>
    <w:pPr>
      <w:ind w:left="1701"/>
    </w:pPr>
  </w:style>
  <w:style w:type="paragraph" w:customStyle="1" w:styleId="europassparagraphalignjustify">
    <w:name w:val="europass_paragraph_align_justify"/>
    <w:basedOn w:val="EuropassSectionDetails"/>
    <w:pPr>
      <w:jc w:val="both"/>
    </w:pPr>
  </w:style>
  <w:style w:type="paragraph" w:customStyle="1" w:styleId="europassparagraphindent1justify">
    <w:name w:val="europass_paragraph_indent1_justify"/>
    <w:basedOn w:val="EuropassSectionDetails"/>
    <w:pPr>
      <w:ind w:left="567"/>
      <w:jc w:val="both"/>
    </w:pPr>
  </w:style>
  <w:style w:type="paragraph" w:customStyle="1" w:styleId="europassparagraphindent2justify">
    <w:name w:val="europass_paragraph_indent2_justify"/>
    <w:basedOn w:val="EuropassSectionDetails"/>
    <w:pPr>
      <w:ind w:left="1134"/>
      <w:jc w:val="both"/>
    </w:pPr>
  </w:style>
  <w:style w:type="paragraph" w:customStyle="1" w:styleId="europassparagraphindent3justify">
    <w:name w:val="europass_paragraph_indent3_justify"/>
    <w:basedOn w:val="EuropassSectionDetails"/>
    <w:pPr>
      <w:ind w:left="1701"/>
      <w:jc w:val="both"/>
    </w:pPr>
  </w:style>
  <w:style w:type="paragraph" w:customStyle="1" w:styleId="m4316450850814509265gmail-msolistparagraph">
    <w:name w:val="m_4316450850814509265gmail-msolistparagraph"/>
    <w:basedOn w:val="Normal"/>
    <w:pPr>
      <w:spacing w:before="100" w:beforeAutospacing="1" w:after="100" w:afterAutospacing="1" w:line="259" w:lineRule="auto"/>
    </w:pPr>
    <w:rPr>
      <w:rFonts w:eastAsia="Times New Roman" w:cs="Times New Roman"/>
      <w:szCs w:val="24"/>
      <w:lang w:val="en-US"/>
    </w:rPr>
  </w:style>
  <w:style w:type="paragraph" w:customStyle="1" w:styleId="ECVContactDetails1">
    <w:name w:val="_ECV_ContactDetails1"/>
    <w:basedOn w:val="ECVNameField"/>
  </w:style>
  <w:style w:type="character" w:customStyle="1" w:styleId="UnresolvedMention6">
    <w:name w:val="Unresolved Mention6"/>
    <w:uiPriority w:val="99"/>
    <w:unhideWhenUsed/>
    <w:rPr>
      <w:color w:val="808080"/>
      <w:shd w:val="clear" w:color="auto" w:fill="E6E6E6"/>
    </w:rPr>
  </w:style>
  <w:style w:type="table" w:customStyle="1" w:styleId="ListTable4-Accent15">
    <w:name w:val="List Table 4 - Accent 15"/>
    <w:basedOn w:val="TableNormal"/>
    <w:uiPriority w:val="49"/>
    <w:pPr>
      <w:spacing w:after="0" w:line="240" w:lineRule="auto"/>
    </w:pPr>
    <w:rPr>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3">
    <w:name w:val="List Table 3 - Accent 13"/>
    <w:basedOn w:val="TableNormal"/>
    <w:uiPriority w:val="48"/>
    <w:pPr>
      <w:spacing w:after="0" w:line="240" w:lineRule="auto"/>
    </w:pPr>
    <w:rPr>
      <w:lang w:val="en-GB" w:eastAsia="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22">
    <w:name w:val="Grid Table 1 Light - Accent 22"/>
    <w:basedOn w:val="TableNormal"/>
    <w:uiPriority w:val="46"/>
    <w:pPr>
      <w:spacing w:after="0" w:line="240" w:lineRule="auto"/>
    </w:pPr>
    <w:rPr>
      <w:lang w:val="en-GB" w:eastAsia="en-GB"/>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CVFooterLeft">
    <w:name w:val="CV Footer Left"/>
    <w:pPr>
      <w:pBdr>
        <w:top w:val="nil"/>
        <w:left w:val="nil"/>
        <w:bottom w:val="nil"/>
        <w:right w:val="nil"/>
        <w:between w:val="nil"/>
        <w:bar w:val="nil"/>
      </w:pBdr>
      <w:suppressAutoHyphens/>
      <w:spacing w:after="0" w:line="240" w:lineRule="auto"/>
      <w:ind w:firstLine="360"/>
      <w:jc w:val="right"/>
    </w:pPr>
    <w:rPr>
      <w:rFonts w:ascii="Arial Narrow" w:eastAsia="Arial Unicode MS" w:hAnsi="Arial Narrow" w:cs="Arial Unicode MS"/>
      <w:color w:val="000000"/>
      <w:sz w:val="16"/>
      <w:szCs w:val="16"/>
      <w:u w:color="000000"/>
      <w:bdr w:val="nil"/>
      <w:lang w:val="en-US" w:eastAsia="en-GB"/>
    </w:rPr>
  </w:style>
  <w:style w:type="paragraph" w:customStyle="1" w:styleId="CVFooterRight">
    <w:name w:val="CV Footer Right"/>
    <w:pPr>
      <w:pBdr>
        <w:top w:val="nil"/>
        <w:left w:val="nil"/>
        <w:bottom w:val="nil"/>
        <w:right w:val="nil"/>
        <w:between w:val="nil"/>
        <w:bar w:val="nil"/>
      </w:pBdr>
      <w:suppressAutoHyphens/>
      <w:spacing w:after="0" w:line="240" w:lineRule="auto"/>
    </w:pPr>
    <w:rPr>
      <w:rFonts w:ascii="Arial Narrow" w:eastAsia="Arial Unicode MS" w:hAnsi="Arial Narrow" w:cs="Arial Unicode MS"/>
      <w:color w:val="000000"/>
      <w:sz w:val="16"/>
      <w:szCs w:val="16"/>
      <w:u w:color="000000"/>
      <w:bdr w:val="nil"/>
      <w:lang w:val="de-DE" w:eastAsia="en-GB"/>
    </w:rPr>
  </w:style>
  <w:style w:type="paragraph" w:customStyle="1" w:styleId="CVTitle">
    <w:name w:val="CV Title"/>
    <w:pPr>
      <w:pBdr>
        <w:top w:val="nil"/>
        <w:left w:val="nil"/>
        <w:bottom w:val="nil"/>
        <w:right w:val="nil"/>
        <w:between w:val="nil"/>
        <w:bar w:val="nil"/>
      </w:pBdr>
      <w:suppressAutoHyphens/>
      <w:spacing w:after="0" w:line="240" w:lineRule="auto"/>
      <w:ind w:left="113" w:right="113"/>
      <w:jc w:val="right"/>
    </w:pPr>
    <w:rPr>
      <w:rFonts w:ascii="Arial Narrow" w:eastAsia="Arial Unicode MS" w:hAnsi="Arial Narrow" w:cs="Arial Unicode MS"/>
      <w:b/>
      <w:bCs/>
      <w:color w:val="000000"/>
      <w:spacing w:val="10"/>
      <w:sz w:val="28"/>
      <w:szCs w:val="28"/>
      <w:u w:color="000000"/>
      <w:bdr w:val="nil"/>
      <w:lang w:val="fr-FR" w:eastAsia="en-GB"/>
    </w:rPr>
  </w:style>
  <w:style w:type="paragraph" w:customStyle="1" w:styleId="CVHeading1">
    <w:name w:val="CV Heading 1"/>
    <w:next w:val="Normal"/>
    <w:pPr>
      <w:pBdr>
        <w:top w:val="nil"/>
        <w:left w:val="nil"/>
        <w:bottom w:val="nil"/>
        <w:right w:val="nil"/>
        <w:between w:val="nil"/>
        <w:bar w:val="nil"/>
      </w:pBdr>
      <w:suppressAutoHyphens/>
      <w:spacing w:before="74" w:after="0" w:line="240" w:lineRule="auto"/>
      <w:ind w:left="113" w:right="113"/>
      <w:jc w:val="right"/>
    </w:pPr>
    <w:rPr>
      <w:rFonts w:ascii="Arial Narrow" w:eastAsia="Arial Unicode MS" w:hAnsi="Arial Narrow" w:cs="Arial Unicode MS"/>
      <w:b/>
      <w:bCs/>
      <w:color w:val="000000"/>
      <w:sz w:val="24"/>
      <w:szCs w:val="24"/>
      <w:u w:color="000000"/>
      <w:bdr w:val="nil"/>
      <w:lang w:val="en-US" w:eastAsia="en-GB"/>
    </w:rPr>
  </w:style>
  <w:style w:type="paragraph" w:customStyle="1" w:styleId="CVMajor-FirstLine">
    <w:name w:val="CV Major - First Line"/>
    <w:pPr>
      <w:pBdr>
        <w:top w:val="nil"/>
        <w:left w:val="nil"/>
        <w:bottom w:val="nil"/>
        <w:right w:val="nil"/>
        <w:between w:val="nil"/>
        <w:bar w:val="nil"/>
      </w:pBdr>
      <w:suppressAutoHyphens/>
      <w:spacing w:before="74" w:after="0" w:line="240" w:lineRule="auto"/>
      <w:ind w:left="113" w:right="113"/>
    </w:pPr>
    <w:rPr>
      <w:rFonts w:ascii="Arial Narrow" w:eastAsia="Arial Unicode MS" w:hAnsi="Arial Narrow" w:cs="Arial Unicode MS"/>
      <w:b/>
      <w:bCs/>
      <w:color w:val="000000"/>
      <w:sz w:val="24"/>
      <w:szCs w:val="24"/>
      <w:u w:color="000000"/>
      <w:bdr w:val="nil"/>
      <w:lang w:val="en-US" w:eastAsia="en-GB"/>
    </w:rPr>
  </w:style>
  <w:style w:type="paragraph" w:customStyle="1" w:styleId="CVHeading3-FirstLine">
    <w:name w:val="CV Heading 3 - First Line"/>
    <w:next w:val="CVHeading3"/>
    <w:pPr>
      <w:pBdr>
        <w:top w:val="nil"/>
        <w:left w:val="nil"/>
        <w:bottom w:val="nil"/>
        <w:right w:val="nil"/>
        <w:between w:val="nil"/>
        <w:bar w:val="nil"/>
      </w:pBdr>
      <w:suppressAutoHyphens/>
      <w:spacing w:before="74" w:after="0" w:line="240" w:lineRule="auto"/>
      <w:ind w:left="113" w:right="113"/>
      <w:jc w:val="right"/>
    </w:pPr>
    <w:rPr>
      <w:rFonts w:ascii="Arial Narrow" w:eastAsia="Arial Unicode MS" w:hAnsi="Arial Narrow" w:cs="Arial Unicode MS"/>
      <w:color w:val="000000"/>
      <w:sz w:val="20"/>
      <w:szCs w:val="20"/>
      <w:u w:color="000000"/>
      <w:bdr w:val="nil"/>
      <w:lang w:val="en-US" w:eastAsia="en-GB"/>
    </w:rPr>
  </w:style>
  <w:style w:type="paragraph" w:customStyle="1" w:styleId="LevelAssessment-Note">
    <w:name w:val="Level Assessment - Note"/>
    <w:pPr>
      <w:pBdr>
        <w:top w:val="nil"/>
        <w:left w:val="nil"/>
        <w:bottom w:val="nil"/>
        <w:right w:val="nil"/>
        <w:between w:val="nil"/>
        <w:bar w:val="nil"/>
      </w:pBdr>
      <w:suppressAutoHyphens/>
      <w:spacing w:after="0" w:line="240" w:lineRule="auto"/>
      <w:ind w:left="113"/>
    </w:pPr>
    <w:rPr>
      <w:rFonts w:ascii="Arial Narrow" w:eastAsia="Arial Unicode MS" w:hAnsi="Arial Narrow" w:cs="Arial Unicode MS"/>
      <w:i/>
      <w:iCs/>
      <w:color w:val="000000"/>
      <w:sz w:val="18"/>
      <w:szCs w:val="18"/>
      <w:u w:color="000000"/>
      <w:bdr w:val="nil"/>
      <w:lang w:val="en-US" w:eastAsia="en-GB"/>
    </w:rPr>
  </w:style>
  <w:style w:type="character" w:customStyle="1" w:styleId="Nessuno">
    <w:name w:val="Nessuno"/>
  </w:style>
  <w:style w:type="character" w:customStyle="1" w:styleId="Hyperlink0">
    <w:name w:val="Hyperlink.0"/>
    <w:rPr>
      <w:color w:val="0000FF"/>
      <w:u w:val="single" w:color="0000FF"/>
      <w:lang w:val="en-US"/>
    </w:rPr>
  </w:style>
  <w:style w:type="paragraph" w:customStyle="1" w:styleId="references0">
    <w:name w:val="references"/>
    <w:basedOn w:val="Normal"/>
    <w:pPr>
      <w:numPr>
        <w:numId w:val="60"/>
      </w:numPr>
      <w:spacing w:after="0" w:line="259" w:lineRule="auto"/>
    </w:pPr>
    <w:rPr>
      <w:rFonts w:eastAsia="Times New Roman" w:cs="Times New Roman"/>
      <w:sz w:val="20"/>
      <w:szCs w:val="24"/>
      <w:lang w:val="nl-NL"/>
    </w:rPr>
  </w:style>
  <w:style w:type="paragraph" w:customStyle="1" w:styleId="Aeeaoaeaa2">
    <w:name w:val="A?eeaoae?aa 2"/>
    <w:basedOn w:val="Aaoeeu"/>
    <w:next w:val="Aaoeeu"/>
    <w:pPr>
      <w:keepNext/>
      <w:suppressAutoHyphens w:val="0"/>
      <w:spacing w:after="0" w:line="240" w:lineRule="auto"/>
      <w:jc w:val="right"/>
    </w:pPr>
    <w:rPr>
      <w:rFonts w:eastAsia="Times New Roman" w:cs="Times New Roman"/>
      <w:i/>
      <w:sz w:val="20"/>
      <w:szCs w:val="20"/>
      <w:lang w:eastAsia="en-GB"/>
    </w:rPr>
  </w:style>
  <w:style w:type="character" w:customStyle="1" w:styleId="niaeeaaiYicanaiiaoioaenU">
    <w:name w:val="?nia?eeaaiYic anaiiaoioaenU"/>
    <w:rPr>
      <w:sz w:val="20"/>
    </w:rPr>
  </w:style>
  <w:style w:type="paragraph" w:customStyle="1" w:styleId="OioYeeai">
    <w:name w:val="O?ioYeeai"/>
    <w:basedOn w:val="Aaoeeu"/>
    <w:pPr>
      <w:tabs>
        <w:tab w:val="center" w:pos="4153"/>
        <w:tab w:val="right" w:pos="8306"/>
      </w:tabs>
      <w:suppressAutoHyphens w:val="0"/>
      <w:spacing w:after="0" w:line="240" w:lineRule="auto"/>
    </w:pPr>
    <w:rPr>
      <w:rFonts w:eastAsia="Times New Roman" w:cs="Times New Roman"/>
      <w:sz w:val="20"/>
      <w:szCs w:val="20"/>
      <w:lang w:eastAsia="en-GB"/>
    </w:rPr>
  </w:style>
  <w:style w:type="character" w:customStyle="1" w:styleId="Aneeiuooaeaao">
    <w:name w:val="Aneeiuo oae?aao"/>
  </w:style>
  <w:style w:type="paragraph" w:customStyle="1" w:styleId="OiaeaeiYiio">
    <w:name w:val="O?ia eaeiYiio"/>
    <w:basedOn w:val="Aaoeeu"/>
    <w:pPr>
      <w:suppressAutoHyphens w:val="0"/>
      <w:spacing w:after="0" w:line="240" w:lineRule="auto"/>
      <w:jc w:val="right"/>
    </w:pPr>
    <w:rPr>
      <w:rFonts w:eastAsia="Times New Roman" w:cs="Times New Roman"/>
      <w:sz w:val="20"/>
      <w:szCs w:val="20"/>
      <w:lang w:eastAsia="en-GB"/>
    </w:rPr>
  </w:style>
  <w:style w:type="paragraph" w:customStyle="1" w:styleId="OiaeaeiYiio3">
    <w:name w:val="O?ia eaeiYiio 3"/>
    <w:basedOn w:val="Aaoeeu"/>
    <w:pPr>
      <w:suppressAutoHyphens w:val="0"/>
      <w:spacing w:after="0" w:line="240" w:lineRule="auto"/>
      <w:jc w:val="right"/>
    </w:pPr>
    <w:rPr>
      <w:rFonts w:eastAsia="Times New Roman" w:cs="Times New Roman"/>
      <w:b/>
      <w:sz w:val="20"/>
      <w:szCs w:val="20"/>
      <w:lang w:eastAsia="en-GB"/>
    </w:rPr>
  </w:style>
  <w:style w:type="paragraph" w:customStyle="1" w:styleId="a">
    <w:name w:val="Êåöáëßäá"/>
    <w:basedOn w:val="Normal"/>
    <w:pPr>
      <w:widowControl w:val="0"/>
      <w:tabs>
        <w:tab w:val="center" w:pos="4153"/>
        <w:tab w:val="right" w:pos="8306"/>
      </w:tabs>
      <w:spacing w:after="0" w:line="259" w:lineRule="auto"/>
    </w:pPr>
    <w:rPr>
      <w:rFonts w:eastAsia="Times New Roman" w:cs="Times New Roman"/>
      <w:sz w:val="20"/>
      <w:szCs w:val="20"/>
      <w:lang w:val="el-GR" w:eastAsia="en-GB"/>
    </w:rPr>
  </w:style>
  <w:style w:type="paragraph" w:customStyle="1" w:styleId="a0">
    <w:name w:val="ÕðïóÝëéäï"/>
    <w:basedOn w:val="Normal"/>
    <w:pPr>
      <w:widowControl w:val="0"/>
      <w:tabs>
        <w:tab w:val="center" w:pos="4153"/>
        <w:tab w:val="right" w:pos="8306"/>
      </w:tabs>
      <w:spacing w:after="0" w:line="259" w:lineRule="auto"/>
    </w:pPr>
    <w:rPr>
      <w:rFonts w:eastAsia="Times New Roman" w:cs="Times New Roman"/>
      <w:sz w:val="20"/>
      <w:szCs w:val="20"/>
      <w:lang w:val="el-GR" w:eastAsia="en-GB"/>
    </w:rPr>
  </w:style>
  <w:style w:type="character" w:customStyle="1" w:styleId="a1">
    <w:name w:val="Áñéèìüò óåëßäáò"/>
    <w:rPr>
      <w:sz w:val="20"/>
    </w:rPr>
  </w:style>
  <w:style w:type="paragraph" w:customStyle="1" w:styleId="a2">
    <w:name w:val="Âáóéêü"/>
    <w:pPr>
      <w:widowControl w:val="0"/>
      <w:spacing w:after="0" w:line="240" w:lineRule="auto"/>
    </w:pPr>
    <w:rPr>
      <w:rFonts w:ascii="Times New Roman" w:eastAsia="Times New Roman" w:hAnsi="Times New Roman" w:cs="Times New Roman"/>
      <w:sz w:val="20"/>
      <w:szCs w:val="20"/>
      <w:lang w:val="el-GR" w:eastAsia="en-GB"/>
    </w:rPr>
  </w:style>
  <w:style w:type="paragraph" w:customStyle="1" w:styleId="References">
    <w:name w:val="References"/>
    <w:basedOn w:val="Normal"/>
    <w:link w:val="ReferencesChar"/>
    <w:uiPriority w:val="99"/>
    <w:pPr>
      <w:widowControl w:val="0"/>
      <w:numPr>
        <w:numId w:val="61"/>
      </w:numPr>
      <w:spacing w:after="100" w:line="259" w:lineRule="auto"/>
      <w:jc w:val="both"/>
    </w:pPr>
    <w:rPr>
      <w:rFonts w:ascii="Tahoma" w:eastAsia="Times New Roman" w:hAnsi="Tahoma" w:cs="Times New Roman"/>
      <w:snapToGrid w:val="0"/>
      <w:sz w:val="20"/>
      <w:szCs w:val="20"/>
      <w:lang w:val="en-GB"/>
    </w:rPr>
  </w:style>
  <w:style w:type="paragraph" w:customStyle="1" w:styleId="StyleH2Before12ptAfter12pt">
    <w:name w:val="Style H2 + Before:  12 pt After:  12 pt"/>
    <w:basedOn w:val="Normal"/>
    <w:pPr>
      <w:keepNext/>
      <w:widowControl w:val="0"/>
      <w:spacing w:before="240" w:after="240" w:line="259" w:lineRule="auto"/>
      <w:jc w:val="both"/>
      <w:outlineLvl w:val="2"/>
    </w:pPr>
    <w:rPr>
      <w:rFonts w:ascii="Tahoma" w:eastAsia="Times New Roman" w:hAnsi="Tahoma" w:cs="Times New Roman"/>
      <w:b/>
      <w:bCs/>
      <w:snapToGrid w:val="0"/>
      <w:sz w:val="28"/>
      <w:szCs w:val="20"/>
      <w:lang w:val="en-GB"/>
    </w:rPr>
  </w:style>
  <w:style w:type="paragraph" w:customStyle="1" w:styleId="StyleReferencesBold">
    <w:name w:val="Style References + Bold"/>
    <w:basedOn w:val="References"/>
    <w:link w:val="StyleReferencesBoldChar"/>
    <w:rPr>
      <w:b/>
      <w:bCs/>
    </w:rPr>
  </w:style>
  <w:style w:type="character" w:customStyle="1" w:styleId="ReferencesChar">
    <w:name w:val="References Char"/>
    <w:link w:val="References"/>
    <w:uiPriority w:val="99"/>
    <w:rPr>
      <w:rFonts w:ascii="Tahoma" w:eastAsia="Times New Roman" w:hAnsi="Tahoma" w:cs="Times New Roman"/>
      <w:snapToGrid w:val="0"/>
      <w:sz w:val="20"/>
      <w:szCs w:val="20"/>
      <w:lang w:val="en-GB"/>
    </w:rPr>
  </w:style>
  <w:style w:type="character" w:customStyle="1" w:styleId="StyleReferencesBoldChar">
    <w:name w:val="Style References + Bold Char"/>
    <w:link w:val="StyleReferencesBold"/>
    <w:rPr>
      <w:rFonts w:ascii="Tahoma" w:eastAsia="Times New Roman" w:hAnsi="Tahoma" w:cs="Times New Roman"/>
      <w:b/>
      <w:bCs/>
      <w:snapToGrid w:val="0"/>
      <w:sz w:val="20"/>
      <w:szCs w:val="20"/>
      <w:lang w:val="en-GB"/>
    </w:rPr>
  </w:style>
  <w:style w:type="paragraph" w:customStyle="1" w:styleId="StyleStyleReferencesBoldNotBold">
    <w:name w:val="Style Style References + Bold + Not Bold"/>
    <w:basedOn w:val="StyleReferencesBold"/>
    <w:link w:val="StyleStyleReferencesBoldNotBoldChar"/>
    <w:rPr>
      <w:rFonts w:ascii="Arial Narrow" w:hAnsi="Arial Narrow"/>
    </w:rPr>
  </w:style>
  <w:style w:type="character" w:customStyle="1" w:styleId="StyleStyleReferencesBoldNotBoldChar">
    <w:name w:val="Style Style References + Bold + Not Bold Char"/>
    <w:link w:val="StyleStyleReferencesBoldNotBold"/>
    <w:rPr>
      <w:rFonts w:ascii="Arial Narrow" w:eastAsia="Times New Roman" w:hAnsi="Arial Narrow" w:cs="Times New Roman"/>
      <w:b/>
      <w:bCs/>
      <w:snapToGrid w:val="0"/>
      <w:sz w:val="20"/>
      <w:szCs w:val="20"/>
      <w:lang w:val="en-GB"/>
    </w:rPr>
  </w:style>
  <w:style w:type="paragraph" w:customStyle="1" w:styleId="NormalShadowed">
    <w:name w:val="Normal Shadowed"/>
    <w:basedOn w:val="Normal"/>
    <w:uiPriority w:val="99"/>
    <w:pPr>
      <w:spacing w:before="60" w:after="60" w:line="259" w:lineRule="auto"/>
    </w:pPr>
    <w:rPr>
      <w:rFonts w:ascii="Lucida Sans Unicode" w:eastAsia="Times New Roman" w:hAnsi="Lucida Sans Unicode" w:cs="Times New Roman"/>
      <w:sz w:val="20"/>
      <w:szCs w:val="20"/>
      <w:lang w:val="en-GB"/>
      <w14:shadow w14:blurRad="50800" w14:dist="38100" w14:dir="2700000" w14:sx="100000" w14:sy="100000" w14:kx="0" w14:ky="0" w14:algn="tl">
        <w14:srgbClr w14:val="000000">
          <w14:alpha w14:val="60000"/>
        </w14:srgbClr>
      </w14:shadow>
    </w:rPr>
  </w:style>
  <w:style w:type="paragraph" w:customStyle="1" w:styleId="Subsection">
    <w:name w:val="Subsection"/>
    <w:basedOn w:val="Heading2"/>
    <w:uiPriority w:val="99"/>
    <w:pPr>
      <w:keepLines/>
      <w:numPr>
        <w:ilvl w:val="0"/>
        <w:numId w:val="0"/>
      </w:numPr>
      <w:spacing w:after="0" w:line="259" w:lineRule="auto"/>
      <w:jc w:val="left"/>
    </w:pPr>
    <w:rPr>
      <w:rFonts w:ascii="Century Gothic" w:eastAsia="HGSMinchoB" w:hAnsi="Century Gothic"/>
      <w:b w:val="0"/>
      <w:bCs/>
      <w:i/>
      <w:color w:val="93A299"/>
      <w:sz w:val="21"/>
      <w:szCs w:val="26"/>
      <w:lang w:val="en-US"/>
    </w:rPr>
  </w:style>
  <w:style w:type="paragraph" w:customStyle="1" w:styleId="CVSpacer">
    <w:name w:val="CV Spacer"/>
    <w:basedOn w:val="CVNormal"/>
    <w:rPr>
      <w:sz w:val="4"/>
    </w:rPr>
  </w:style>
  <w:style w:type="character" w:customStyle="1" w:styleId="NichtaufgelsteErwhnung1">
    <w:name w:val="Nicht aufgelöste Erwähnung1"/>
    <w:uiPriority w:val="99"/>
    <w:semiHidden/>
    <w:unhideWhenUsed/>
    <w:rPr>
      <w:color w:val="605E5C"/>
      <w:shd w:val="clear" w:color="auto" w:fill="E1DFDD"/>
    </w:rPr>
  </w:style>
  <w:style w:type="paragraph" w:customStyle="1" w:styleId="Char1">
    <w:name w:val="Char1"/>
    <w:basedOn w:val="Normal"/>
    <w:next w:val="ListBullet"/>
    <w:autoRedefine/>
    <w:uiPriority w:val="99"/>
    <w:qFormat/>
    <w:pPr>
      <w:spacing w:after="120" w:line="264" w:lineRule="auto"/>
      <w:jc w:val="both"/>
    </w:pPr>
    <w:rPr>
      <w:rFonts w:ascii="Georgia" w:hAnsi="Georgia"/>
      <w:sz w:val="22"/>
      <w:lang w:val="en-GB" w:eastAsia="en-GB"/>
    </w:rPr>
  </w:style>
  <w:style w:type="character" w:customStyle="1" w:styleId="fr1">
    <w:name w:val="fr1"/>
    <w:qFormat/>
    <w:rPr>
      <w:rFonts w:ascii="Georgia" w:hAnsi="Georgia" w:cs="Times New Roman"/>
      <w:color w:val="000000"/>
      <w:sz w:val="16"/>
      <w:vertAlign w:val="superscript"/>
      <w:lang w:val="en-US"/>
    </w:rPr>
  </w:style>
  <w:style w:type="table" w:customStyle="1" w:styleId="ListTable2-Accent11">
    <w:name w:val="List Table 2 - Accent 11"/>
    <w:basedOn w:val="TableNormal"/>
    <w:next w:val="ListTable2-Accent12"/>
    <w:uiPriority w:val="47"/>
    <w:pPr>
      <w:spacing w:after="0" w:line="240" w:lineRule="auto"/>
    </w:pPr>
    <w:rPr>
      <w:rFonts w:eastAsia="Calibri" w:cs="Arial"/>
      <w:lang w:val="en-US"/>
    </w:rPr>
    <w:tblPr>
      <w:tblStyleRowBandSize w:val="1"/>
      <w:tblStyleColBandSize w:val="1"/>
      <w:tblBorders>
        <w:top w:val="single" w:sz="4" w:space="0" w:color="6DC5B6"/>
        <w:bottom w:val="single" w:sz="4" w:space="0" w:color="6DC5B6"/>
        <w:insideH w:val="single" w:sz="4" w:space="0" w:color="6DC5B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BE6"/>
      </w:tcPr>
    </w:tblStylePr>
    <w:tblStylePr w:type="band1Horz">
      <w:tblPr/>
      <w:tcPr>
        <w:shd w:val="clear" w:color="auto" w:fill="CEEBE6"/>
      </w:tcPr>
    </w:tblStylePr>
  </w:style>
  <w:style w:type="table" w:customStyle="1" w:styleId="ListTable2-Accent12">
    <w:name w:val="List Table 2 - Accent 12"/>
    <w:basedOn w:val="TableNormal"/>
    <w:uiPriority w:val="47"/>
    <w:pPr>
      <w:spacing w:after="0" w:line="240" w:lineRule="auto"/>
    </w:pPr>
    <w:rPr>
      <w:rFonts w:eastAsia="Times New Roman" w:cstheme="minorHAnsi"/>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Text">
    <w:name w:val="TableText"/>
    <w:basedOn w:val="Normal"/>
    <w:pPr>
      <w:keepNext/>
      <w:keepLines/>
      <w:spacing w:before="60" w:after="60" w:line="259" w:lineRule="auto"/>
      <w:ind w:left="10"/>
    </w:pPr>
    <w:rPr>
      <w:rFonts w:ascii="Arial" w:eastAsia="Times New Roman" w:hAnsi="Arial" w:cs="Arial"/>
      <w:sz w:val="16"/>
      <w:szCs w:val="24"/>
      <w:lang w:val="en-US"/>
    </w:rPr>
  </w:style>
  <w:style w:type="table" w:customStyle="1" w:styleId="GridTable4-Accent15">
    <w:name w:val="Grid Table 4 - Accent 15"/>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62">
    <w:name w:val="Grid Table 5 Dark - Accent 62"/>
    <w:basedOn w:val="TableNormal"/>
    <w:uiPriority w:val="50"/>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2">
    <w:name w:val="Grid Table 4 - Accent 62"/>
    <w:basedOn w:val="TableNormal"/>
    <w:uiPriority w:val="49"/>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2-Accent62">
    <w:name w:val="Grid Table 2 - Accent 62"/>
    <w:basedOn w:val="TableNormal"/>
    <w:uiPriority w:val="47"/>
    <w:pPr>
      <w:spacing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24">
    <w:name w:val="Grid Table 4 - Accent 24"/>
    <w:basedOn w:val="TableNormal"/>
    <w:uiPriority w:val="49"/>
    <w:pPr>
      <w:spacing w:after="0" w:line="240" w:lineRule="auto"/>
    </w:pPr>
    <w:rPr>
      <w:rFonts w:eastAsia="Times New Roman" w:cstheme="minorHAnsi"/>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15">
    <w:name w:val="Grid Table 5 Dark - Accent 15"/>
    <w:basedOn w:val="TableNormal"/>
    <w:uiPriority w:val="50"/>
    <w:pPr>
      <w:spacing w:after="0" w:line="240" w:lineRule="auto"/>
    </w:pPr>
    <w:rPr>
      <w:rFonts w:eastAsia="Times New Roman" w:cs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2">
    <w:name w:val="List Table 42"/>
    <w:basedOn w:val="TableNormal"/>
    <w:uiPriority w:val="49"/>
    <w:pPr>
      <w:spacing w:after="160" w:line="259" w:lineRule="auto"/>
    </w:pPr>
    <w:rPr>
      <w:lang w:val="en-GB" w:eastAsia="en-GB"/>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tcBorders>
        <w:shd w:val="clear" w:color="auto" w:fill="5F5F5F"/>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stTable4-Accent16">
    <w:name w:val="List Table 4 - Accent 16"/>
    <w:basedOn w:val="TableNormal"/>
    <w:uiPriority w:val="49"/>
    <w:pPr>
      <w:spacing w:after="0" w:line="240" w:lineRule="auto"/>
    </w:pPr>
    <w:rPr>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4">
    <w:name w:val="List Table 3 - Accent 14"/>
    <w:basedOn w:val="TableNormal"/>
    <w:uiPriority w:val="48"/>
    <w:pPr>
      <w:spacing w:after="0" w:line="240" w:lineRule="auto"/>
    </w:pPr>
    <w:rPr>
      <w:lang w:val="en-GB" w:eastAsia="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23">
    <w:name w:val="Grid Table 1 Light - Accent 23"/>
    <w:basedOn w:val="TableNormal"/>
    <w:uiPriority w:val="46"/>
    <w:pPr>
      <w:spacing w:after="0" w:line="240" w:lineRule="auto"/>
    </w:pPr>
    <w:rPr>
      <w:lang w:val="en-GB" w:eastAsia="en-GB"/>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stTable2-Accent13">
    <w:name w:val="List Table 2 - Accent 13"/>
    <w:basedOn w:val="TableNormal"/>
    <w:uiPriority w:val="47"/>
    <w:pPr>
      <w:spacing w:after="0" w:line="240" w:lineRule="auto"/>
    </w:pPr>
    <w:rPr>
      <w:rFonts w:eastAsia="Times New Roman" w:cstheme="minorHAnsi"/>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ichtaufgelsteErwhnung2">
    <w:name w:val="Nicht aufgelöste Erwähnung2"/>
    <w:uiPriority w:val="99"/>
    <w:semiHidden/>
    <w:unhideWhenUsed/>
    <w:rPr>
      <w:color w:val="605E5C"/>
      <w:shd w:val="clear" w:color="auto" w:fill="E1DFDD"/>
    </w:rPr>
  </w:style>
  <w:style w:type="character" w:customStyle="1" w:styleId="Menzionenonrisolta1">
    <w:name w:val="Menzione non risolta1"/>
    <w:uiPriority w:val="99"/>
    <w:semiHidden/>
    <w:unhideWhenUsed/>
    <w:rPr>
      <w:color w:val="605E5C"/>
      <w:shd w:val="clear" w:color="auto" w:fill="E1DFDD"/>
    </w:rPr>
  </w:style>
  <w:style w:type="table" w:customStyle="1" w:styleId="ListTable3Accent5">
    <w:name w:val="List Table 3 Accent 5"/>
    <w:basedOn w:val="TableNormal"/>
    <w:uiPriority w:val="48"/>
    <w:pPr>
      <w:spacing w:after="0" w:line="240" w:lineRule="auto"/>
    </w:pPr>
    <w:rPr>
      <w:rFonts w:eastAsia="Times New Roman" w:cstheme="minorHAnsi"/>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m1774568365881080084msolistparagraph">
    <w:name w:val="m_1774568365881080084msolistparagraph"/>
    <w:basedOn w:val="Normal"/>
    <w:pPr>
      <w:spacing w:before="100" w:beforeAutospacing="1" w:after="100" w:afterAutospacing="1" w:line="259" w:lineRule="auto"/>
    </w:pPr>
    <w:rPr>
      <w:rFonts w:eastAsia="Times New Roman" w:cs="Times New Roman"/>
      <w:szCs w:val="24"/>
      <w:lang w:val="en-GB" w:eastAsia="en-GB"/>
    </w:rPr>
  </w:style>
  <w:style w:type="paragraph" w:customStyle="1" w:styleId="Notes">
    <w:name w:val="Notes"/>
    <w:basedOn w:val="Normal"/>
    <w:link w:val="NotesChar"/>
    <w:qFormat/>
    <w:pPr>
      <w:spacing w:after="0" w:line="240" w:lineRule="auto"/>
      <w:jc w:val="both"/>
    </w:pPr>
    <w:rPr>
      <w:i/>
      <w:sz w:val="20"/>
      <w:lang w:val="en-GB"/>
    </w:rPr>
  </w:style>
  <w:style w:type="paragraph" w:customStyle="1" w:styleId="VISUAL">
    <w:name w:val="VISUAL"/>
    <w:basedOn w:val="Normal"/>
    <w:link w:val="VISUALChar"/>
    <w:qFormat/>
    <w:pPr>
      <w:spacing w:after="0"/>
      <w:jc w:val="both"/>
    </w:pPr>
    <w:rPr>
      <w:lang w:val="en-GB"/>
    </w:rPr>
  </w:style>
  <w:style w:type="character" w:customStyle="1" w:styleId="NotesChar">
    <w:name w:val="Notes Char"/>
    <w:basedOn w:val="DefaultParagraphFont"/>
    <w:link w:val="Notes"/>
    <w:rPr>
      <w:rFonts w:ascii="Times New Roman" w:hAnsi="Times New Roman"/>
      <w:i/>
      <w:sz w:val="20"/>
      <w:lang w:val="en-GB"/>
    </w:rPr>
  </w:style>
  <w:style w:type="character" w:customStyle="1" w:styleId="VISUALChar">
    <w:name w:val="VISUAL Char"/>
    <w:basedOn w:val="DefaultParagraphFont"/>
    <w:link w:val="VISUAL"/>
    <w:rPr>
      <w:rFonts w:ascii="Times New Roman" w:hAnsi="Times New Roman"/>
      <w:sz w:val="24"/>
      <w:lang w:val="en-GB"/>
    </w:rPr>
  </w:style>
  <w:style w:type="paragraph" w:styleId="Caption">
    <w:name w:val="caption"/>
    <w:basedOn w:val="Normal"/>
    <w:next w:val="Normal"/>
    <w:uiPriority w:val="99"/>
    <w:unhideWhenUsed/>
    <w:qFormat/>
    <w:pPr>
      <w:spacing w:line="240" w:lineRule="auto"/>
    </w:pPr>
    <w:rPr>
      <w:i/>
      <w:iCs/>
      <w:color w:val="1F497D" w:themeColor="text2"/>
      <w:sz w:val="18"/>
      <w:szCs w:val="18"/>
    </w:rPr>
  </w:style>
  <w:style w:type="paragraph" w:customStyle="1" w:styleId="SecurityMarking">
    <w:name w:val="SecurityMarking"/>
    <w:basedOn w:val="Normal"/>
    <w:pPr>
      <w:spacing w:after="0"/>
      <w:ind w:left="5103"/>
    </w:pPr>
    <w:rPr>
      <w:rFonts w:cs="Times New Roman"/>
      <w:sz w:val="28"/>
    </w:rPr>
  </w:style>
  <w:style w:type="paragraph" w:customStyle="1" w:styleId="DateMarking">
    <w:name w:val="DateMarking"/>
    <w:basedOn w:val="Normal"/>
    <w:pPr>
      <w:spacing w:after="0"/>
      <w:ind w:left="5103"/>
    </w:pPr>
    <w:rPr>
      <w:rFonts w:cs="Times New Roman"/>
      <w:i/>
      <w:sz w:val="28"/>
    </w:rPr>
  </w:style>
  <w:style w:type="paragraph" w:customStyle="1" w:styleId="ReleasableTo">
    <w:name w:val="ReleasableTo"/>
    <w:basedOn w:val="Normal"/>
    <w:pPr>
      <w:spacing w:after="0"/>
      <w:ind w:left="5103"/>
    </w:pPr>
    <w:rPr>
      <w:rFonts w:cs="Times New Roman"/>
      <w:i/>
      <w:sz w:val="28"/>
    </w:rPr>
  </w:style>
  <w:style w:type="paragraph" w:customStyle="1" w:styleId="HeaderSensitivityRight">
    <w:name w:val="Header Sensitivity Right"/>
    <w:basedOn w:val="Normal"/>
    <w:pPr>
      <w:spacing w:after="120" w:line="240" w:lineRule="auto"/>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8909">
      <w:bodyDiv w:val="1"/>
      <w:marLeft w:val="0"/>
      <w:marRight w:val="0"/>
      <w:marTop w:val="0"/>
      <w:marBottom w:val="0"/>
      <w:divBdr>
        <w:top w:val="none" w:sz="0" w:space="0" w:color="auto"/>
        <w:left w:val="none" w:sz="0" w:space="0" w:color="auto"/>
        <w:bottom w:val="none" w:sz="0" w:space="0" w:color="auto"/>
        <w:right w:val="none" w:sz="0" w:space="0" w:color="auto"/>
      </w:divBdr>
    </w:div>
    <w:div w:id="92896858">
      <w:bodyDiv w:val="1"/>
      <w:marLeft w:val="0"/>
      <w:marRight w:val="0"/>
      <w:marTop w:val="0"/>
      <w:marBottom w:val="0"/>
      <w:divBdr>
        <w:top w:val="none" w:sz="0" w:space="0" w:color="auto"/>
        <w:left w:val="none" w:sz="0" w:space="0" w:color="auto"/>
        <w:bottom w:val="none" w:sz="0" w:space="0" w:color="auto"/>
        <w:right w:val="none" w:sz="0" w:space="0" w:color="auto"/>
      </w:divBdr>
    </w:div>
    <w:div w:id="97457501">
      <w:bodyDiv w:val="1"/>
      <w:marLeft w:val="0"/>
      <w:marRight w:val="0"/>
      <w:marTop w:val="0"/>
      <w:marBottom w:val="0"/>
      <w:divBdr>
        <w:top w:val="none" w:sz="0" w:space="0" w:color="auto"/>
        <w:left w:val="none" w:sz="0" w:space="0" w:color="auto"/>
        <w:bottom w:val="none" w:sz="0" w:space="0" w:color="auto"/>
        <w:right w:val="none" w:sz="0" w:space="0" w:color="auto"/>
      </w:divBdr>
    </w:div>
    <w:div w:id="180703555">
      <w:bodyDiv w:val="1"/>
      <w:marLeft w:val="0"/>
      <w:marRight w:val="0"/>
      <w:marTop w:val="0"/>
      <w:marBottom w:val="0"/>
      <w:divBdr>
        <w:top w:val="none" w:sz="0" w:space="0" w:color="auto"/>
        <w:left w:val="none" w:sz="0" w:space="0" w:color="auto"/>
        <w:bottom w:val="none" w:sz="0" w:space="0" w:color="auto"/>
        <w:right w:val="none" w:sz="0" w:space="0" w:color="auto"/>
      </w:divBdr>
    </w:div>
    <w:div w:id="294919351">
      <w:bodyDiv w:val="1"/>
      <w:marLeft w:val="0"/>
      <w:marRight w:val="0"/>
      <w:marTop w:val="0"/>
      <w:marBottom w:val="0"/>
      <w:divBdr>
        <w:top w:val="none" w:sz="0" w:space="0" w:color="auto"/>
        <w:left w:val="none" w:sz="0" w:space="0" w:color="auto"/>
        <w:bottom w:val="none" w:sz="0" w:space="0" w:color="auto"/>
        <w:right w:val="none" w:sz="0" w:space="0" w:color="auto"/>
      </w:divBdr>
    </w:div>
    <w:div w:id="313753044">
      <w:bodyDiv w:val="1"/>
      <w:marLeft w:val="0"/>
      <w:marRight w:val="0"/>
      <w:marTop w:val="0"/>
      <w:marBottom w:val="0"/>
      <w:divBdr>
        <w:top w:val="none" w:sz="0" w:space="0" w:color="auto"/>
        <w:left w:val="none" w:sz="0" w:space="0" w:color="auto"/>
        <w:bottom w:val="none" w:sz="0" w:space="0" w:color="auto"/>
        <w:right w:val="none" w:sz="0" w:space="0" w:color="auto"/>
      </w:divBdr>
    </w:div>
    <w:div w:id="327828084">
      <w:bodyDiv w:val="1"/>
      <w:marLeft w:val="0"/>
      <w:marRight w:val="0"/>
      <w:marTop w:val="0"/>
      <w:marBottom w:val="0"/>
      <w:divBdr>
        <w:top w:val="none" w:sz="0" w:space="0" w:color="auto"/>
        <w:left w:val="none" w:sz="0" w:space="0" w:color="auto"/>
        <w:bottom w:val="none" w:sz="0" w:space="0" w:color="auto"/>
        <w:right w:val="none" w:sz="0" w:space="0" w:color="auto"/>
      </w:divBdr>
    </w:div>
    <w:div w:id="386220723">
      <w:bodyDiv w:val="1"/>
      <w:marLeft w:val="0"/>
      <w:marRight w:val="0"/>
      <w:marTop w:val="0"/>
      <w:marBottom w:val="0"/>
      <w:divBdr>
        <w:top w:val="none" w:sz="0" w:space="0" w:color="auto"/>
        <w:left w:val="none" w:sz="0" w:space="0" w:color="auto"/>
        <w:bottom w:val="none" w:sz="0" w:space="0" w:color="auto"/>
        <w:right w:val="none" w:sz="0" w:space="0" w:color="auto"/>
      </w:divBdr>
    </w:div>
    <w:div w:id="482159457">
      <w:bodyDiv w:val="1"/>
      <w:marLeft w:val="0"/>
      <w:marRight w:val="0"/>
      <w:marTop w:val="0"/>
      <w:marBottom w:val="0"/>
      <w:divBdr>
        <w:top w:val="none" w:sz="0" w:space="0" w:color="auto"/>
        <w:left w:val="none" w:sz="0" w:space="0" w:color="auto"/>
        <w:bottom w:val="none" w:sz="0" w:space="0" w:color="auto"/>
        <w:right w:val="none" w:sz="0" w:space="0" w:color="auto"/>
      </w:divBdr>
    </w:div>
    <w:div w:id="520247302">
      <w:bodyDiv w:val="1"/>
      <w:marLeft w:val="0"/>
      <w:marRight w:val="0"/>
      <w:marTop w:val="0"/>
      <w:marBottom w:val="0"/>
      <w:divBdr>
        <w:top w:val="none" w:sz="0" w:space="0" w:color="auto"/>
        <w:left w:val="none" w:sz="0" w:space="0" w:color="auto"/>
        <w:bottom w:val="none" w:sz="0" w:space="0" w:color="auto"/>
        <w:right w:val="none" w:sz="0" w:space="0" w:color="auto"/>
      </w:divBdr>
    </w:div>
    <w:div w:id="520706181">
      <w:bodyDiv w:val="1"/>
      <w:marLeft w:val="0"/>
      <w:marRight w:val="0"/>
      <w:marTop w:val="0"/>
      <w:marBottom w:val="0"/>
      <w:divBdr>
        <w:top w:val="none" w:sz="0" w:space="0" w:color="auto"/>
        <w:left w:val="none" w:sz="0" w:space="0" w:color="auto"/>
        <w:bottom w:val="none" w:sz="0" w:space="0" w:color="auto"/>
        <w:right w:val="none" w:sz="0" w:space="0" w:color="auto"/>
      </w:divBdr>
    </w:div>
    <w:div w:id="522594005">
      <w:bodyDiv w:val="1"/>
      <w:marLeft w:val="0"/>
      <w:marRight w:val="0"/>
      <w:marTop w:val="0"/>
      <w:marBottom w:val="0"/>
      <w:divBdr>
        <w:top w:val="none" w:sz="0" w:space="0" w:color="auto"/>
        <w:left w:val="none" w:sz="0" w:space="0" w:color="auto"/>
        <w:bottom w:val="none" w:sz="0" w:space="0" w:color="auto"/>
        <w:right w:val="none" w:sz="0" w:space="0" w:color="auto"/>
      </w:divBdr>
    </w:div>
    <w:div w:id="589781710">
      <w:bodyDiv w:val="1"/>
      <w:marLeft w:val="0"/>
      <w:marRight w:val="0"/>
      <w:marTop w:val="0"/>
      <w:marBottom w:val="0"/>
      <w:divBdr>
        <w:top w:val="none" w:sz="0" w:space="0" w:color="auto"/>
        <w:left w:val="none" w:sz="0" w:space="0" w:color="auto"/>
        <w:bottom w:val="none" w:sz="0" w:space="0" w:color="auto"/>
        <w:right w:val="none" w:sz="0" w:space="0" w:color="auto"/>
      </w:divBdr>
    </w:div>
    <w:div w:id="680014430">
      <w:bodyDiv w:val="1"/>
      <w:marLeft w:val="0"/>
      <w:marRight w:val="0"/>
      <w:marTop w:val="0"/>
      <w:marBottom w:val="0"/>
      <w:divBdr>
        <w:top w:val="none" w:sz="0" w:space="0" w:color="auto"/>
        <w:left w:val="none" w:sz="0" w:space="0" w:color="auto"/>
        <w:bottom w:val="none" w:sz="0" w:space="0" w:color="auto"/>
        <w:right w:val="none" w:sz="0" w:space="0" w:color="auto"/>
      </w:divBdr>
    </w:div>
    <w:div w:id="711272695">
      <w:bodyDiv w:val="1"/>
      <w:marLeft w:val="0"/>
      <w:marRight w:val="0"/>
      <w:marTop w:val="0"/>
      <w:marBottom w:val="0"/>
      <w:divBdr>
        <w:top w:val="none" w:sz="0" w:space="0" w:color="auto"/>
        <w:left w:val="none" w:sz="0" w:space="0" w:color="auto"/>
        <w:bottom w:val="none" w:sz="0" w:space="0" w:color="auto"/>
        <w:right w:val="none" w:sz="0" w:space="0" w:color="auto"/>
      </w:divBdr>
    </w:div>
    <w:div w:id="725567569">
      <w:bodyDiv w:val="1"/>
      <w:marLeft w:val="0"/>
      <w:marRight w:val="0"/>
      <w:marTop w:val="0"/>
      <w:marBottom w:val="0"/>
      <w:divBdr>
        <w:top w:val="none" w:sz="0" w:space="0" w:color="auto"/>
        <w:left w:val="none" w:sz="0" w:space="0" w:color="auto"/>
        <w:bottom w:val="none" w:sz="0" w:space="0" w:color="auto"/>
        <w:right w:val="none" w:sz="0" w:space="0" w:color="auto"/>
      </w:divBdr>
    </w:div>
    <w:div w:id="726033999">
      <w:bodyDiv w:val="1"/>
      <w:marLeft w:val="0"/>
      <w:marRight w:val="0"/>
      <w:marTop w:val="0"/>
      <w:marBottom w:val="0"/>
      <w:divBdr>
        <w:top w:val="none" w:sz="0" w:space="0" w:color="auto"/>
        <w:left w:val="none" w:sz="0" w:space="0" w:color="auto"/>
        <w:bottom w:val="none" w:sz="0" w:space="0" w:color="auto"/>
        <w:right w:val="none" w:sz="0" w:space="0" w:color="auto"/>
      </w:divBdr>
    </w:div>
    <w:div w:id="771173206">
      <w:bodyDiv w:val="1"/>
      <w:marLeft w:val="0"/>
      <w:marRight w:val="0"/>
      <w:marTop w:val="0"/>
      <w:marBottom w:val="0"/>
      <w:divBdr>
        <w:top w:val="none" w:sz="0" w:space="0" w:color="auto"/>
        <w:left w:val="none" w:sz="0" w:space="0" w:color="auto"/>
        <w:bottom w:val="none" w:sz="0" w:space="0" w:color="auto"/>
        <w:right w:val="none" w:sz="0" w:space="0" w:color="auto"/>
      </w:divBdr>
    </w:div>
    <w:div w:id="830829255">
      <w:bodyDiv w:val="1"/>
      <w:marLeft w:val="0"/>
      <w:marRight w:val="0"/>
      <w:marTop w:val="0"/>
      <w:marBottom w:val="0"/>
      <w:divBdr>
        <w:top w:val="none" w:sz="0" w:space="0" w:color="auto"/>
        <w:left w:val="none" w:sz="0" w:space="0" w:color="auto"/>
        <w:bottom w:val="none" w:sz="0" w:space="0" w:color="auto"/>
        <w:right w:val="none" w:sz="0" w:space="0" w:color="auto"/>
      </w:divBdr>
    </w:div>
    <w:div w:id="893547735">
      <w:bodyDiv w:val="1"/>
      <w:marLeft w:val="0"/>
      <w:marRight w:val="0"/>
      <w:marTop w:val="0"/>
      <w:marBottom w:val="0"/>
      <w:divBdr>
        <w:top w:val="none" w:sz="0" w:space="0" w:color="auto"/>
        <w:left w:val="none" w:sz="0" w:space="0" w:color="auto"/>
        <w:bottom w:val="none" w:sz="0" w:space="0" w:color="auto"/>
        <w:right w:val="none" w:sz="0" w:space="0" w:color="auto"/>
      </w:divBdr>
    </w:div>
    <w:div w:id="926425711">
      <w:bodyDiv w:val="1"/>
      <w:marLeft w:val="0"/>
      <w:marRight w:val="0"/>
      <w:marTop w:val="0"/>
      <w:marBottom w:val="0"/>
      <w:divBdr>
        <w:top w:val="none" w:sz="0" w:space="0" w:color="auto"/>
        <w:left w:val="none" w:sz="0" w:space="0" w:color="auto"/>
        <w:bottom w:val="none" w:sz="0" w:space="0" w:color="auto"/>
        <w:right w:val="none" w:sz="0" w:space="0" w:color="auto"/>
      </w:divBdr>
    </w:div>
    <w:div w:id="1069617996">
      <w:bodyDiv w:val="1"/>
      <w:marLeft w:val="0"/>
      <w:marRight w:val="0"/>
      <w:marTop w:val="0"/>
      <w:marBottom w:val="0"/>
      <w:divBdr>
        <w:top w:val="none" w:sz="0" w:space="0" w:color="auto"/>
        <w:left w:val="none" w:sz="0" w:space="0" w:color="auto"/>
        <w:bottom w:val="none" w:sz="0" w:space="0" w:color="auto"/>
        <w:right w:val="none" w:sz="0" w:space="0" w:color="auto"/>
      </w:divBdr>
    </w:div>
    <w:div w:id="1073627410">
      <w:bodyDiv w:val="1"/>
      <w:marLeft w:val="0"/>
      <w:marRight w:val="0"/>
      <w:marTop w:val="0"/>
      <w:marBottom w:val="0"/>
      <w:divBdr>
        <w:top w:val="none" w:sz="0" w:space="0" w:color="auto"/>
        <w:left w:val="none" w:sz="0" w:space="0" w:color="auto"/>
        <w:bottom w:val="none" w:sz="0" w:space="0" w:color="auto"/>
        <w:right w:val="none" w:sz="0" w:space="0" w:color="auto"/>
      </w:divBdr>
    </w:div>
    <w:div w:id="1074015374">
      <w:bodyDiv w:val="1"/>
      <w:marLeft w:val="0"/>
      <w:marRight w:val="0"/>
      <w:marTop w:val="0"/>
      <w:marBottom w:val="0"/>
      <w:divBdr>
        <w:top w:val="none" w:sz="0" w:space="0" w:color="auto"/>
        <w:left w:val="none" w:sz="0" w:space="0" w:color="auto"/>
        <w:bottom w:val="none" w:sz="0" w:space="0" w:color="auto"/>
        <w:right w:val="none" w:sz="0" w:space="0" w:color="auto"/>
      </w:divBdr>
    </w:div>
    <w:div w:id="1101071040">
      <w:bodyDiv w:val="1"/>
      <w:marLeft w:val="0"/>
      <w:marRight w:val="0"/>
      <w:marTop w:val="0"/>
      <w:marBottom w:val="0"/>
      <w:divBdr>
        <w:top w:val="none" w:sz="0" w:space="0" w:color="auto"/>
        <w:left w:val="none" w:sz="0" w:space="0" w:color="auto"/>
        <w:bottom w:val="none" w:sz="0" w:space="0" w:color="auto"/>
        <w:right w:val="none" w:sz="0" w:space="0" w:color="auto"/>
      </w:divBdr>
    </w:div>
    <w:div w:id="1125082952">
      <w:bodyDiv w:val="1"/>
      <w:marLeft w:val="0"/>
      <w:marRight w:val="0"/>
      <w:marTop w:val="0"/>
      <w:marBottom w:val="0"/>
      <w:divBdr>
        <w:top w:val="none" w:sz="0" w:space="0" w:color="auto"/>
        <w:left w:val="none" w:sz="0" w:space="0" w:color="auto"/>
        <w:bottom w:val="none" w:sz="0" w:space="0" w:color="auto"/>
        <w:right w:val="none" w:sz="0" w:space="0" w:color="auto"/>
      </w:divBdr>
    </w:div>
    <w:div w:id="1182359637">
      <w:bodyDiv w:val="1"/>
      <w:marLeft w:val="0"/>
      <w:marRight w:val="0"/>
      <w:marTop w:val="0"/>
      <w:marBottom w:val="0"/>
      <w:divBdr>
        <w:top w:val="none" w:sz="0" w:space="0" w:color="auto"/>
        <w:left w:val="none" w:sz="0" w:space="0" w:color="auto"/>
        <w:bottom w:val="none" w:sz="0" w:space="0" w:color="auto"/>
        <w:right w:val="none" w:sz="0" w:space="0" w:color="auto"/>
      </w:divBdr>
    </w:div>
    <w:div w:id="1199591387">
      <w:bodyDiv w:val="1"/>
      <w:marLeft w:val="0"/>
      <w:marRight w:val="0"/>
      <w:marTop w:val="0"/>
      <w:marBottom w:val="0"/>
      <w:divBdr>
        <w:top w:val="none" w:sz="0" w:space="0" w:color="auto"/>
        <w:left w:val="none" w:sz="0" w:space="0" w:color="auto"/>
        <w:bottom w:val="none" w:sz="0" w:space="0" w:color="auto"/>
        <w:right w:val="none" w:sz="0" w:space="0" w:color="auto"/>
      </w:divBdr>
    </w:div>
    <w:div w:id="1212841661">
      <w:bodyDiv w:val="1"/>
      <w:marLeft w:val="0"/>
      <w:marRight w:val="0"/>
      <w:marTop w:val="0"/>
      <w:marBottom w:val="0"/>
      <w:divBdr>
        <w:top w:val="none" w:sz="0" w:space="0" w:color="auto"/>
        <w:left w:val="none" w:sz="0" w:space="0" w:color="auto"/>
        <w:bottom w:val="none" w:sz="0" w:space="0" w:color="auto"/>
        <w:right w:val="none" w:sz="0" w:space="0" w:color="auto"/>
      </w:divBdr>
    </w:div>
    <w:div w:id="1254164636">
      <w:bodyDiv w:val="1"/>
      <w:marLeft w:val="0"/>
      <w:marRight w:val="0"/>
      <w:marTop w:val="0"/>
      <w:marBottom w:val="0"/>
      <w:divBdr>
        <w:top w:val="none" w:sz="0" w:space="0" w:color="auto"/>
        <w:left w:val="none" w:sz="0" w:space="0" w:color="auto"/>
        <w:bottom w:val="none" w:sz="0" w:space="0" w:color="auto"/>
        <w:right w:val="none" w:sz="0" w:space="0" w:color="auto"/>
      </w:divBdr>
    </w:div>
    <w:div w:id="1257788617">
      <w:bodyDiv w:val="1"/>
      <w:marLeft w:val="0"/>
      <w:marRight w:val="0"/>
      <w:marTop w:val="0"/>
      <w:marBottom w:val="0"/>
      <w:divBdr>
        <w:top w:val="none" w:sz="0" w:space="0" w:color="auto"/>
        <w:left w:val="none" w:sz="0" w:space="0" w:color="auto"/>
        <w:bottom w:val="none" w:sz="0" w:space="0" w:color="auto"/>
        <w:right w:val="none" w:sz="0" w:space="0" w:color="auto"/>
      </w:divBdr>
    </w:div>
    <w:div w:id="1335262326">
      <w:bodyDiv w:val="1"/>
      <w:marLeft w:val="0"/>
      <w:marRight w:val="0"/>
      <w:marTop w:val="0"/>
      <w:marBottom w:val="0"/>
      <w:divBdr>
        <w:top w:val="none" w:sz="0" w:space="0" w:color="auto"/>
        <w:left w:val="none" w:sz="0" w:space="0" w:color="auto"/>
        <w:bottom w:val="none" w:sz="0" w:space="0" w:color="auto"/>
        <w:right w:val="none" w:sz="0" w:space="0" w:color="auto"/>
      </w:divBdr>
    </w:div>
    <w:div w:id="1383022842">
      <w:bodyDiv w:val="1"/>
      <w:marLeft w:val="0"/>
      <w:marRight w:val="0"/>
      <w:marTop w:val="0"/>
      <w:marBottom w:val="0"/>
      <w:divBdr>
        <w:top w:val="none" w:sz="0" w:space="0" w:color="auto"/>
        <w:left w:val="none" w:sz="0" w:space="0" w:color="auto"/>
        <w:bottom w:val="none" w:sz="0" w:space="0" w:color="auto"/>
        <w:right w:val="none" w:sz="0" w:space="0" w:color="auto"/>
      </w:divBdr>
    </w:div>
    <w:div w:id="1384793119">
      <w:bodyDiv w:val="1"/>
      <w:marLeft w:val="0"/>
      <w:marRight w:val="0"/>
      <w:marTop w:val="0"/>
      <w:marBottom w:val="0"/>
      <w:divBdr>
        <w:top w:val="none" w:sz="0" w:space="0" w:color="auto"/>
        <w:left w:val="none" w:sz="0" w:space="0" w:color="auto"/>
        <w:bottom w:val="none" w:sz="0" w:space="0" w:color="auto"/>
        <w:right w:val="none" w:sz="0" w:space="0" w:color="auto"/>
      </w:divBdr>
    </w:div>
    <w:div w:id="1449229859">
      <w:bodyDiv w:val="1"/>
      <w:marLeft w:val="0"/>
      <w:marRight w:val="0"/>
      <w:marTop w:val="0"/>
      <w:marBottom w:val="0"/>
      <w:divBdr>
        <w:top w:val="none" w:sz="0" w:space="0" w:color="auto"/>
        <w:left w:val="none" w:sz="0" w:space="0" w:color="auto"/>
        <w:bottom w:val="none" w:sz="0" w:space="0" w:color="auto"/>
        <w:right w:val="none" w:sz="0" w:space="0" w:color="auto"/>
      </w:divBdr>
    </w:div>
    <w:div w:id="1475368822">
      <w:bodyDiv w:val="1"/>
      <w:marLeft w:val="0"/>
      <w:marRight w:val="0"/>
      <w:marTop w:val="0"/>
      <w:marBottom w:val="0"/>
      <w:divBdr>
        <w:top w:val="none" w:sz="0" w:space="0" w:color="auto"/>
        <w:left w:val="none" w:sz="0" w:space="0" w:color="auto"/>
        <w:bottom w:val="none" w:sz="0" w:space="0" w:color="auto"/>
        <w:right w:val="none" w:sz="0" w:space="0" w:color="auto"/>
      </w:divBdr>
    </w:div>
    <w:div w:id="1545557794">
      <w:bodyDiv w:val="1"/>
      <w:marLeft w:val="0"/>
      <w:marRight w:val="0"/>
      <w:marTop w:val="0"/>
      <w:marBottom w:val="0"/>
      <w:divBdr>
        <w:top w:val="none" w:sz="0" w:space="0" w:color="auto"/>
        <w:left w:val="none" w:sz="0" w:space="0" w:color="auto"/>
        <w:bottom w:val="none" w:sz="0" w:space="0" w:color="auto"/>
        <w:right w:val="none" w:sz="0" w:space="0" w:color="auto"/>
      </w:divBdr>
    </w:div>
    <w:div w:id="1571889391">
      <w:bodyDiv w:val="1"/>
      <w:marLeft w:val="0"/>
      <w:marRight w:val="0"/>
      <w:marTop w:val="0"/>
      <w:marBottom w:val="0"/>
      <w:divBdr>
        <w:top w:val="none" w:sz="0" w:space="0" w:color="auto"/>
        <w:left w:val="none" w:sz="0" w:space="0" w:color="auto"/>
        <w:bottom w:val="none" w:sz="0" w:space="0" w:color="auto"/>
        <w:right w:val="none" w:sz="0" w:space="0" w:color="auto"/>
      </w:divBdr>
    </w:div>
    <w:div w:id="1573851080">
      <w:bodyDiv w:val="1"/>
      <w:marLeft w:val="0"/>
      <w:marRight w:val="0"/>
      <w:marTop w:val="0"/>
      <w:marBottom w:val="0"/>
      <w:divBdr>
        <w:top w:val="none" w:sz="0" w:space="0" w:color="auto"/>
        <w:left w:val="none" w:sz="0" w:space="0" w:color="auto"/>
        <w:bottom w:val="none" w:sz="0" w:space="0" w:color="auto"/>
        <w:right w:val="none" w:sz="0" w:space="0" w:color="auto"/>
      </w:divBdr>
    </w:div>
    <w:div w:id="1605336720">
      <w:bodyDiv w:val="1"/>
      <w:marLeft w:val="0"/>
      <w:marRight w:val="0"/>
      <w:marTop w:val="0"/>
      <w:marBottom w:val="0"/>
      <w:divBdr>
        <w:top w:val="none" w:sz="0" w:space="0" w:color="auto"/>
        <w:left w:val="none" w:sz="0" w:space="0" w:color="auto"/>
        <w:bottom w:val="none" w:sz="0" w:space="0" w:color="auto"/>
        <w:right w:val="none" w:sz="0" w:space="0" w:color="auto"/>
      </w:divBdr>
    </w:div>
    <w:div w:id="1607729589">
      <w:bodyDiv w:val="1"/>
      <w:marLeft w:val="0"/>
      <w:marRight w:val="0"/>
      <w:marTop w:val="0"/>
      <w:marBottom w:val="0"/>
      <w:divBdr>
        <w:top w:val="none" w:sz="0" w:space="0" w:color="auto"/>
        <w:left w:val="none" w:sz="0" w:space="0" w:color="auto"/>
        <w:bottom w:val="none" w:sz="0" w:space="0" w:color="auto"/>
        <w:right w:val="none" w:sz="0" w:space="0" w:color="auto"/>
      </w:divBdr>
    </w:div>
    <w:div w:id="1612124343">
      <w:bodyDiv w:val="1"/>
      <w:marLeft w:val="0"/>
      <w:marRight w:val="0"/>
      <w:marTop w:val="0"/>
      <w:marBottom w:val="0"/>
      <w:divBdr>
        <w:top w:val="none" w:sz="0" w:space="0" w:color="auto"/>
        <w:left w:val="none" w:sz="0" w:space="0" w:color="auto"/>
        <w:bottom w:val="none" w:sz="0" w:space="0" w:color="auto"/>
        <w:right w:val="none" w:sz="0" w:space="0" w:color="auto"/>
      </w:divBdr>
    </w:div>
    <w:div w:id="1633055878">
      <w:bodyDiv w:val="1"/>
      <w:marLeft w:val="0"/>
      <w:marRight w:val="0"/>
      <w:marTop w:val="0"/>
      <w:marBottom w:val="0"/>
      <w:divBdr>
        <w:top w:val="none" w:sz="0" w:space="0" w:color="auto"/>
        <w:left w:val="none" w:sz="0" w:space="0" w:color="auto"/>
        <w:bottom w:val="none" w:sz="0" w:space="0" w:color="auto"/>
        <w:right w:val="none" w:sz="0" w:space="0" w:color="auto"/>
      </w:divBdr>
    </w:div>
    <w:div w:id="1678001994">
      <w:bodyDiv w:val="1"/>
      <w:marLeft w:val="0"/>
      <w:marRight w:val="0"/>
      <w:marTop w:val="0"/>
      <w:marBottom w:val="0"/>
      <w:divBdr>
        <w:top w:val="none" w:sz="0" w:space="0" w:color="auto"/>
        <w:left w:val="none" w:sz="0" w:space="0" w:color="auto"/>
        <w:bottom w:val="none" w:sz="0" w:space="0" w:color="auto"/>
        <w:right w:val="none" w:sz="0" w:space="0" w:color="auto"/>
      </w:divBdr>
    </w:div>
    <w:div w:id="1768765186">
      <w:bodyDiv w:val="1"/>
      <w:marLeft w:val="0"/>
      <w:marRight w:val="0"/>
      <w:marTop w:val="0"/>
      <w:marBottom w:val="0"/>
      <w:divBdr>
        <w:top w:val="none" w:sz="0" w:space="0" w:color="auto"/>
        <w:left w:val="none" w:sz="0" w:space="0" w:color="auto"/>
        <w:bottom w:val="none" w:sz="0" w:space="0" w:color="auto"/>
        <w:right w:val="none" w:sz="0" w:space="0" w:color="auto"/>
      </w:divBdr>
    </w:div>
    <w:div w:id="1800486585">
      <w:bodyDiv w:val="1"/>
      <w:marLeft w:val="0"/>
      <w:marRight w:val="0"/>
      <w:marTop w:val="0"/>
      <w:marBottom w:val="0"/>
      <w:divBdr>
        <w:top w:val="none" w:sz="0" w:space="0" w:color="auto"/>
        <w:left w:val="none" w:sz="0" w:space="0" w:color="auto"/>
        <w:bottom w:val="none" w:sz="0" w:space="0" w:color="auto"/>
        <w:right w:val="none" w:sz="0" w:space="0" w:color="auto"/>
      </w:divBdr>
    </w:div>
    <w:div w:id="1853910102">
      <w:bodyDiv w:val="1"/>
      <w:marLeft w:val="0"/>
      <w:marRight w:val="0"/>
      <w:marTop w:val="0"/>
      <w:marBottom w:val="0"/>
      <w:divBdr>
        <w:top w:val="none" w:sz="0" w:space="0" w:color="auto"/>
        <w:left w:val="none" w:sz="0" w:space="0" w:color="auto"/>
        <w:bottom w:val="none" w:sz="0" w:space="0" w:color="auto"/>
        <w:right w:val="none" w:sz="0" w:space="0" w:color="auto"/>
      </w:divBdr>
    </w:div>
    <w:div w:id="1874924180">
      <w:bodyDiv w:val="1"/>
      <w:marLeft w:val="0"/>
      <w:marRight w:val="0"/>
      <w:marTop w:val="0"/>
      <w:marBottom w:val="0"/>
      <w:divBdr>
        <w:top w:val="none" w:sz="0" w:space="0" w:color="auto"/>
        <w:left w:val="none" w:sz="0" w:space="0" w:color="auto"/>
        <w:bottom w:val="none" w:sz="0" w:space="0" w:color="auto"/>
        <w:right w:val="none" w:sz="0" w:space="0" w:color="auto"/>
      </w:divBdr>
    </w:div>
    <w:div w:id="1904490563">
      <w:bodyDiv w:val="1"/>
      <w:marLeft w:val="0"/>
      <w:marRight w:val="0"/>
      <w:marTop w:val="0"/>
      <w:marBottom w:val="0"/>
      <w:divBdr>
        <w:top w:val="none" w:sz="0" w:space="0" w:color="auto"/>
        <w:left w:val="none" w:sz="0" w:space="0" w:color="auto"/>
        <w:bottom w:val="none" w:sz="0" w:space="0" w:color="auto"/>
        <w:right w:val="none" w:sz="0" w:space="0" w:color="auto"/>
      </w:divBdr>
    </w:div>
    <w:div w:id="1990211481">
      <w:bodyDiv w:val="1"/>
      <w:marLeft w:val="0"/>
      <w:marRight w:val="0"/>
      <w:marTop w:val="0"/>
      <w:marBottom w:val="0"/>
      <w:divBdr>
        <w:top w:val="none" w:sz="0" w:space="0" w:color="auto"/>
        <w:left w:val="none" w:sz="0" w:space="0" w:color="auto"/>
        <w:bottom w:val="none" w:sz="0" w:space="0" w:color="auto"/>
        <w:right w:val="none" w:sz="0" w:space="0" w:color="auto"/>
      </w:divBdr>
    </w:div>
    <w:div w:id="2001421969">
      <w:bodyDiv w:val="1"/>
      <w:marLeft w:val="0"/>
      <w:marRight w:val="0"/>
      <w:marTop w:val="0"/>
      <w:marBottom w:val="0"/>
      <w:divBdr>
        <w:top w:val="none" w:sz="0" w:space="0" w:color="auto"/>
        <w:left w:val="none" w:sz="0" w:space="0" w:color="auto"/>
        <w:bottom w:val="none" w:sz="0" w:space="0" w:color="auto"/>
        <w:right w:val="none" w:sz="0" w:space="0" w:color="auto"/>
      </w:divBdr>
    </w:div>
    <w:div w:id="2004356789">
      <w:bodyDiv w:val="1"/>
      <w:marLeft w:val="0"/>
      <w:marRight w:val="0"/>
      <w:marTop w:val="0"/>
      <w:marBottom w:val="0"/>
      <w:divBdr>
        <w:top w:val="none" w:sz="0" w:space="0" w:color="auto"/>
        <w:left w:val="none" w:sz="0" w:space="0" w:color="auto"/>
        <w:bottom w:val="none" w:sz="0" w:space="0" w:color="auto"/>
        <w:right w:val="none" w:sz="0" w:space="0" w:color="auto"/>
      </w:divBdr>
    </w:div>
    <w:div w:id="2026863504">
      <w:bodyDiv w:val="1"/>
      <w:marLeft w:val="0"/>
      <w:marRight w:val="0"/>
      <w:marTop w:val="0"/>
      <w:marBottom w:val="0"/>
      <w:divBdr>
        <w:top w:val="none" w:sz="0" w:space="0" w:color="auto"/>
        <w:left w:val="none" w:sz="0" w:space="0" w:color="auto"/>
        <w:bottom w:val="none" w:sz="0" w:space="0" w:color="auto"/>
        <w:right w:val="none" w:sz="0" w:space="0" w:color="auto"/>
      </w:divBdr>
    </w:div>
    <w:div w:id="213702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6.xml"/><Relationship Id="rId299" Type="http://schemas.openxmlformats.org/officeDocument/2006/relationships/footer" Target="footer56.xml"/><Relationship Id="rId303" Type="http://schemas.openxmlformats.org/officeDocument/2006/relationships/theme" Target="theme/theme1.xml"/><Relationship Id="rId21" Type="http://schemas.openxmlformats.org/officeDocument/2006/relationships/footer" Target="footer4.xml"/><Relationship Id="rId42" Type="http://schemas.openxmlformats.org/officeDocument/2006/relationships/hyperlink" Target="http://ec.europa.eu/newsroom/document.cfm?doc_id=47559" TargetMode="External"/><Relationship Id="rId63" Type="http://schemas.openxmlformats.org/officeDocument/2006/relationships/hyperlink" Target="https://data.europa.eu/doi/10.2799/13397" TargetMode="External"/><Relationship Id="rId84" Type="http://schemas.openxmlformats.org/officeDocument/2006/relationships/hyperlink" Target="https://data.europa.eu/doi/10.2799/13397" TargetMode="External"/><Relationship Id="rId138" Type="http://schemas.openxmlformats.org/officeDocument/2006/relationships/footer" Target="footer22.xml"/><Relationship Id="rId159" Type="http://schemas.openxmlformats.org/officeDocument/2006/relationships/hyperlink" Target="https://data.europa.eu/doi/10.2799/13397" TargetMode="External"/><Relationship Id="rId170" Type="http://schemas.openxmlformats.org/officeDocument/2006/relationships/chart" Target="charts/chart37.xml"/><Relationship Id="rId191" Type="http://schemas.openxmlformats.org/officeDocument/2006/relationships/chart" Target="charts/chart47.xml"/><Relationship Id="rId205" Type="http://schemas.openxmlformats.org/officeDocument/2006/relationships/chart" Target="charts/chart54.xml"/><Relationship Id="rId226" Type="http://schemas.openxmlformats.org/officeDocument/2006/relationships/header" Target="header35.xml"/><Relationship Id="rId247" Type="http://schemas.openxmlformats.org/officeDocument/2006/relationships/footer" Target="footer42.xml"/><Relationship Id="rId107" Type="http://schemas.openxmlformats.org/officeDocument/2006/relationships/hyperlink" Target="https://data.europa.eu/doi/10.2799/13397" TargetMode="External"/><Relationship Id="rId268" Type="http://schemas.openxmlformats.org/officeDocument/2006/relationships/footer" Target="footer47.xml"/><Relationship Id="rId289" Type="http://schemas.openxmlformats.org/officeDocument/2006/relationships/footer" Target="footer52.xml"/><Relationship Id="rId11" Type="http://schemas.openxmlformats.org/officeDocument/2006/relationships/endnotes" Target="endnotes.xml"/><Relationship Id="rId32" Type="http://schemas.openxmlformats.org/officeDocument/2006/relationships/footer" Target="footer7.xml"/><Relationship Id="rId53" Type="http://schemas.openxmlformats.org/officeDocument/2006/relationships/header" Target="header13.xml"/><Relationship Id="rId74" Type="http://schemas.openxmlformats.org/officeDocument/2006/relationships/hyperlink" Target="https://data.europa.eu/doi/10.2799/13397" TargetMode="External"/><Relationship Id="rId128" Type="http://schemas.openxmlformats.org/officeDocument/2006/relationships/footer" Target="footer18.xml"/><Relationship Id="rId149" Type="http://schemas.openxmlformats.org/officeDocument/2006/relationships/hyperlink" Target="https://data.europa.eu/doi/10.2799/13397" TargetMode="External"/><Relationship Id="rId5" Type="http://schemas.openxmlformats.org/officeDocument/2006/relationships/numbering" Target="numbering.xml"/><Relationship Id="rId95" Type="http://schemas.openxmlformats.org/officeDocument/2006/relationships/chart" Target="charts/chart16.xml"/><Relationship Id="rId160" Type="http://schemas.openxmlformats.org/officeDocument/2006/relationships/image" Target="media/image8.png"/><Relationship Id="rId181" Type="http://schemas.openxmlformats.org/officeDocument/2006/relationships/chart" Target="charts/chart42.xml"/><Relationship Id="rId216" Type="http://schemas.openxmlformats.org/officeDocument/2006/relationships/footer" Target="footer30.xml"/><Relationship Id="rId237" Type="http://schemas.openxmlformats.org/officeDocument/2006/relationships/hyperlink" Target="https://data.europa.eu/doi/10.2799/13397" TargetMode="External"/><Relationship Id="rId258" Type="http://schemas.openxmlformats.org/officeDocument/2006/relationships/header" Target="header43.xml"/><Relationship Id="rId279" Type="http://schemas.openxmlformats.org/officeDocument/2006/relationships/footer" Target="footer50.xml"/><Relationship Id="rId22" Type="http://schemas.openxmlformats.org/officeDocument/2006/relationships/footer" Target="footer5.xml"/><Relationship Id="rId43" Type="http://schemas.openxmlformats.org/officeDocument/2006/relationships/hyperlink" Target="http://data.europa.eu/eli/reg/2013/1316/oj" TargetMode="External"/><Relationship Id="rId64" Type="http://schemas.openxmlformats.org/officeDocument/2006/relationships/chart" Target="charts/chart2.xml"/><Relationship Id="rId118" Type="http://schemas.openxmlformats.org/officeDocument/2006/relationships/hyperlink" Target="https://data.europa.eu/doi/10.2799/13397" TargetMode="External"/><Relationship Id="rId139" Type="http://schemas.openxmlformats.org/officeDocument/2006/relationships/footer" Target="footer23.xml"/><Relationship Id="rId290" Type="http://schemas.openxmlformats.org/officeDocument/2006/relationships/footer" Target="footer53.xml"/><Relationship Id="rId85" Type="http://schemas.openxmlformats.org/officeDocument/2006/relationships/hyperlink" Target="https://data.europa.eu/doi/10.2799/13397" TargetMode="External"/><Relationship Id="rId150" Type="http://schemas.openxmlformats.org/officeDocument/2006/relationships/header" Target="header25.xml"/><Relationship Id="rId171" Type="http://schemas.openxmlformats.org/officeDocument/2006/relationships/hyperlink" Target="https://data.europa.eu/doi/10.2799/13397" TargetMode="External"/><Relationship Id="rId192" Type="http://schemas.openxmlformats.org/officeDocument/2006/relationships/hyperlink" Target="https://data.europa.eu/doi/10.2799/13397" TargetMode="External"/><Relationship Id="rId206" Type="http://schemas.openxmlformats.org/officeDocument/2006/relationships/hyperlink" Target="https://data.europa.eu/doi/10.2799/13397" TargetMode="External"/><Relationship Id="rId227" Type="http://schemas.openxmlformats.org/officeDocument/2006/relationships/footer" Target="footer34.xml"/><Relationship Id="rId248" Type="http://schemas.openxmlformats.org/officeDocument/2006/relationships/hyperlink" Target="https://ec.europa.eu/inea/sites/inea/files/dsi_fiche_eprocurement.pdf" TargetMode="External"/><Relationship Id="rId269" Type="http://schemas.openxmlformats.org/officeDocument/2006/relationships/header" Target="header48.xml"/><Relationship Id="rId12" Type="http://schemas.openxmlformats.org/officeDocument/2006/relationships/image" Target="media/image1.emf"/><Relationship Id="rId33" Type="http://schemas.openxmlformats.org/officeDocument/2006/relationships/footer" Target="footer8.xml"/><Relationship Id="rId108" Type="http://schemas.openxmlformats.org/officeDocument/2006/relationships/chart" Target="charts/chart22.xml"/><Relationship Id="rId129" Type="http://schemas.openxmlformats.org/officeDocument/2006/relationships/header" Target="header19.xml"/><Relationship Id="rId280" Type="http://schemas.openxmlformats.org/officeDocument/2006/relationships/header" Target="header51.xml"/><Relationship Id="rId54" Type="http://schemas.openxmlformats.org/officeDocument/2006/relationships/header" Target="header14.xml"/><Relationship Id="rId75" Type="http://schemas.openxmlformats.org/officeDocument/2006/relationships/chart" Target="charts/chart7.xml"/><Relationship Id="rId96" Type="http://schemas.openxmlformats.org/officeDocument/2006/relationships/hyperlink" Target="https://data.europa.eu/doi/10.2799/13397" TargetMode="External"/><Relationship Id="rId140" Type="http://schemas.openxmlformats.org/officeDocument/2006/relationships/header" Target="header24.xml"/><Relationship Id="rId161" Type="http://schemas.openxmlformats.org/officeDocument/2006/relationships/hyperlink" Target="https://data.europa.eu/doi/10.2799/13397" TargetMode="External"/><Relationship Id="rId182" Type="http://schemas.openxmlformats.org/officeDocument/2006/relationships/hyperlink" Target="https://data.europa.eu/doi/10.2799/13397" TargetMode="External"/><Relationship Id="rId217" Type="http://schemas.openxmlformats.org/officeDocument/2006/relationships/hyperlink" Target="https://data.europa.eu/doi/10.2799/13397" TargetMode="External"/><Relationship Id="rId6" Type="http://schemas.openxmlformats.org/officeDocument/2006/relationships/styles" Target="styles.xml"/><Relationship Id="rId238" Type="http://schemas.openxmlformats.org/officeDocument/2006/relationships/hyperlink" Target="https://ec.europa.eu/isa2/dashboard/node/92618" TargetMode="External"/><Relationship Id="rId259" Type="http://schemas.openxmlformats.org/officeDocument/2006/relationships/header" Target="header44.xml"/><Relationship Id="rId23" Type="http://schemas.openxmlformats.org/officeDocument/2006/relationships/header" Target="header6.xml"/><Relationship Id="rId119" Type="http://schemas.openxmlformats.org/officeDocument/2006/relationships/chart" Target="charts/chart27.xml"/><Relationship Id="rId270" Type="http://schemas.openxmlformats.org/officeDocument/2006/relationships/footer" Target="footer48.xml"/><Relationship Id="rId291" Type="http://schemas.openxmlformats.org/officeDocument/2006/relationships/header" Target="header54.xml"/><Relationship Id="rId44" Type="http://schemas.openxmlformats.org/officeDocument/2006/relationships/hyperlink" Target="http://data.europa.eu/eli/reg/2018/1724/oj" TargetMode="External"/><Relationship Id="rId65" Type="http://schemas.openxmlformats.org/officeDocument/2006/relationships/hyperlink" Target="https://data.europa.eu/doi/10.2799/13397" TargetMode="External"/><Relationship Id="rId86" Type="http://schemas.openxmlformats.org/officeDocument/2006/relationships/chart" Target="charts/chart11.xml"/><Relationship Id="rId130" Type="http://schemas.openxmlformats.org/officeDocument/2006/relationships/header" Target="header20.xml"/><Relationship Id="rId151" Type="http://schemas.openxmlformats.org/officeDocument/2006/relationships/header" Target="header26.xml"/><Relationship Id="rId172" Type="http://schemas.openxmlformats.org/officeDocument/2006/relationships/chart" Target="charts/chart38.xml"/><Relationship Id="rId193" Type="http://schemas.openxmlformats.org/officeDocument/2006/relationships/chart" Target="charts/chart48.xml"/><Relationship Id="rId207" Type="http://schemas.openxmlformats.org/officeDocument/2006/relationships/chart" Target="charts/chart55.xml"/><Relationship Id="rId228" Type="http://schemas.openxmlformats.org/officeDocument/2006/relationships/footer" Target="footer35.xml"/><Relationship Id="rId249" Type="http://schemas.openxmlformats.org/officeDocument/2006/relationships/hyperlink" Target="https://data.europa.eu/doi/10.2799/13397" TargetMode="External"/><Relationship Id="rId13" Type="http://schemas.openxmlformats.org/officeDocument/2006/relationships/header" Target="header1.xml"/><Relationship Id="rId109" Type="http://schemas.openxmlformats.org/officeDocument/2006/relationships/hyperlink" Target="https://data.europa.eu/doi/10.2799/13397" TargetMode="External"/><Relationship Id="rId260" Type="http://schemas.openxmlformats.org/officeDocument/2006/relationships/footer" Target="footer43.xml"/><Relationship Id="rId281" Type="http://schemas.openxmlformats.org/officeDocument/2006/relationships/footer" Target="footer51.xml"/><Relationship Id="rId34" Type="http://schemas.openxmlformats.org/officeDocument/2006/relationships/header" Target="header9.xml"/><Relationship Id="rId55" Type="http://schemas.openxmlformats.org/officeDocument/2006/relationships/footer" Target="footer13.xml"/><Relationship Id="rId76" Type="http://schemas.openxmlformats.org/officeDocument/2006/relationships/hyperlink" Target="https://data.europa.eu/doi/10.2799/13397" TargetMode="External"/><Relationship Id="rId97" Type="http://schemas.openxmlformats.org/officeDocument/2006/relationships/chart" Target="charts/chart17.xml"/><Relationship Id="rId120" Type="http://schemas.openxmlformats.org/officeDocument/2006/relationships/hyperlink" Target="https://data.europa.eu/doi/10.2799/13397" TargetMode="External"/><Relationship Id="rId141" Type="http://schemas.openxmlformats.org/officeDocument/2006/relationships/footer" Target="footer24.xml"/><Relationship Id="rId7" Type="http://schemas.microsoft.com/office/2007/relationships/stylesWithEffects" Target="stylesWithEffects.xml"/><Relationship Id="rId162" Type="http://schemas.openxmlformats.org/officeDocument/2006/relationships/chart" Target="charts/chart33.xml"/><Relationship Id="rId183" Type="http://schemas.openxmlformats.org/officeDocument/2006/relationships/chart" Target="charts/chart43.xml"/><Relationship Id="rId218" Type="http://schemas.openxmlformats.org/officeDocument/2006/relationships/header" Target="header31.xml"/><Relationship Id="rId239" Type="http://schemas.openxmlformats.org/officeDocument/2006/relationships/hyperlink" Target="https://ec.europa.eu/isa2/dashboard/node/45312" TargetMode="External"/><Relationship Id="rId2" Type="http://schemas.openxmlformats.org/officeDocument/2006/relationships/customXml" Target="../customXml/item2.xml"/><Relationship Id="rId29" Type="http://schemas.openxmlformats.org/officeDocument/2006/relationships/hyperlink" Target="https://ec.europa.eu/isa2/isa2_en" TargetMode="External"/><Relationship Id="rId250" Type="http://schemas.openxmlformats.org/officeDocument/2006/relationships/hyperlink" Target="https://ec.europa.eu/isa2/solutions_en" TargetMode="External"/><Relationship Id="rId255" Type="http://schemas.openxmlformats.org/officeDocument/2006/relationships/hyperlink" Target="https://data.europa.eu/doi/10.2799/13397" TargetMode="External"/><Relationship Id="rId271" Type="http://schemas.openxmlformats.org/officeDocument/2006/relationships/hyperlink" Target="https://data.europa.eu/doi/10.2799/13397" TargetMode="External"/><Relationship Id="rId276" Type="http://schemas.openxmlformats.org/officeDocument/2006/relationships/header" Target="header49.xml"/><Relationship Id="rId292" Type="http://schemas.openxmlformats.org/officeDocument/2006/relationships/footer" Target="footer54.xml"/><Relationship Id="rId297" Type="http://schemas.openxmlformats.org/officeDocument/2006/relationships/header" Target="header56.xml"/><Relationship Id="rId24" Type="http://schemas.openxmlformats.org/officeDocument/2006/relationships/footer" Target="footer6.xml"/><Relationship Id="rId40" Type="http://schemas.openxmlformats.org/officeDocument/2006/relationships/hyperlink" Target="https://eur-lex.europa.eu/legal-content/EN/TXT/?uri=CELEX:52015DC0192" TargetMode="External"/><Relationship Id="rId45" Type="http://schemas.openxmlformats.org/officeDocument/2006/relationships/hyperlink" Target="http://data.europa.eu/eli/reg/2017/825/oj" TargetMode="External"/><Relationship Id="rId66" Type="http://schemas.openxmlformats.org/officeDocument/2006/relationships/chart" Target="charts/chart3.xml"/><Relationship Id="rId87" Type="http://schemas.openxmlformats.org/officeDocument/2006/relationships/hyperlink" Target="https://data.europa.eu/doi/10.2799/13397" TargetMode="External"/><Relationship Id="rId110" Type="http://schemas.openxmlformats.org/officeDocument/2006/relationships/chart" Target="charts/chart23.xml"/><Relationship Id="rId115" Type="http://schemas.openxmlformats.org/officeDocument/2006/relationships/chart" Target="charts/chart25.xml"/><Relationship Id="rId131" Type="http://schemas.openxmlformats.org/officeDocument/2006/relationships/footer" Target="footer19.xml"/><Relationship Id="rId136" Type="http://schemas.openxmlformats.org/officeDocument/2006/relationships/header" Target="header22.xml"/><Relationship Id="rId157" Type="http://schemas.openxmlformats.org/officeDocument/2006/relationships/hyperlink" Target="https://data.europa.eu/doi/10.2799/13397" TargetMode="External"/><Relationship Id="rId178" Type="http://schemas.openxmlformats.org/officeDocument/2006/relationships/chart" Target="charts/chart40.xml"/><Relationship Id="rId301" Type="http://schemas.openxmlformats.org/officeDocument/2006/relationships/footer" Target="footer57.xml"/><Relationship Id="rId61" Type="http://schemas.openxmlformats.org/officeDocument/2006/relationships/hyperlink" Target="https://ec.europa.eu/isa2/sites/isa/files/consultation_strategy_isa2_interim_evaluation.pdf" TargetMode="External"/><Relationship Id="rId82" Type="http://schemas.openxmlformats.org/officeDocument/2006/relationships/chart" Target="charts/chart10.xml"/><Relationship Id="rId152" Type="http://schemas.openxmlformats.org/officeDocument/2006/relationships/footer" Target="footer25.xml"/><Relationship Id="rId173" Type="http://schemas.openxmlformats.org/officeDocument/2006/relationships/hyperlink" Target="https://data.europa.eu/doi/10.2799/13397" TargetMode="External"/><Relationship Id="rId194" Type="http://schemas.openxmlformats.org/officeDocument/2006/relationships/hyperlink" Target="https://data.europa.eu/doi/10.2799/13397" TargetMode="External"/><Relationship Id="rId199" Type="http://schemas.openxmlformats.org/officeDocument/2006/relationships/chart" Target="charts/chart51.xml"/><Relationship Id="rId203" Type="http://schemas.openxmlformats.org/officeDocument/2006/relationships/chart" Target="charts/chart53.xml"/><Relationship Id="rId208" Type="http://schemas.openxmlformats.org/officeDocument/2006/relationships/hyperlink" Target="https://data.europa.eu/doi/10.2799/13397" TargetMode="External"/><Relationship Id="rId229" Type="http://schemas.openxmlformats.org/officeDocument/2006/relationships/header" Target="header36.xml"/><Relationship Id="rId19" Type="http://schemas.openxmlformats.org/officeDocument/2006/relationships/header" Target="header4.xml"/><Relationship Id="rId224" Type="http://schemas.openxmlformats.org/officeDocument/2006/relationships/hyperlink" Target="https://data.europa.eu/doi/10.2799/13397" TargetMode="External"/><Relationship Id="rId240" Type="http://schemas.openxmlformats.org/officeDocument/2006/relationships/hyperlink" Target="https://ec.europa.eu/isa2/dashboard/node/645" TargetMode="External"/><Relationship Id="rId245" Type="http://schemas.openxmlformats.org/officeDocument/2006/relationships/footer" Target="footer41.xml"/><Relationship Id="rId261" Type="http://schemas.openxmlformats.org/officeDocument/2006/relationships/footer" Target="footer44.xml"/><Relationship Id="rId266" Type="http://schemas.openxmlformats.org/officeDocument/2006/relationships/header" Target="header47.xml"/><Relationship Id="rId287" Type="http://schemas.openxmlformats.org/officeDocument/2006/relationships/header" Target="header52.xml"/><Relationship Id="rId14" Type="http://schemas.openxmlformats.org/officeDocument/2006/relationships/header" Target="header2.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footer" Target="footer14.xml"/><Relationship Id="rId77" Type="http://schemas.openxmlformats.org/officeDocument/2006/relationships/chart" Target="charts/chart8.xml"/><Relationship Id="rId100" Type="http://schemas.openxmlformats.org/officeDocument/2006/relationships/hyperlink" Target="https://data.europa.eu/doi/10.2799/13397" TargetMode="External"/><Relationship Id="rId105" Type="http://schemas.openxmlformats.org/officeDocument/2006/relationships/hyperlink" Target="https://data.europa.eu/doi/10.2799/13397" TargetMode="External"/><Relationship Id="rId126" Type="http://schemas.openxmlformats.org/officeDocument/2006/relationships/footer" Target="footer17.xml"/><Relationship Id="rId147" Type="http://schemas.openxmlformats.org/officeDocument/2006/relationships/hyperlink" Target="https://data.europa.eu/doi/10.2799/13397" TargetMode="External"/><Relationship Id="rId168" Type="http://schemas.openxmlformats.org/officeDocument/2006/relationships/chart" Target="charts/chart36.xml"/><Relationship Id="rId282" Type="http://schemas.openxmlformats.org/officeDocument/2006/relationships/hyperlink" Target="https://data.europa.eu/doi/10.2799/13397" TargetMode="External"/><Relationship Id="rId8" Type="http://schemas.openxmlformats.org/officeDocument/2006/relationships/settings" Target="settings.xml"/><Relationship Id="rId51" Type="http://schemas.openxmlformats.org/officeDocument/2006/relationships/footer" Target="footer12.xml"/><Relationship Id="rId72" Type="http://schemas.openxmlformats.org/officeDocument/2006/relationships/hyperlink" Target="https://data.europa.eu/doi/10.2799/13397" TargetMode="External"/><Relationship Id="rId93" Type="http://schemas.openxmlformats.org/officeDocument/2006/relationships/chart" Target="charts/chart15.xml"/><Relationship Id="rId98" Type="http://schemas.openxmlformats.org/officeDocument/2006/relationships/hyperlink" Target="https://data.europa.eu/doi/10.2799/13397" TargetMode="External"/><Relationship Id="rId121" Type="http://schemas.openxmlformats.org/officeDocument/2006/relationships/chart" Target="charts/chart28.xml"/><Relationship Id="rId142" Type="http://schemas.openxmlformats.org/officeDocument/2006/relationships/hyperlink" Target="https://ec.europa.eu/isa2/sites/isa/files/consultation_strategy_isa2_interim_evaluation.pdf" TargetMode="External"/><Relationship Id="rId163" Type="http://schemas.openxmlformats.org/officeDocument/2006/relationships/hyperlink" Target="https://data.europa.eu/doi/10.2799/13397" TargetMode="External"/><Relationship Id="rId184" Type="http://schemas.openxmlformats.org/officeDocument/2006/relationships/hyperlink" Target="https://data.europa.eu/doi/10.2799/13397" TargetMode="External"/><Relationship Id="rId189" Type="http://schemas.openxmlformats.org/officeDocument/2006/relationships/chart" Target="charts/chart46.xml"/><Relationship Id="rId219" Type="http://schemas.openxmlformats.org/officeDocument/2006/relationships/header" Target="header32.xml"/><Relationship Id="rId3" Type="http://schemas.openxmlformats.org/officeDocument/2006/relationships/customXml" Target="../customXml/item3.xml"/><Relationship Id="rId214" Type="http://schemas.openxmlformats.org/officeDocument/2006/relationships/footer" Target="footer29.xml"/><Relationship Id="rId230" Type="http://schemas.openxmlformats.org/officeDocument/2006/relationships/footer" Target="footer36.xml"/><Relationship Id="rId235" Type="http://schemas.openxmlformats.org/officeDocument/2006/relationships/header" Target="header39.xml"/><Relationship Id="rId251" Type="http://schemas.openxmlformats.org/officeDocument/2006/relationships/hyperlink" Target="https://data.europa.eu/doi/10.2799/13397" TargetMode="External"/><Relationship Id="rId256" Type="http://schemas.openxmlformats.org/officeDocument/2006/relationships/hyperlink" Target="https://data.europa.eu/doi/10.2799/13397" TargetMode="External"/><Relationship Id="rId277" Type="http://schemas.openxmlformats.org/officeDocument/2006/relationships/header" Target="header50.xml"/><Relationship Id="rId298" Type="http://schemas.openxmlformats.org/officeDocument/2006/relationships/footer" Target="footer55.xml"/><Relationship Id="rId25" Type="http://schemas.openxmlformats.org/officeDocument/2006/relationships/hyperlink" Target="http://data.europa.eu/eli/dec/2015/2240/oj" TargetMode="External"/><Relationship Id="rId46" Type="http://schemas.openxmlformats.org/officeDocument/2006/relationships/header" Target="header10.xml"/><Relationship Id="rId67" Type="http://schemas.openxmlformats.org/officeDocument/2006/relationships/hyperlink" Target="https://data.europa.eu/doi/10.2799/13397" TargetMode="External"/><Relationship Id="rId116" Type="http://schemas.openxmlformats.org/officeDocument/2006/relationships/hyperlink" Target="https://data.europa.eu/doi/10.2799/13397" TargetMode="External"/><Relationship Id="rId137" Type="http://schemas.openxmlformats.org/officeDocument/2006/relationships/header" Target="header23.xml"/><Relationship Id="rId158" Type="http://schemas.openxmlformats.org/officeDocument/2006/relationships/image" Target="media/image7.png"/><Relationship Id="rId272" Type="http://schemas.openxmlformats.org/officeDocument/2006/relationships/hyperlink" Target="https://data.europa.eu/doi/10.2799/13397" TargetMode="External"/><Relationship Id="rId293" Type="http://schemas.openxmlformats.org/officeDocument/2006/relationships/hyperlink" Target="https://ec.europa.eu/isa2/dashboard/node/45312" TargetMode="External"/><Relationship Id="rId302"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s://eur-lex.europa.eu/legal-content/EN/TXT/?uri=CELEX:52016DC0179" TargetMode="External"/><Relationship Id="rId62" Type="http://schemas.openxmlformats.org/officeDocument/2006/relationships/chart" Target="charts/chart1.xml"/><Relationship Id="rId83" Type="http://schemas.openxmlformats.org/officeDocument/2006/relationships/hyperlink" Target="https://data.europa.eu/doi/10.2799/13397" TargetMode="External"/><Relationship Id="rId88" Type="http://schemas.openxmlformats.org/officeDocument/2006/relationships/chart" Target="charts/chart12.xml"/><Relationship Id="rId111" Type="http://schemas.openxmlformats.org/officeDocument/2006/relationships/hyperlink" Target="https://data.europa.eu/doi/10.2799/13397" TargetMode="External"/><Relationship Id="rId132" Type="http://schemas.openxmlformats.org/officeDocument/2006/relationships/footer" Target="footer20.xml"/><Relationship Id="rId153" Type="http://schemas.openxmlformats.org/officeDocument/2006/relationships/footer" Target="footer26.xml"/><Relationship Id="rId174" Type="http://schemas.openxmlformats.org/officeDocument/2006/relationships/chart" Target="charts/chart39.xml"/><Relationship Id="rId179" Type="http://schemas.openxmlformats.org/officeDocument/2006/relationships/chart" Target="charts/chart41.xml"/><Relationship Id="rId195" Type="http://schemas.openxmlformats.org/officeDocument/2006/relationships/chart" Target="charts/chart49.xml"/><Relationship Id="rId209" Type="http://schemas.openxmlformats.org/officeDocument/2006/relationships/chart" Target="charts/chart56.xml"/><Relationship Id="rId190" Type="http://schemas.openxmlformats.org/officeDocument/2006/relationships/hyperlink" Target="https://data.europa.eu/doi/10.2799/13397" TargetMode="External"/><Relationship Id="rId204" Type="http://schemas.openxmlformats.org/officeDocument/2006/relationships/hyperlink" Target="https://data.europa.eu/doi/10.2799/13397" TargetMode="External"/><Relationship Id="rId220" Type="http://schemas.openxmlformats.org/officeDocument/2006/relationships/footer" Target="footer31.xml"/><Relationship Id="rId225" Type="http://schemas.openxmlformats.org/officeDocument/2006/relationships/header" Target="header34.xml"/><Relationship Id="rId241" Type="http://schemas.openxmlformats.org/officeDocument/2006/relationships/hyperlink" Target="https://data.europa.eu/doi/10.2799/13397" TargetMode="External"/><Relationship Id="rId246" Type="http://schemas.openxmlformats.org/officeDocument/2006/relationships/header" Target="header42.xml"/><Relationship Id="rId267" Type="http://schemas.openxmlformats.org/officeDocument/2006/relationships/footer" Target="footer46.xml"/><Relationship Id="rId288" Type="http://schemas.openxmlformats.org/officeDocument/2006/relationships/header" Target="header53.xml"/><Relationship Id="rId15" Type="http://schemas.openxmlformats.org/officeDocument/2006/relationships/footer" Target="footer1.xml"/><Relationship Id="rId36" Type="http://schemas.openxmlformats.org/officeDocument/2006/relationships/hyperlink" Target="https://ec.europa.eu/isa2/home_en" TargetMode="External"/><Relationship Id="rId57" Type="http://schemas.openxmlformats.org/officeDocument/2006/relationships/header" Target="header15.xml"/><Relationship Id="rId106" Type="http://schemas.openxmlformats.org/officeDocument/2006/relationships/chart" Target="charts/chart21.xml"/><Relationship Id="rId127" Type="http://schemas.openxmlformats.org/officeDocument/2006/relationships/header" Target="header18.xml"/><Relationship Id="rId262" Type="http://schemas.openxmlformats.org/officeDocument/2006/relationships/header" Target="header45.xml"/><Relationship Id="rId283" Type="http://schemas.openxmlformats.org/officeDocument/2006/relationships/hyperlink" Target="https://data.europa.eu/doi/10.2799/13397" TargetMode="External"/><Relationship Id="rId10" Type="http://schemas.openxmlformats.org/officeDocument/2006/relationships/footnotes" Target="footnotes.xml"/><Relationship Id="rId31" Type="http://schemas.openxmlformats.org/officeDocument/2006/relationships/header" Target="header8.xml"/><Relationship Id="rId52" Type="http://schemas.openxmlformats.org/officeDocument/2006/relationships/image" Target="media/image2.png"/><Relationship Id="rId73" Type="http://schemas.openxmlformats.org/officeDocument/2006/relationships/chart" Target="charts/chart6.xml"/><Relationship Id="rId78" Type="http://schemas.openxmlformats.org/officeDocument/2006/relationships/hyperlink" Target="https://data.europa.eu/doi/10.2799/13397" TargetMode="External"/><Relationship Id="rId94" Type="http://schemas.openxmlformats.org/officeDocument/2006/relationships/hyperlink" Target="https://data.europa.eu/doi/10.2799/13397" TargetMode="External"/><Relationship Id="rId99" Type="http://schemas.openxmlformats.org/officeDocument/2006/relationships/chart" Target="charts/chart18.xml"/><Relationship Id="rId101" Type="http://schemas.openxmlformats.org/officeDocument/2006/relationships/image" Target="media/image5.png"/><Relationship Id="rId122" Type="http://schemas.openxmlformats.org/officeDocument/2006/relationships/hyperlink" Target="https://data.europa.eu/doi/10.2799/13397" TargetMode="External"/><Relationship Id="rId143" Type="http://schemas.openxmlformats.org/officeDocument/2006/relationships/hyperlink" Target="https://data.europa.eu/doi/10.2799/13397" TargetMode="External"/><Relationship Id="rId148" Type="http://schemas.openxmlformats.org/officeDocument/2006/relationships/chart" Target="charts/chart31.xml"/><Relationship Id="rId164" Type="http://schemas.openxmlformats.org/officeDocument/2006/relationships/chart" Target="charts/chart34.xml"/><Relationship Id="rId169" Type="http://schemas.openxmlformats.org/officeDocument/2006/relationships/hyperlink" Target="https://data.europa.eu/doi/10.2799/13397" TargetMode="External"/><Relationship Id="rId185" Type="http://schemas.openxmlformats.org/officeDocument/2006/relationships/chart" Target="charts/chart4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data.europa.eu/doi/10.2799/13397" TargetMode="External"/><Relationship Id="rId210" Type="http://schemas.openxmlformats.org/officeDocument/2006/relationships/hyperlink" Target="https://data.europa.eu/doi/10.2799/13397" TargetMode="External"/><Relationship Id="rId215" Type="http://schemas.openxmlformats.org/officeDocument/2006/relationships/header" Target="header30.xml"/><Relationship Id="rId236" Type="http://schemas.openxmlformats.org/officeDocument/2006/relationships/footer" Target="footer39.xml"/><Relationship Id="rId257" Type="http://schemas.openxmlformats.org/officeDocument/2006/relationships/hyperlink" Target="https://data.europa.eu/doi/10.2799/13397" TargetMode="External"/><Relationship Id="rId278" Type="http://schemas.openxmlformats.org/officeDocument/2006/relationships/footer" Target="footer49.xml"/><Relationship Id="rId26" Type="http://schemas.openxmlformats.org/officeDocument/2006/relationships/hyperlink" Target="https://ec.europa.eu/isa2/actions_en" TargetMode="External"/><Relationship Id="rId231" Type="http://schemas.openxmlformats.org/officeDocument/2006/relationships/header" Target="header37.xml"/><Relationship Id="rId252" Type="http://schemas.openxmlformats.org/officeDocument/2006/relationships/hyperlink" Target="https://ec.europa.eu/isa2/dashboard/node/92618" TargetMode="External"/><Relationship Id="rId273" Type="http://schemas.openxmlformats.org/officeDocument/2006/relationships/hyperlink" Target="https://data.europa.eu/doi/10.2799/13397" TargetMode="External"/><Relationship Id="rId294" Type="http://schemas.openxmlformats.org/officeDocument/2006/relationships/hyperlink" Target="https://ec.europa.eu/isa2/dashboard/node/645" TargetMode="External"/><Relationship Id="rId47" Type="http://schemas.openxmlformats.org/officeDocument/2006/relationships/header" Target="header11.xml"/><Relationship Id="rId68" Type="http://schemas.openxmlformats.org/officeDocument/2006/relationships/chart" Target="charts/chart4.xml"/><Relationship Id="rId89" Type="http://schemas.openxmlformats.org/officeDocument/2006/relationships/chart" Target="charts/chart13.xml"/><Relationship Id="rId112" Type="http://schemas.openxmlformats.org/officeDocument/2006/relationships/chart" Target="charts/chart24.xml"/><Relationship Id="rId133" Type="http://schemas.openxmlformats.org/officeDocument/2006/relationships/header" Target="header21.xml"/><Relationship Id="rId154" Type="http://schemas.openxmlformats.org/officeDocument/2006/relationships/header" Target="header27.xml"/><Relationship Id="rId175" Type="http://schemas.openxmlformats.org/officeDocument/2006/relationships/hyperlink" Target="https://data.europa.eu/doi/10.2799/13397" TargetMode="External"/><Relationship Id="rId196" Type="http://schemas.openxmlformats.org/officeDocument/2006/relationships/hyperlink" Target="https://data.europa.eu/doi/10.2799/13397" TargetMode="External"/><Relationship Id="rId200" Type="http://schemas.openxmlformats.org/officeDocument/2006/relationships/hyperlink" Target="https://data.europa.eu/doi/10.2799/13397" TargetMode="External"/><Relationship Id="rId16" Type="http://schemas.openxmlformats.org/officeDocument/2006/relationships/footer" Target="footer2.xml"/><Relationship Id="rId221" Type="http://schemas.openxmlformats.org/officeDocument/2006/relationships/footer" Target="footer32.xml"/><Relationship Id="rId242" Type="http://schemas.openxmlformats.org/officeDocument/2006/relationships/header" Target="header40.xml"/><Relationship Id="rId263" Type="http://schemas.openxmlformats.org/officeDocument/2006/relationships/footer" Target="footer45.xml"/><Relationship Id="rId284" Type="http://schemas.openxmlformats.org/officeDocument/2006/relationships/hyperlink" Target="https://ec.europa.eu/isa2/dashboard/node/92618" TargetMode="External"/><Relationship Id="rId37" Type="http://schemas.openxmlformats.org/officeDocument/2006/relationships/hyperlink" Target="https://eur-lex.europa.eu/eli/dec/2015/2240/oj" TargetMode="External"/><Relationship Id="rId58" Type="http://schemas.openxmlformats.org/officeDocument/2006/relationships/footer" Target="footer15.xml"/><Relationship Id="rId79" Type="http://schemas.openxmlformats.org/officeDocument/2006/relationships/hyperlink" Target="https://data.europa.eu/doi/10.2799/13397" TargetMode="External"/><Relationship Id="rId102" Type="http://schemas.openxmlformats.org/officeDocument/2006/relationships/chart" Target="charts/chart19.xml"/><Relationship Id="rId123" Type="http://schemas.openxmlformats.org/officeDocument/2006/relationships/header" Target="header16.xml"/><Relationship Id="rId144" Type="http://schemas.openxmlformats.org/officeDocument/2006/relationships/chart" Target="charts/chart29.xml"/><Relationship Id="rId90" Type="http://schemas.openxmlformats.org/officeDocument/2006/relationships/hyperlink" Target="https://data.europa.eu/doi/10.2799/13397" TargetMode="External"/><Relationship Id="rId165" Type="http://schemas.openxmlformats.org/officeDocument/2006/relationships/hyperlink" Target="https://data.europa.eu/doi/10.2799/13397" TargetMode="External"/><Relationship Id="rId186" Type="http://schemas.openxmlformats.org/officeDocument/2006/relationships/hyperlink" Target="https://data.europa.eu/doi/10.2799/13397" TargetMode="External"/><Relationship Id="rId211" Type="http://schemas.openxmlformats.org/officeDocument/2006/relationships/header" Target="header28.xml"/><Relationship Id="rId232" Type="http://schemas.openxmlformats.org/officeDocument/2006/relationships/header" Target="header38.xml"/><Relationship Id="rId253" Type="http://schemas.openxmlformats.org/officeDocument/2006/relationships/hyperlink" Target="https://ec.europa.eu/isa2/dashboard/node/45312" TargetMode="External"/><Relationship Id="rId274" Type="http://schemas.openxmlformats.org/officeDocument/2006/relationships/hyperlink" Target="https://data.europa.eu/doi/10.2799/13397" TargetMode="External"/><Relationship Id="rId295" Type="http://schemas.openxmlformats.org/officeDocument/2006/relationships/hyperlink" Target="https://data.europa.eu/doi/10.2799/13397" TargetMode="External"/><Relationship Id="rId27" Type="http://schemas.openxmlformats.org/officeDocument/2006/relationships/hyperlink" Target="https://ec.europa.eu/isa2/dashboard/" TargetMode="External"/><Relationship Id="rId48" Type="http://schemas.openxmlformats.org/officeDocument/2006/relationships/footer" Target="footer10.xml"/><Relationship Id="rId69" Type="http://schemas.openxmlformats.org/officeDocument/2006/relationships/hyperlink" Target="https://data.europa.eu/doi/10.2799/13397" TargetMode="External"/><Relationship Id="rId113" Type="http://schemas.openxmlformats.org/officeDocument/2006/relationships/hyperlink" Target="https://data.europa.eu/doi/10.2799/13397" TargetMode="External"/><Relationship Id="rId134" Type="http://schemas.openxmlformats.org/officeDocument/2006/relationships/footer" Target="footer21.xml"/><Relationship Id="rId80" Type="http://schemas.openxmlformats.org/officeDocument/2006/relationships/chart" Target="charts/chart9.xml"/><Relationship Id="rId155" Type="http://schemas.openxmlformats.org/officeDocument/2006/relationships/footer" Target="footer27.xml"/><Relationship Id="rId176" Type="http://schemas.openxmlformats.org/officeDocument/2006/relationships/image" Target="media/image9.png"/><Relationship Id="rId197" Type="http://schemas.openxmlformats.org/officeDocument/2006/relationships/chart" Target="charts/chart50.xml"/><Relationship Id="rId201" Type="http://schemas.openxmlformats.org/officeDocument/2006/relationships/chart" Target="charts/chart52.xml"/><Relationship Id="rId222" Type="http://schemas.openxmlformats.org/officeDocument/2006/relationships/header" Target="header33.xml"/><Relationship Id="rId243" Type="http://schemas.openxmlformats.org/officeDocument/2006/relationships/header" Target="header41.xml"/><Relationship Id="rId264" Type="http://schemas.openxmlformats.org/officeDocument/2006/relationships/hyperlink" Target="https://data.europa.eu/doi/10.2799/13397" TargetMode="External"/><Relationship Id="rId285" Type="http://schemas.openxmlformats.org/officeDocument/2006/relationships/hyperlink" Target="https://ec.europa.eu/isa2/dashboard/node/645" TargetMode="External"/><Relationship Id="rId17" Type="http://schemas.openxmlformats.org/officeDocument/2006/relationships/header" Target="header3.xml"/><Relationship Id="rId38" Type="http://schemas.openxmlformats.org/officeDocument/2006/relationships/hyperlink" Target="https://ec.europa.eu/info/law/law-making-process/planning-and-proposing-law/better-regulation-why-and-how/better-regulation-guidelines-and-toolbox_en" TargetMode="External"/><Relationship Id="rId59" Type="http://schemas.openxmlformats.org/officeDocument/2006/relationships/image" Target="media/image3.jpg"/><Relationship Id="rId103" Type="http://schemas.openxmlformats.org/officeDocument/2006/relationships/hyperlink" Target="https://data.europa.eu/doi/10.2799/13397" TargetMode="External"/><Relationship Id="rId124" Type="http://schemas.openxmlformats.org/officeDocument/2006/relationships/header" Target="header17.xml"/><Relationship Id="rId70" Type="http://schemas.openxmlformats.org/officeDocument/2006/relationships/image" Target="media/image4.png"/><Relationship Id="rId91" Type="http://schemas.openxmlformats.org/officeDocument/2006/relationships/chart" Target="charts/chart14.xml"/><Relationship Id="rId145" Type="http://schemas.openxmlformats.org/officeDocument/2006/relationships/hyperlink" Target="https://data.europa.eu/doi/10.2799/13397" TargetMode="External"/><Relationship Id="rId166" Type="http://schemas.openxmlformats.org/officeDocument/2006/relationships/chart" Target="charts/chart35.xml"/><Relationship Id="rId187" Type="http://schemas.openxmlformats.org/officeDocument/2006/relationships/chart" Target="charts/chart45.xml"/><Relationship Id="rId1" Type="http://schemas.openxmlformats.org/officeDocument/2006/relationships/customXml" Target="../customXml/item1.xml"/><Relationship Id="rId212" Type="http://schemas.openxmlformats.org/officeDocument/2006/relationships/header" Target="header29.xml"/><Relationship Id="rId233" Type="http://schemas.openxmlformats.org/officeDocument/2006/relationships/footer" Target="footer37.xml"/><Relationship Id="rId254" Type="http://schemas.openxmlformats.org/officeDocument/2006/relationships/hyperlink" Target="https://ec.europa.eu/isa2/dashboard/node/645" TargetMode="External"/><Relationship Id="rId28" Type="http://schemas.openxmlformats.org/officeDocument/2006/relationships/hyperlink" Target="https://ec.europa.eu/isa2/solutions_en" TargetMode="External"/><Relationship Id="rId49" Type="http://schemas.openxmlformats.org/officeDocument/2006/relationships/footer" Target="footer11.xml"/><Relationship Id="rId114" Type="http://schemas.openxmlformats.org/officeDocument/2006/relationships/image" Target="media/image6.png"/><Relationship Id="rId275" Type="http://schemas.openxmlformats.org/officeDocument/2006/relationships/hyperlink" Target="https://data.europa.eu/doi/10.2799/13397" TargetMode="External"/><Relationship Id="rId296" Type="http://schemas.openxmlformats.org/officeDocument/2006/relationships/header" Target="header55.xml"/><Relationship Id="rId300" Type="http://schemas.openxmlformats.org/officeDocument/2006/relationships/header" Target="header57.xml"/><Relationship Id="rId60" Type="http://schemas.openxmlformats.org/officeDocument/2006/relationships/hyperlink" Target="https://ec.europa.eu/isa2/dashboard/programme/efficiency" TargetMode="External"/><Relationship Id="rId81" Type="http://schemas.openxmlformats.org/officeDocument/2006/relationships/hyperlink" Target="https://data.europa.eu/doi/10.2799/13397" TargetMode="External"/><Relationship Id="rId135" Type="http://schemas.openxmlformats.org/officeDocument/2006/relationships/hyperlink" Target="https://ec.europa.eu/info/law/better-regulation/initiatives/ares-2018-2768206_en" TargetMode="External"/><Relationship Id="rId156" Type="http://schemas.openxmlformats.org/officeDocument/2006/relationships/chart" Target="charts/chart32.xml"/><Relationship Id="rId177" Type="http://schemas.openxmlformats.org/officeDocument/2006/relationships/hyperlink" Target="https://data.europa.eu/doi/10.2799/13397" TargetMode="External"/><Relationship Id="rId198" Type="http://schemas.openxmlformats.org/officeDocument/2006/relationships/hyperlink" Target="https://data.europa.eu/doi/10.2799/13397" TargetMode="External"/><Relationship Id="rId202" Type="http://schemas.openxmlformats.org/officeDocument/2006/relationships/hyperlink" Target="https://data.europa.eu/doi/10.2799/13397" TargetMode="External"/><Relationship Id="rId223" Type="http://schemas.openxmlformats.org/officeDocument/2006/relationships/footer" Target="footer33.xml"/><Relationship Id="rId244" Type="http://schemas.openxmlformats.org/officeDocument/2006/relationships/footer" Target="footer40.xml"/><Relationship Id="rId18" Type="http://schemas.openxmlformats.org/officeDocument/2006/relationships/footer" Target="footer3.xml"/><Relationship Id="rId39" Type="http://schemas.openxmlformats.org/officeDocument/2006/relationships/hyperlink" Target="http://eur-lex.europa.eu/legal-content/EN/TXT/?qid=1524640075337&amp;uri=CELEX:52017DC0134" TargetMode="External"/><Relationship Id="rId265" Type="http://schemas.openxmlformats.org/officeDocument/2006/relationships/header" Target="header46.xml"/><Relationship Id="rId286" Type="http://schemas.openxmlformats.org/officeDocument/2006/relationships/hyperlink" Target="https://data.europa.eu/doi/10.2799/13397" TargetMode="External"/><Relationship Id="rId50" Type="http://schemas.openxmlformats.org/officeDocument/2006/relationships/header" Target="header12.xml"/><Relationship Id="rId104" Type="http://schemas.openxmlformats.org/officeDocument/2006/relationships/chart" Target="charts/chart20.xml"/><Relationship Id="rId125" Type="http://schemas.openxmlformats.org/officeDocument/2006/relationships/footer" Target="footer16.xml"/><Relationship Id="rId146" Type="http://schemas.openxmlformats.org/officeDocument/2006/relationships/chart" Target="charts/chart30.xml"/><Relationship Id="rId167" Type="http://schemas.openxmlformats.org/officeDocument/2006/relationships/hyperlink" Target="https://data.europa.eu/doi/10.2799/13397" TargetMode="External"/><Relationship Id="rId188" Type="http://schemas.openxmlformats.org/officeDocument/2006/relationships/hyperlink" Target="https://data.europa.eu/doi/10.2799/13397" TargetMode="External"/><Relationship Id="rId71" Type="http://schemas.openxmlformats.org/officeDocument/2006/relationships/chart" Target="charts/chart5.xml"/><Relationship Id="rId92" Type="http://schemas.openxmlformats.org/officeDocument/2006/relationships/hyperlink" Target="https://data.europa.eu/doi/10.2799/13397" TargetMode="External"/><Relationship Id="rId213" Type="http://schemas.openxmlformats.org/officeDocument/2006/relationships/footer" Target="footer28.xml"/><Relationship Id="rId234" Type="http://schemas.openxmlformats.org/officeDocument/2006/relationships/footer" Target="footer38.xml"/></Relationships>
</file>

<file path=word/_rels/footnotes.xml.rels><?xml version="1.0" encoding="UTF-8" standalone="yes"?>
<Relationships xmlns="http://schemas.openxmlformats.org/package/2006/relationships"><Relationship Id="rId13" Type="http://schemas.openxmlformats.org/officeDocument/2006/relationships/hyperlink" Target="https://data.europa.eu/doi/10.2799/13397" TargetMode="External"/><Relationship Id="rId18" Type="http://schemas.openxmlformats.org/officeDocument/2006/relationships/hyperlink" Target="https://webgate.ec.europa.eu/regdel/" TargetMode="External"/><Relationship Id="rId26" Type="http://schemas.openxmlformats.org/officeDocument/2006/relationships/hyperlink" Target="https://ec.europa.eu/isa2/solutions/vocbench3_en" TargetMode="External"/><Relationship Id="rId39" Type="http://schemas.openxmlformats.org/officeDocument/2006/relationships/hyperlink" Target="http://www.toop.eu/" TargetMode="External"/><Relationship Id="rId21" Type="http://schemas.openxmlformats.org/officeDocument/2006/relationships/hyperlink" Target="https://ec.europa.eu/isa2/solutions/joinup_en" TargetMode="External"/><Relationship Id="rId34" Type="http://schemas.openxmlformats.org/officeDocument/2006/relationships/hyperlink" Target="https://ec.europa.eu/inea/en/connecting-europe-facility" TargetMode="External"/><Relationship Id="rId42" Type="http://schemas.openxmlformats.org/officeDocument/2006/relationships/hyperlink" Target="https://www.w3.org/Consortium/Process/NOTE.html" TargetMode="External"/><Relationship Id="rId47" Type="http://schemas.openxmlformats.org/officeDocument/2006/relationships/hyperlink" Target="https://joinup.ec.europa.eu/collection/european-interoperability-reference-architecture-eira/good-practices" TargetMode="External"/><Relationship Id="rId50" Type="http://schemas.openxmlformats.org/officeDocument/2006/relationships/hyperlink" Target="https://e-justice.europa.eu/home.do?action=home" TargetMode="External"/><Relationship Id="rId55" Type="http://schemas.openxmlformats.org/officeDocument/2006/relationships/hyperlink" Target="https://ec.europa.eu/info/law/better-regulation/initiatives/ares-2018-2768206_en" TargetMode="External"/><Relationship Id="rId63" Type="http://schemas.openxmlformats.org/officeDocument/2006/relationships/hyperlink" Target="https://ec.europa.eu/isa2/solutions/testa_en" TargetMode="External"/><Relationship Id="rId68" Type="http://schemas.openxmlformats.org/officeDocument/2006/relationships/hyperlink" Target="https://ec.europa.eu/isa2/actions/towards-better-financial-data-reporting_en" TargetMode="External"/><Relationship Id="rId76" Type="http://schemas.openxmlformats.org/officeDocument/2006/relationships/hyperlink" Target="https://ec.europa.eu/isa2/solutions/joinup_en" TargetMode="External"/><Relationship Id="rId7" Type="http://schemas.openxmlformats.org/officeDocument/2006/relationships/hyperlink" Target="http://data.europa.eu/eli/dec/2009/922/oj" TargetMode="External"/><Relationship Id="rId71" Type="http://schemas.openxmlformats.org/officeDocument/2006/relationships/hyperlink" Target="https://ec.europa.eu/isa2/solutions/european-single-procurement-document-espd_en" TargetMode="External"/><Relationship Id="rId2" Type="http://schemas.openxmlformats.org/officeDocument/2006/relationships/hyperlink" Target="http://ec.europa.eu/esf/main.jsp?catId=526&amp;langId=en" TargetMode="External"/><Relationship Id="rId16" Type="http://schemas.openxmlformats.org/officeDocument/2006/relationships/hyperlink" Target="https://ec.europa.eu/isa2/sites/isa/files/consultation_strategy_isa2_interim_evaluation.pdf" TargetMode="External"/><Relationship Id="rId29" Type="http://schemas.openxmlformats.org/officeDocument/2006/relationships/hyperlink" Target="https://ec.europa.eu/eurostat/statistics-explained/index.php/Hourly_labour_costs" TargetMode="External"/><Relationship Id="rId11" Type="http://schemas.openxmlformats.org/officeDocument/2006/relationships/hyperlink" Target="https://ec.europa.eu/isa2/news/european-commission-reinforces-cooperation-uruguay-interoperability_en" TargetMode="External"/><Relationship Id="rId24" Type="http://schemas.openxmlformats.org/officeDocument/2006/relationships/hyperlink" Target="https://ec.europa.eu/isa2/events_en" TargetMode="External"/><Relationship Id="rId32" Type="http://schemas.openxmlformats.org/officeDocument/2006/relationships/hyperlink" Target="https://ec.europa.eu/tools/espd" TargetMode="External"/><Relationship Id="rId37" Type="http://schemas.openxmlformats.org/officeDocument/2006/relationships/hyperlink" Target="https://ec.europa.eu/isa2/library/isa%C2%B2-work-programme_en" TargetMode="External"/><Relationship Id="rId40" Type="http://schemas.openxmlformats.org/officeDocument/2006/relationships/hyperlink" Target="https://ec.europa.eu/digital-single-market/en/rolling-plan-ict-standardisation" TargetMode="External"/><Relationship Id="rId45" Type="http://schemas.openxmlformats.org/officeDocument/2006/relationships/hyperlink" Target="https://ec.europa.eu/isa2/news/interested-semantic-interoperability-read-about-semic-highlights-second-half-2018_en" TargetMode="External"/><Relationship Id="rId53" Type="http://schemas.openxmlformats.org/officeDocument/2006/relationships/hyperlink" Target="https://data.europa.eu/euodp/en/visualisation-home" TargetMode="External"/><Relationship Id="rId58" Type="http://schemas.openxmlformats.org/officeDocument/2006/relationships/hyperlink" Target="https://ec.europa.eu/info/law/better-regulation/initiatives/ares-2018-2768206/public-consultation_en" TargetMode="External"/><Relationship Id="rId66" Type="http://schemas.openxmlformats.org/officeDocument/2006/relationships/hyperlink" Target="https://ec.europa.eu/isa2/solutions/dcat-application-profile-data-portals-europe_en" TargetMode="External"/><Relationship Id="rId74" Type="http://schemas.openxmlformats.org/officeDocument/2006/relationships/hyperlink" Target="https://ec.europa.eu/isa2/solutions/ocs-ecis-0_en" TargetMode="External"/><Relationship Id="rId79" Type="http://schemas.openxmlformats.org/officeDocument/2006/relationships/hyperlink" Target="https://ec.europa.eu/isa2/events/isa%C2%B2-mid-term-conference-linking-public-administrations-businesses-and-citizens_en" TargetMode="External"/><Relationship Id="rId5" Type="http://schemas.openxmlformats.org/officeDocument/2006/relationships/hyperlink" Target="http://data.europa.eu/eli/dec/1999/1719/oj" TargetMode="External"/><Relationship Id="rId61" Type="http://schemas.openxmlformats.org/officeDocument/2006/relationships/hyperlink" Target="https://ec.europa.eu/isa2/dashboard/faq-page" TargetMode="External"/><Relationship Id="rId10" Type="http://schemas.openxmlformats.org/officeDocument/2006/relationships/hyperlink" Target="https://ec.europa.eu/isa2/actions/elise_en" TargetMode="External"/><Relationship Id="rId19" Type="http://schemas.openxmlformats.org/officeDocument/2006/relationships/hyperlink" Target="https://ec.europa.eu/isa2/actions/improving-transparency-delegated-acts_en" TargetMode="External"/><Relationship Id="rId31" Type="http://schemas.openxmlformats.org/officeDocument/2006/relationships/hyperlink" Target="https://ec.europa.eu/isa2/dashboard/faq-page" TargetMode="External"/><Relationship Id="rId44" Type="http://schemas.openxmlformats.org/officeDocument/2006/relationships/hyperlink" Target="https://ec.europa.eu/isa2/solutions/imaps_en" TargetMode="External"/><Relationship Id="rId52" Type="http://schemas.openxmlformats.org/officeDocument/2006/relationships/hyperlink" Target="http://www.europarl.europa.eu/doceo/document/TA-8-2016-0081_EN.html?redirect" TargetMode="External"/><Relationship Id="rId60" Type="http://schemas.openxmlformats.org/officeDocument/2006/relationships/hyperlink" Target="https://ec.europa.eu/isa2/events/isa%C2%B2-interim-evaluation-kick-workshop_en" TargetMode="External"/><Relationship Id="rId65" Type="http://schemas.openxmlformats.org/officeDocument/2006/relationships/hyperlink" Target="https://ec.europa.eu/isa2/solutions/core-vocabularies_en" TargetMode="External"/><Relationship Id="rId73" Type="http://schemas.openxmlformats.org/officeDocument/2006/relationships/hyperlink" Target="https://ec.europa.eu/isa2/solutions/leos_en" TargetMode="External"/><Relationship Id="rId78" Type="http://schemas.openxmlformats.org/officeDocument/2006/relationships/hyperlink" Target="https://ec.europa.eu/isa2/news/save-date-semic-2018_en" TargetMode="External"/><Relationship Id="rId81" Type="http://schemas.openxmlformats.org/officeDocument/2006/relationships/hyperlink" Target="https://ec.europa.eu/eurostat/statistics-explained/index.php/Hourly_labour_costs" TargetMode="External"/><Relationship Id="rId4" Type="http://schemas.openxmlformats.org/officeDocument/2006/relationships/hyperlink" Target="http://data.europa.eu/eli/dec/1995/468/oj" TargetMode="External"/><Relationship Id="rId9" Type="http://schemas.openxmlformats.org/officeDocument/2006/relationships/hyperlink" Target="http://ec.europa.eu/archives/isa/" TargetMode="External"/><Relationship Id="rId14" Type="http://schemas.openxmlformats.org/officeDocument/2006/relationships/hyperlink" Target="https://ec.europa.eu/info/sites/info/files/better-regulation-toolbox_2.pdf" TargetMode="External"/><Relationship Id="rId22" Type="http://schemas.openxmlformats.org/officeDocument/2006/relationships/hyperlink" Target="https://joinup.ec.europa.eu/event/sharing-reuse-conference-2017" TargetMode="External"/><Relationship Id="rId27" Type="http://schemas.openxmlformats.org/officeDocument/2006/relationships/hyperlink" Target="http://www.administrativeburdens.com/filesystem/2005/11/international_scm_manual_final_178.doc" TargetMode="External"/><Relationship Id="rId30" Type="http://schemas.openxmlformats.org/officeDocument/2006/relationships/hyperlink" Target="https://ec.europa.eu/info/sites/info/files/file_import/better-regulation-toolbox-57_en_0.pdf" TargetMode="External"/><Relationship Id="rId35" Type="http://schemas.openxmlformats.org/officeDocument/2006/relationships/hyperlink" Target="https://ec.europa.eu/info/departments/informatics/it-governance_en" TargetMode="External"/><Relationship Id="rId43" Type="http://schemas.openxmlformats.org/officeDocument/2006/relationships/hyperlink" Target="https://ec.europa.eu/isa2/solutions/dcat-application-profile-data-portals-europe_en" TargetMode="External"/><Relationship Id="rId48" Type="http://schemas.openxmlformats.org/officeDocument/2006/relationships/hyperlink" Target="https://ec.europa.eu/isa2/solutions/circabc_en" TargetMode="External"/><Relationship Id="rId56" Type="http://schemas.openxmlformats.org/officeDocument/2006/relationships/hyperlink" Target="https://ec.europa.eu/isa2/sites/isa/files/consultation_strategy_isa2_interim_evaluation.pdf" TargetMode="External"/><Relationship Id="rId64" Type="http://schemas.openxmlformats.org/officeDocument/2006/relationships/hyperlink" Target="https://ec.europa.eu/isa2/solutions/open-e-trustex_en" TargetMode="External"/><Relationship Id="rId69" Type="http://schemas.openxmlformats.org/officeDocument/2006/relationships/hyperlink" Target="https://ec.europa.eu/isa2/solutions/re3gistry_en" TargetMode="External"/><Relationship Id="rId77" Type="http://schemas.openxmlformats.org/officeDocument/2006/relationships/hyperlink" Target="https://ec.europa.eu/isa2/solutions/nifo_en" TargetMode="External"/><Relationship Id="rId8" Type="http://schemas.openxmlformats.org/officeDocument/2006/relationships/hyperlink" Target="http://data.europa.eu/eli/dec/2015/2240/oj" TargetMode="External"/><Relationship Id="rId51" Type="http://schemas.openxmlformats.org/officeDocument/2006/relationships/hyperlink" Target="https://webgate.ec.europa.eu/regdel/" TargetMode="External"/><Relationship Id="rId72" Type="http://schemas.openxmlformats.org/officeDocument/2006/relationships/hyperlink" Target="https://ec.europa.eu/isa2/solutions/e-certis_en" TargetMode="External"/><Relationship Id="rId80" Type="http://schemas.openxmlformats.org/officeDocument/2006/relationships/hyperlink" Target="https://ec.europa.eu/isa2/dashboard/" TargetMode="External"/><Relationship Id="rId3" Type="http://schemas.openxmlformats.org/officeDocument/2006/relationships/hyperlink" Target="https://ec.europa.eu/regional_policy/en/policy/themes/ict/" TargetMode="External"/><Relationship Id="rId12" Type="http://schemas.openxmlformats.org/officeDocument/2006/relationships/hyperlink" Target="https://ec.europa.eu/isa2/dashboard/" TargetMode="External"/><Relationship Id="rId17" Type="http://schemas.openxmlformats.org/officeDocument/2006/relationships/hyperlink" Target="https://arxiv.org/abs/1712.01767" TargetMode="External"/><Relationship Id="rId25" Type="http://schemas.openxmlformats.org/officeDocument/2006/relationships/hyperlink" Target="https://publications.europa.eu/en/web/eu-vocabularies/th-dataset/-/resource/dataset/eurovoc" TargetMode="External"/><Relationship Id="rId33" Type="http://schemas.openxmlformats.org/officeDocument/2006/relationships/hyperlink" Target="https://ec.europa.eu/isa2/dashboard/faq-page" TargetMode="External"/><Relationship Id="rId38" Type="http://schemas.openxmlformats.org/officeDocument/2006/relationships/hyperlink" Target="https://ec.europa.eu/isa2/solutions/e-documents-reference-architecture_en" TargetMode="External"/><Relationship Id="rId46" Type="http://schemas.openxmlformats.org/officeDocument/2006/relationships/hyperlink" Target="https://joinup.ec.europa.eu/collection/european-interoperability-reference-architecture-eira/catalogue-solutions" TargetMode="External"/><Relationship Id="rId59" Type="http://schemas.openxmlformats.org/officeDocument/2006/relationships/hyperlink" Target="https://ec.europa.eu/isa2/isa2conf18_en" TargetMode="External"/><Relationship Id="rId67" Type="http://schemas.openxmlformats.org/officeDocument/2006/relationships/hyperlink" Target="https://ec.europa.eu/isa2/actions/providing-big-data-opportunities-public-administrations_en" TargetMode="External"/><Relationship Id="rId20" Type="http://schemas.openxmlformats.org/officeDocument/2006/relationships/hyperlink" Target="https://ec.europa.eu/isa2/solutions/eira_en" TargetMode="External"/><Relationship Id="rId41" Type="http://schemas.openxmlformats.org/officeDocument/2006/relationships/hyperlink" Target="https://ec.europa.eu/isa2/solutions/asset-description-metadata-schema-adms_en" TargetMode="External"/><Relationship Id="rId54" Type="http://schemas.openxmlformats.org/officeDocument/2006/relationships/hyperlink" Target="https://eupl.eu/" TargetMode="External"/><Relationship Id="rId62" Type="http://schemas.openxmlformats.org/officeDocument/2006/relationships/hyperlink" Target="https://joinup.ec.europa.eu/" TargetMode="External"/><Relationship Id="rId70" Type="http://schemas.openxmlformats.org/officeDocument/2006/relationships/hyperlink" Target="https://ec.europa.eu/isa2/solutions/open-e-prior_en" TargetMode="External"/><Relationship Id="rId75" Type="http://schemas.openxmlformats.org/officeDocument/2006/relationships/hyperlink" Target="https://ec.europa.eu/isa2/solutions/eusurvey_en" TargetMode="External"/><Relationship Id="rId1" Type="http://schemas.openxmlformats.org/officeDocument/2006/relationships/hyperlink" Target="https://ec.europa.eu/digital-single-market/en/ict-enabled-public-sector-innovation-horizon-2020" TargetMode="External"/><Relationship Id="rId6" Type="http://schemas.openxmlformats.org/officeDocument/2006/relationships/hyperlink" Target="http://data.europa.eu/eli/dec/2004/387/corrigendum/2004-05-18/oj" TargetMode="External"/><Relationship Id="rId15" Type="http://schemas.openxmlformats.org/officeDocument/2006/relationships/hyperlink" Target="https://data.europa.eu/doi/10.2799/957700" TargetMode="External"/><Relationship Id="rId23" Type="http://schemas.openxmlformats.org/officeDocument/2006/relationships/hyperlink" Target="https://ec.europa.eu/isa2/sites/isa/files/comms_strategy.pdf" TargetMode="External"/><Relationship Id="rId28" Type="http://schemas.openxmlformats.org/officeDocument/2006/relationships/hyperlink" Target="https://ec.europa.eu/info/sites/info/files/better-regulation-toolbox_2.pdf" TargetMode="External"/><Relationship Id="rId36" Type="http://schemas.openxmlformats.org/officeDocument/2006/relationships/hyperlink" Target="https://ec.europa.eu/isa2/actions/common-architecture-single-digital-gateway_en" TargetMode="External"/><Relationship Id="rId49" Type="http://schemas.openxmlformats.org/officeDocument/2006/relationships/hyperlink" Target="http://ec.europa.eu/isa2/library/eprior/" TargetMode="External"/><Relationship Id="rId57" Type="http://schemas.openxmlformats.org/officeDocument/2006/relationships/hyperlink" Target="https://ec.europa.eu/info/law/better-regulation/initiatives/ares-2018-2768206/feedback_en?p_id=239250"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nadina\Dropbox%20(CEPS)\DG%20DIGIT\Draft\190215%20Graphs_averages_final.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C:\Users\nadina\Dropbox%20(CEPS)\DG%20DIGIT\Draft\190215%20Graphs_averages_final.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file:///C:\Users\nadina\Dropbox%20(CEPS)\DG%20DIGIT\Material\Documentary%20evidence%20for%20evaluation%20framework\190129%20Efficiency_Coherence_data.xlsx"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file:///C:\Users\nadina\Dropbox%20(CEPS)\DG%20DIGIT\Material\Documentary%20evidence%20for%20evaluation%20framework\190129%20Efficiency_Coherence_data.xlsx"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C:\Users\nadina\Dropbox%20(CEPS)\DG%20DIGIT\Material\Documentary%20evidence%20for%20evaluation%20framework\190129%20Efficiency_Coherence_data.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C:\Users\nadina\Dropbox%20(CEPS)\DG%20DIGIT\Draft\190215%20Graphs_averages_final.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C:\Users\nadina\Dropbox%20(CEPS)\DG%20DIGIT\Draft\190215%20Graphs_averages_final.xlsx"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file:///C:\Users\Nadina\Dropbox%20(CEPS)\DG%20DIGIT\Draft\190215%20Graphs_averages_final.xlsx" TargetMode="External"/></Relationships>
</file>

<file path=word/charts/_rels/chart17.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oleObject" Target="file:///C:\Users\Nadina\Dropbox%20(CEPS)\DG%20DIGIT\Draft\190215%20Graphs_averages_final.xlsx" TargetMode="External"/></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file:///C:\Users\nadina\Dropbox%20(CEPS)\DG%20DIGIT\Draft\ARCHIVE\190215%20Graphs_averages_final.xlsx" TargetMode="External"/></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oleObject" Target="file:///C:\Users\nadina\Dropbox%20(CEPS)\DG%20DIGIT\Draft\ARCHIVE\190215%20Graphs_averages_final.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nadina\Dropbox%20(CEPS)\DG%20DIGIT\Draft\190215%20Graphs_averages_final.xlsx" TargetMode="External"/></Relationships>
</file>

<file path=word/charts/_rels/chart20.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oleObject" Target="file:///C:\Users\nadina\Dropbox%20(CEPS)\DG%20DIGIT\Draft\ARCHIVE\190215%20Graphs_averages_final.xlsx" TargetMode="External"/></Relationships>
</file>

<file path=word/charts/_rels/chart21.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oleObject" Target="file:///C:\Users\nadina\Dropbox%20(CEPS)\DG%20DIGIT\Draft\ARCHIVE\190215%20Graphs_averages_final.xlsx" TargetMode="External"/></Relationships>
</file>

<file path=word/charts/_rels/chart22.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oleObject" Target="file:///C:\Users\nadina\Dropbox%20(CEPS)\DG%20DIGIT\Draft\ARCHIVE\190215%20Graphs_averages_final.xlsx" TargetMode="External"/></Relationships>
</file>

<file path=word/charts/_rels/chart23.xml.rels><?xml version="1.0" encoding="UTF-8" standalone="yes"?>
<Relationships xmlns="http://schemas.openxmlformats.org/package/2006/relationships"><Relationship Id="rId3" Type="http://schemas.microsoft.com/office/2011/relationships/chartStyle" Target="style23.xml"/><Relationship Id="rId2" Type="http://schemas.microsoft.com/office/2011/relationships/chartColorStyle" Target="colors23.xml"/><Relationship Id="rId1" Type="http://schemas.openxmlformats.org/officeDocument/2006/relationships/oleObject" Target="file:///C:\Users\nadina\Dropbox%20(CEPS)\DG%20DIGIT\Draft\ARCHIVE\190215%20Graphs_averages_final.xlsx" TargetMode="External"/></Relationships>
</file>

<file path=word/charts/_rels/chart24.xml.rels><?xml version="1.0" encoding="UTF-8" standalone="yes"?>
<Relationships xmlns="http://schemas.openxmlformats.org/package/2006/relationships"><Relationship Id="rId3" Type="http://schemas.microsoft.com/office/2011/relationships/chartStyle" Target="style24.xml"/><Relationship Id="rId2" Type="http://schemas.microsoft.com/office/2011/relationships/chartColorStyle" Target="colors24.xml"/><Relationship Id="rId1" Type="http://schemas.openxmlformats.org/officeDocument/2006/relationships/oleObject" Target="file:///C:\Users\Nadina\Dropbox%20(CEPS)\DG%20DIGIT\Draft\190215%20Graphs_averages_final.xlsx" TargetMode="External"/></Relationships>
</file>

<file path=word/charts/_rels/chart25.xml.rels><?xml version="1.0" encoding="UTF-8" standalone="yes"?>
<Relationships xmlns="http://schemas.openxmlformats.org/package/2006/relationships"><Relationship Id="rId3" Type="http://schemas.microsoft.com/office/2011/relationships/chartStyle" Target="style25.xml"/><Relationship Id="rId2" Type="http://schemas.microsoft.com/office/2011/relationships/chartColorStyle" Target="colors25.xml"/><Relationship Id="rId1" Type="http://schemas.openxmlformats.org/officeDocument/2006/relationships/oleObject" Target="file:///C:\Users\Nadina\Dropbox%20(CEPS)\DG%20DIGIT\Draft\190215%20Graphs_averages_final.xlsx" TargetMode="External"/></Relationships>
</file>

<file path=word/charts/_rels/chart26.xml.rels><?xml version="1.0" encoding="UTF-8" standalone="yes"?>
<Relationships xmlns="http://schemas.openxmlformats.org/package/2006/relationships"><Relationship Id="rId3" Type="http://schemas.microsoft.com/office/2011/relationships/chartStyle" Target="style26.xml"/><Relationship Id="rId2" Type="http://schemas.microsoft.com/office/2011/relationships/chartColorStyle" Target="colors26.xml"/><Relationship Id="rId1" Type="http://schemas.openxmlformats.org/officeDocument/2006/relationships/oleObject" Target="file:///C:\Users\Nadina\Dropbox%20(CEPS)\DG%20DIGIT\Draft\190215%20Graphs_averages_final.xlsx" TargetMode="External"/></Relationships>
</file>

<file path=word/charts/_rels/chart27.xml.rels><?xml version="1.0" encoding="UTF-8" standalone="yes"?>
<Relationships xmlns="http://schemas.openxmlformats.org/package/2006/relationships"><Relationship Id="rId3" Type="http://schemas.microsoft.com/office/2011/relationships/chartStyle" Target="style27.xml"/><Relationship Id="rId2" Type="http://schemas.microsoft.com/office/2011/relationships/chartColorStyle" Target="colors27.xml"/><Relationship Id="rId1" Type="http://schemas.openxmlformats.org/officeDocument/2006/relationships/oleObject" Target="file:///C:\Users\nadina\Dropbox%20(CEPS)\DG%20DIGIT\Draft\ARCHIVE\190215%20Graphs_averages_final.xlsx" TargetMode="External"/></Relationships>
</file>

<file path=word/charts/_rels/chart28.xml.rels><?xml version="1.0" encoding="UTF-8" standalone="yes"?>
<Relationships xmlns="http://schemas.openxmlformats.org/package/2006/relationships"><Relationship Id="rId3" Type="http://schemas.microsoft.com/office/2011/relationships/chartStyle" Target="style28.xml"/><Relationship Id="rId2" Type="http://schemas.microsoft.com/office/2011/relationships/chartColorStyle" Target="colors28.xml"/><Relationship Id="rId1" Type="http://schemas.openxmlformats.org/officeDocument/2006/relationships/oleObject" Target="file:///C:\Users\nadina\Dropbox%20(CEPS)\DG%20DIGIT\Draft\ARCHIVE\190215%20Graphs_averages_final.xlsx" TargetMode="External"/></Relationships>
</file>

<file path=word/charts/_rels/chart29.xml.rels><?xml version="1.0" encoding="UTF-8" standalone="yes"?>
<Relationships xmlns="http://schemas.openxmlformats.org/package/2006/relationships"><Relationship Id="rId3" Type="http://schemas.microsoft.com/office/2011/relationships/chartStyle" Target="style29.xml"/><Relationship Id="rId2" Type="http://schemas.microsoft.com/office/2011/relationships/chartColorStyle" Target="colors29.xml"/><Relationship Id="rId1" Type="http://schemas.openxmlformats.org/officeDocument/2006/relationships/oleObject" Target="file:///C:\Users\nadina\Dropbox%20(CEPS)\DG%20DIGIT\Draft\190215%20Graphs_averages_final.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nadina\Dropbox%20(CEPS)\DG%20DIGIT\Draft\ARCHIVE\190208%20Graphs_Online_Surveys_correction.xls" TargetMode="External"/></Relationships>
</file>

<file path=word/charts/_rels/chart30.xml.rels><?xml version="1.0" encoding="UTF-8" standalone="yes"?>
<Relationships xmlns="http://schemas.openxmlformats.org/package/2006/relationships"><Relationship Id="rId3" Type="http://schemas.microsoft.com/office/2011/relationships/chartStyle" Target="style30.xml"/><Relationship Id="rId2" Type="http://schemas.microsoft.com/office/2011/relationships/chartColorStyle" Target="colors30.xml"/><Relationship Id="rId1" Type="http://schemas.openxmlformats.org/officeDocument/2006/relationships/oleObject" Target="file:///C:\Users\nadina\Dropbox%20(CEPS)\DG%20DIGIT\Draft\190215%20Graphs_averages_final.xlsx" TargetMode="External"/></Relationships>
</file>

<file path=word/charts/_rels/chart31.xml.rels><?xml version="1.0" encoding="UTF-8" standalone="yes"?>
<Relationships xmlns="http://schemas.openxmlformats.org/package/2006/relationships"><Relationship Id="rId3" Type="http://schemas.microsoft.com/office/2011/relationships/chartStyle" Target="style31.xml"/><Relationship Id="rId2" Type="http://schemas.microsoft.com/office/2011/relationships/chartColorStyle" Target="colors31.xml"/><Relationship Id="rId1" Type="http://schemas.openxmlformats.org/officeDocument/2006/relationships/oleObject" Target="file:///C:\Users\nadina\Dropbox%20(CEPS)\DG%20DIGIT\Draft\190215%20Graphs_averages_final.xlsx" TargetMode="External"/></Relationships>
</file>

<file path=word/charts/_rels/chart32.xml.rels><?xml version="1.0" encoding="UTF-8" standalone="yes"?>
<Relationships xmlns="http://schemas.openxmlformats.org/package/2006/relationships"><Relationship Id="rId3" Type="http://schemas.microsoft.com/office/2011/relationships/chartStyle" Target="style32.xml"/><Relationship Id="rId2" Type="http://schemas.microsoft.com/office/2011/relationships/chartColorStyle" Target="colors32.xml"/><Relationship Id="rId1" Type="http://schemas.openxmlformats.org/officeDocument/2006/relationships/oleObject" Target="file:///C:\Users\nadina\Dropbox%20(CEPS)\DG%20DIGIT\Draft\190215%20Graphs_averages_final.xlsx" TargetMode="External"/></Relationships>
</file>

<file path=word/charts/_rels/chart33.xml.rels><?xml version="1.0" encoding="UTF-8" standalone="yes"?>
<Relationships xmlns="http://schemas.openxmlformats.org/package/2006/relationships"><Relationship Id="rId3" Type="http://schemas.microsoft.com/office/2011/relationships/chartStyle" Target="style33.xml"/><Relationship Id="rId2" Type="http://schemas.microsoft.com/office/2011/relationships/chartColorStyle" Target="colors33.xml"/><Relationship Id="rId1" Type="http://schemas.openxmlformats.org/officeDocument/2006/relationships/oleObject" Target="file:///C:\Users\nadina\Dropbox%20(CEPS)\DG%20DIGIT\Draft\190215%20Graphs_averages_final.xlsx" TargetMode="External"/></Relationships>
</file>

<file path=word/charts/_rels/chart34.xml.rels><?xml version="1.0" encoding="UTF-8" standalone="yes"?>
<Relationships xmlns="http://schemas.openxmlformats.org/package/2006/relationships"><Relationship Id="rId3" Type="http://schemas.microsoft.com/office/2011/relationships/chartStyle" Target="style34.xml"/><Relationship Id="rId2" Type="http://schemas.microsoft.com/office/2011/relationships/chartColorStyle" Target="colors34.xml"/><Relationship Id="rId1" Type="http://schemas.openxmlformats.org/officeDocument/2006/relationships/oleObject" Target="file:///C:\Users\nadina\Dropbox%20(CEPS)\DG%20DIGIT\Draft\190215%20Graphs_averages_final.xlsx" TargetMode="External"/></Relationships>
</file>

<file path=word/charts/_rels/chart35.xml.rels><?xml version="1.0" encoding="UTF-8" standalone="yes"?>
<Relationships xmlns="http://schemas.openxmlformats.org/package/2006/relationships"><Relationship Id="rId3" Type="http://schemas.microsoft.com/office/2011/relationships/chartStyle" Target="style35.xml"/><Relationship Id="rId2" Type="http://schemas.microsoft.com/office/2011/relationships/chartColorStyle" Target="colors35.xml"/><Relationship Id="rId1" Type="http://schemas.openxmlformats.org/officeDocument/2006/relationships/oleObject" Target="file:///C:\Users\nadina\Dropbox%20(CEPS)\DG%20DIGIT\Draft\190215%20Graphs_averages_final.xlsx" TargetMode="External"/></Relationships>
</file>

<file path=word/charts/_rels/chart36.xml.rels><?xml version="1.0" encoding="UTF-8" standalone="yes"?>
<Relationships xmlns="http://schemas.openxmlformats.org/package/2006/relationships"><Relationship Id="rId3" Type="http://schemas.microsoft.com/office/2011/relationships/chartStyle" Target="style36.xml"/><Relationship Id="rId2" Type="http://schemas.microsoft.com/office/2011/relationships/chartColorStyle" Target="colors36.xml"/><Relationship Id="rId1" Type="http://schemas.openxmlformats.org/officeDocument/2006/relationships/oleObject" Target="file:///C:\Users\nadina\Dropbox%20(CEPS)\DG%20DIGIT\Draft\190215%20Graphs_averages_final.xlsx" TargetMode="External"/></Relationships>
</file>

<file path=word/charts/_rels/chart37.xml.rels><?xml version="1.0" encoding="UTF-8" standalone="yes"?>
<Relationships xmlns="http://schemas.openxmlformats.org/package/2006/relationships"><Relationship Id="rId3" Type="http://schemas.microsoft.com/office/2011/relationships/chartStyle" Target="style37.xml"/><Relationship Id="rId2" Type="http://schemas.microsoft.com/office/2011/relationships/chartColorStyle" Target="colors37.xml"/><Relationship Id="rId1" Type="http://schemas.openxmlformats.org/officeDocument/2006/relationships/oleObject" Target="file:///C:\Users\nadina\Dropbox%20(CEPS)\DG%20DIGIT\Draft\190215%20Graphs_averages_final.xlsx" TargetMode="External"/></Relationships>
</file>

<file path=word/charts/_rels/chart38.xml.rels><?xml version="1.0" encoding="UTF-8" standalone="yes"?>
<Relationships xmlns="http://schemas.openxmlformats.org/package/2006/relationships"><Relationship Id="rId3" Type="http://schemas.microsoft.com/office/2011/relationships/chartStyle" Target="style38.xml"/><Relationship Id="rId2" Type="http://schemas.microsoft.com/office/2011/relationships/chartColorStyle" Target="colors38.xml"/><Relationship Id="rId1" Type="http://schemas.openxmlformats.org/officeDocument/2006/relationships/oleObject" Target="file:///C:\Users\nadina\Dropbox%20(CEPS)\DG%20DIGIT\Draft\190215%20Graphs_averages_final.xlsx" TargetMode="External"/></Relationships>
</file>

<file path=word/charts/_rels/chart39.xml.rels><?xml version="1.0" encoding="UTF-8" standalone="yes"?>
<Relationships xmlns="http://schemas.openxmlformats.org/package/2006/relationships"><Relationship Id="rId3" Type="http://schemas.microsoft.com/office/2011/relationships/chartStyle" Target="style39.xml"/><Relationship Id="rId2" Type="http://schemas.microsoft.com/office/2011/relationships/chartColorStyle" Target="colors39.xml"/><Relationship Id="rId1" Type="http://schemas.openxmlformats.org/officeDocument/2006/relationships/oleObject" Target="file:///C:\Users\nadina\Dropbox%20(CEPS)\DG%20DIGIT\Draft\190215%20Graphs_averages_final.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nadina\Dropbox%20(CEPS)\DG%20DIGIT\Draft\190215%20Graphs_averages_final.xlsx" TargetMode="External"/></Relationships>
</file>

<file path=word/charts/_rels/chart40.xml.rels><?xml version="1.0" encoding="UTF-8" standalone="yes"?>
<Relationships xmlns="http://schemas.openxmlformats.org/package/2006/relationships"><Relationship Id="rId3" Type="http://schemas.microsoft.com/office/2011/relationships/chartStyle" Target="style40.xml"/><Relationship Id="rId2" Type="http://schemas.microsoft.com/office/2011/relationships/chartColorStyle" Target="colors40.xml"/><Relationship Id="rId1" Type="http://schemas.openxmlformats.org/officeDocument/2006/relationships/oleObject" Target="file:///C:\Users\nadina\Dropbox%20(CEPS)\DG%20DIGIT\Material\Documentary%20evidence%20for%20evaluation%20framework\190129%20Efficiency_Coherence_data.xlsx" TargetMode="External"/></Relationships>
</file>

<file path=word/charts/_rels/chart41.xml.rels><?xml version="1.0" encoding="UTF-8" standalone="yes"?>
<Relationships xmlns="http://schemas.openxmlformats.org/package/2006/relationships"><Relationship Id="rId3" Type="http://schemas.microsoft.com/office/2011/relationships/chartStyle" Target="style41.xml"/><Relationship Id="rId2" Type="http://schemas.microsoft.com/office/2011/relationships/chartColorStyle" Target="colors41.xml"/><Relationship Id="rId1" Type="http://schemas.openxmlformats.org/officeDocument/2006/relationships/oleObject" Target="file:///C:\Users\nadina\Dropbox%20(CEPS)\DG%20DIGIT\Material\Documentary%20evidence%20for%20evaluation%20framework\190129%20Efficiency_Coherence_data.xlsx" TargetMode="External"/></Relationships>
</file>

<file path=word/charts/_rels/chart42.xml.rels><?xml version="1.0" encoding="UTF-8" standalone="yes"?>
<Relationships xmlns="http://schemas.openxmlformats.org/package/2006/relationships"><Relationship Id="rId3" Type="http://schemas.microsoft.com/office/2011/relationships/chartStyle" Target="style42.xml"/><Relationship Id="rId2" Type="http://schemas.microsoft.com/office/2011/relationships/chartColorStyle" Target="colors42.xml"/><Relationship Id="rId1" Type="http://schemas.openxmlformats.org/officeDocument/2006/relationships/oleObject" Target="file:///C:\Users\nadina\Dropbox%20(CEPS)\DG%20DIGIT\Draft\190215%20Graphs_averages_final.xlsx" TargetMode="External"/></Relationships>
</file>

<file path=word/charts/_rels/chart43.xml.rels><?xml version="1.0" encoding="UTF-8" standalone="yes"?>
<Relationships xmlns="http://schemas.openxmlformats.org/package/2006/relationships"><Relationship Id="rId3" Type="http://schemas.microsoft.com/office/2011/relationships/chartStyle" Target="style43.xml"/><Relationship Id="rId2" Type="http://schemas.microsoft.com/office/2011/relationships/chartColorStyle" Target="colors43.xml"/><Relationship Id="rId1" Type="http://schemas.openxmlformats.org/officeDocument/2006/relationships/oleObject" Target="file:///C:\Users\nadina\Dropbox%20(CEPS)\DG%20DIGIT\Draft\190215%20Graphs_averages_final.xlsx" TargetMode="External"/></Relationships>
</file>

<file path=word/charts/_rels/chart44.xml.rels><?xml version="1.0" encoding="UTF-8" standalone="yes"?>
<Relationships xmlns="http://schemas.openxmlformats.org/package/2006/relationships"><Relationship Id="rId3" Type="http://schemas.microsoft.com/office/2011/relationships/chartStyle" Target="style44.xml"/><Relationship Id="rId2" Type="http://schemas.microsoft.com/office/2011/relationships/chartColorStyle" Target="colors44.xml"/><Relationship Id="rId1" Type="http://schemas.openxmlformats.org/officeDocument/2006/relationships/oleObject" Target="file:///C:\Users\Nadina\Dropbox%20(CEPS)\DG%20DIGIT\Draft\190215%20Graphs_averages_final.xlsx" TargetMode="External"/></Relationships>
</file>

<file path=word/charts/_rels/chart45.xml.rels><?xml version="1.0" encoding="UTF-8" standalone="yes"?>
<Relationships xmlns="http://schemas.openxmlformats.org/package/2006/relationships"><Relationship Id="rId3" Type="http://schemas.microsoft.com/office/2011/relationships/chartStyle" Target="style45.xml"/><Relationship Id="rId2" Type="http://schemas.microsoft.com/office/2011/relationships/chartColorStyle" Target="colors45.xml"/><Relationship Id="rId1" Type="http://schemas.openxmlformats.org/officeDocument/2006/relationships/oleObject" Target="file:///C:\Users\Nadina\Dropbox%20(CEPS)\DG%20DIGIT\Draft\190215%20Graphs_averages_final.xlsx" TargetMode="External"/></Relationships>
</file>

<file path=word/charts/_rels/chart46.xml.rels><?xml version="1.0" encoding="UTF-8" standalone="yes"?>
<Relationships xmlns="http://schemas.openxmlformats.org/package/2006/relationships"><Relationship Id="rId3" Type="http://schemas.microsoft.com/office/2011/relationships/chartStyle" Target="style46.xml"/><Relationship Id="rId2" Type="http://schemas.microsoft.com/office/2011/relationships/chartColorStyle" Target="colors46.xml"/><Relationship Id="rId1" Type="http://schemas.openxmlformats.org/officeDocument/2006/relationships/oleObject" Target="file:///C:\Users\nadina\Dropbox%20(CEPS)\DG%20DIGIT\Draft\ARCHIVE\190215%20Graphs_averages_final.xlsx" TargetMode="External"/></Relationships>
</file>

<file path=word/charts/_rels/chart47.xml.rels><?xml version="1.0" encoding="UTF-8" standalone="yes"?>
<Relationships xmlns="http://schemas.openxmlformats.org/package/2006/relationships"><Relationship Id="rId3" Type="http://schemas.microsoft.com/office/2011/relationships/chartStyle" Target="style47.xml"/><Relationship Id="rId2" Type="http://schemas.microsoft.com/office/2011/relationships/chartColorStyle" Target="colors47.xml"/><Relationship Id="rId1" Type="http://schemas.openxmlformats.org/officeDocument/2006/relationships/oleObject" Target="file:///C:\Users\nadina\Dropbox%20(CEPS)\DG%20DIGIT\Draft\ARCHIVE\190215%20Graphs_averages_final.xlsx" TargetMode="External"/></Relationships>
</file>

<file path=word/charts/_rels/chart48.xml.rels><?xml version="1.0" encoding="UTF-8" standalone="yes"?>
<Relationships xmlns="http://schemas.openxmlformats.org/package/2006/relationships"><Relationship Id="rId3" Type="http://schemas.microsoft.com/office/2011/relationships/chartStyle" Target="style48.xml"/><Relationship Id="rId2" Type="http://schemas.microsoft.com/office/2011/relationships/chartColorStyle" Target="colors48.xml"/><Relationship Id="rId1" Type="http://schemas.openxmlformats.org/officeDocument/2006/relationships/oleObject" Target="file:///C:\Users\nadina\Dropbox%20(CEPS)\DG%20DIGIT\Draft\ARCHIVE\190215%20Graphs_averages_final.xlsx" TargetMode="External"/></Relationships>
</file>

<file path=word/charts/_rels/chart49.xml.rels><?xml version="1.0" encoding="UTF-8" standalone="yes"?>
<Relationships xmlns="http://schemas.openxmlformats.org/package/2006/relationships"><Relationship Id="rId3" Type="http://schemas.microsoft.com/office/2011/relationships/chartStyle" Target="style49.xml"/><Relationship Id="rId2" Type="http://schemas.microsoft.com/office/2011/relationships/chartColorStyle" Target="colors49.xml"/><Relationship Id="rId1" Type="http://schemas.openxmlformats.org/officeDocument/2006/relationships/oleObject" Target="file:///C:\Users\nadina\Dropbox%20(CEPS)\DG%20DIGIT\Draft\ARCHIVE\190215%20Graphs_averages_final.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nadina\Dropbox%20(CEPS)\DG%20DIGIT\Draft\190215%20Graphs_averages_final.xlsx" TargetMode="External"/></Relationships>
</file>

<file path=word/charts/_rels/chart50.xml.rels><?xml version="1.0" encoding="UTF-8" standalone="yes"?>
<Relationships xmlns="http://schemas.openxmlformats.org/package/2006/relationships"><Relationship Id="rId3" Type="http://schemas.microsoft.com/office/2011/relationships/chartStyle" Target="style50.xml"/><Relationship Id="rId2" Type="http://schemas.microsoft.com/office/2011/relationships/chartColorStyle" Target="colors50.xml"/><Relationship Id="rId1" Type="http://schemas.openxmlformats.org/officeDocument/2006/relationships/oleObject" Target="file:///C:\Users\nadina\Dropbox%20(CEPS)\DG%20DIGIT\Draft\ARCHIVE\190215%20Graphs_averages_final.xlsx" TargetMode="External"/></Relationships>
</file>

<file path=word/charts/_rels/chart51.xml.rels><?xml version="1.0" encoding="UTF-8" standalone="yes"?>
<Relationships xmlns="http://schemas.openxmlformats.org/package/2006/relationships"><Relationship Id="rId3" Type="http://schemas.microsoft.com/office/2011/relationships/chartStyle" Target="style51.xml"/><Relationship Id="rId2" Type="http://schemas.microsoft.com/office/2011/relationships/chartColorStyle" Target="colors51.xml"/><Relationship Id="rId1" Type="http://schemas.openxmlformats.org/officeDocument/2006/relationships/oleObject" Target="file:///C:\Users\nadina\Dropbox%20(CEPS)\DG%20DIGIT\Draft\ARCHIVE\190215%20Graphs_averages_final.xlsx" TargetMode="External"/></Relationships>
</file>

<file path=word/charts/_rels/chart52.xml.rels><?xml version="1.0" encoding="UTF-8" standalone="yes"?>
<Relationships xmlns="http://schemas.openxmlformats.org/package/2006/relationships"><Relationship Id="rId3" Type="http://schemas.microsoft.com/office/2011/relationships/chartStyle" Target="style52.xml"/><Relationship Id="rId2" Type="http://schemas.microsoft.com/office/2011/relationships/chartColorStyle" Target="colors52.xml"/><Relationship Id="rId1" Type="http://schemas.openxmlformats.org/officeDocument/2006/relationships/oleObject" Target="file:///C:\Users\Nadina\Dropbox%20(CEPS)\DG%20DIGIT\Draft\190215%20Graphs_averages_final.xlsx" TargetMode="External"/></Relationships>
</file>

<file path=word/charts/_rels/chart53.xml.rels><?xml version="1.0" encoding="UTF-8" standalone="yes"?>
<Relationships xmlns="http://schemas.openxmlformats.org/package/2006/relationships"><Relationship Id="rId3" Type="http://schemas.microsoft.com/office/2011/relationships/chartStyle" Target="style53.xml"/><Relationship Id="rId2" Type="http://schemas.microsoft.com/office/2011/relationships/chartColorStyle" Target="colors53.xml"/><Relationship Id="rId1" Type="http://schemas.openxmlformats.org/officeDocument/2006/relationships/oleObject" Target="file:///C:\Users\Nadina\Dropbox%20(CEPS)\DG%20DIGIT\Draft\190215%20Graphs_averages_final.xlsx" TargetMode="External"/></Relationships>
</file>

<file path=word/charts/_rels/chart54.xml.rels><?xml version="1.0" encoding="UTF-8" standalone="yes"?>
<Relationships xmlns="http://schemas.openxmlformats.org/package/2006/relationships"><Relationship Id="rId3" Type="http://schemas.microsoft.com/office/2011/relationships/chartStyle" Target="style54.xml"/><Relationship Id="rId2" Type="http://schemas.microsoft.com/office/2011/relationships/chartColorStyle" Target="colors54.xml"/><Relationship Id="rId1" Type="http://schemas.openxmlformats.org/officeDocument/2006/relationships/oleObject" Target="file:///C:\Users\Nadina\Dropbox%20(CEPS)\DG%20DIGIT\Draft\190215%20Graphs_averages_final.xlsx" TargetMode="External"/></Relationships>
</file>

<file path=word/charts/_rels/chart55.xml.rels><?xml version="1.0" encoding="UTF-8" standalone="yes"?>
<Relationships xmlns="http://schemas.openxmlformats.org/package/2006/relationships"><Relationship Id="rId3" Type="http://schemas.microsoft.com/office/2011/relationships/chartStyle" Target="style55.xml"/><Relationship Id="rId2" Type="http://schemas.microsoft.com/office/2011/relationships/chartColorStyle" Target="colors55.xml"/><Relationship Id="rId1" Type="http://schemas.openxmlformats.org/officeDocument/2006/relationships/oleObject" Target="file:///C:\Users\nadina\Dropbox%20(CEPS)\DG%20DIGIT\Draft\ARCHIVE\190215%20Graphs_averages_final.xlsx" TargetMode="External"/></Relationships>
</file>

<file path=word/charts/_rels/chart56.xml.rels><?xml version="1.0" encoding="UTF-8" standalone="yes"?>
<Relationships xmlns="http://schemas.openxmlformats.org/package/2006/relationships"><Relationship Id="rId3" Type="http://schemas.microsoft.com/office/2011/relationships/chartStyle" Target="style56.xml"/><Relationship Id="rId2" Type="http://schemas.microsoft.com/office/2011/relationships/chartColorStyle" Target="colors56.xml"/><Relationship Id="rId1" Type="http://schemas.openxmlformats.org/officeDocument/2006/relationships/oleObject" Target="file:///C:\Users\nadina\Dropbox%20(CEPS)\DG%20DIGIT\Draft\ARCHIVE\190215%20Graphs_averages_final.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nadina\Dropbox%20(CEPS)\DG%20DIGIT\Draft\190215%20Graphs_averages_final.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nadina\Dropbox%20(CEPS)\DG%20DIGIT\Draft\190215%20Graphs_averages_final.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C:\Users\nadina\Dropbox%20(CEPS)\DG%20DIGIT\Draft\190215%20Graphs_averages_final.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C:\Users\nadina\Dropbox%20(CEPS)\DG%20DIGIT\Draft\190215%20Graphs_averages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Graphs_averages_final.xlsx]Relevance_Avg!PivotTable1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marker>
          <c:symbol val="none"/>
        </c:marker>
        <c:dLbl>
          <c:idx val="0"/>
          <c:delete val="1"/>
          <c:extLst xmlns:c16r2="http://schemas.microsoft.com/office/drawing/2015/06/chart">
            <c:ext xmlns:c15="http://schemas.microsoft.com/office/drawing/2012/chart" uri="{CE6537A1-D6FC-4f65-9D91-7224C49458BB}"/>
          </c:extLst>
        </c:dLbl>
      </c:pivotFmt>
      <c:pivotFmt>
        <c:idx val="149"/>
        <c:marker>
          <c:symbol val="none"/>
        </c:marker>
        <c:dLbl>
          <c:idx val="0"/>
          <c:delete val="1"/>
          <c:extLst xmlns:c16r2="http://schemas.microsoft.com/office/drawing/2015/06/chart">
            <c:ext xmlns:c15="http://schemas.microsoft.com/office/drawing/2012/chart" uri="{CE6537A1-D6FC-4f65-9D91-7224C49458BB}"/>
          </c:extLst>
        </c:dLbl>
      </c:pivotFmt>
      <c:pivotFmt>
        <c:idx val="15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5EBE553-B8EC-486A-B791-1E90FF9835C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0B4F995-8D9B-49E7-BF54-9B91A19EA3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32B469F-0476-40DC-AFD8-F1F296FE133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692EB8E-3799-4159-872B-7DBC736B283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575BCB8-B33E-4FAB-83D7-CA1674B842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BDE35D-6466-4F67-AAFF-FC67FE23D69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C1FA3A4-81B7-4912-AF69-9ED5B4748C1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3A34B23-594A-492B-B9D6-FF899A008B7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84106FD-54A8-4EAC-9231-B730450BDEC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9"/>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0B8ED7B-AB53-4768-A516-AE68DD1755B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F0CDFC4-BCFD-4455-A299-5A57599642C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8D03598-A127-4A21-97DA-7FE25E91321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8540AC8-52B2-4DB8-BE23-D8B837B8CF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018C810-72B8-42E0-AAAA-18069147560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4"/>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4403DF9-7BD6-4C8F-B19D-9E17B6266B0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76381F7-B475-4248-9269-4D5D798B4C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60B3B6F-A3C6-4B86-A107-5645068EBD4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8B9E632-C6A7-4E2D-8949-3822F46E97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2C79334-35EB-4DF1-875A-5860D084F9A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9"/>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0A5E82D-E7C2-4EA8-B6A0-9E187B2AB8D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7C13E7C-5D90-40FF-9BCA-6EC101F23BC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D2BC691-0E19-4040-9A42-5C02887DA61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336AA42-7623-475C-B810-A2FF10725E6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9AB3D3D-6FB8-46CE-B9C1-104CBE86CE7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5EBE553-B8EC-486A-B791-1E90FF9835C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0B4F995-8D9B-49E7-BF54-9B91A19EA3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32B469F-0476-40DC-AFD8-F1F296FE133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692EB8E-3799-4159-872B-7DBC736B283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9"/>
        <c:marker>
          <c:symbol val="none"/>
        </c:marker>
        <c:dLbl>
          <c:idx val="0"/>
          <c:delete val="1"/>
          <c:extLst xmlns:c16r2="http://schemas.microsoft.com/office/drawing/2015/06/chart">
            <c:ext xmlns:c15="http://schemas.microsoft.com/office/drawing/2012/chart" uri="{CE6537A1-D6FC-4f65-9D91-7224C49458BB}"/>
          </c:extLst>
        </c:dLbl>
      </c:pivotFmt>
      <c:pivotFmt>
        <c:idx val="18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575BCB8-B33E-4FAB-83D7-CA1674B842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BDE35D-6466-4F67-AAFF-FC67FE23D69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C1FA3A4-81B7-4912-AF69-9ED5B4748C1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3A34B23-594A-492B-B9D6-FF899A008B7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4"/>
        <c:marker>
          <c:symbol val="none"/>
        </c:marker>
        <c:dLbl>
          <c:idx val="0"/>
          <c:delete val="1"/>
          <c:extLst xmlns:c16r2="http://schemas.microsoft.com/office/drawing/2015/06/chart">
            <c:ext xmlns:c15="http://schemas.microsoft.com/office/drawing/2012/chart" uri="{CE6537A1-D6FC-4f65-9D91-7224C49458BB}"/>
          </c:extLst>
        </c:dLbl>
      </c:pivotFmt>
      <c:pivotFmt>
        <c:idx val="18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84106FD-54A8-4EAC-9231-B730450BDEC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0B8ED7B-AB53-4768-A516-AE68DD1755B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F0CDFC4-BCFD-4455-A299-5A57599642C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8D03598-A127-4A21-97DA-7FE25E91321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9"/>
        <c:marker>
          <c:symbol val="none"/>
        </c:marker>
        <c:dLbl>
          <c:idx val="0"/>
          <c:delete val="1"/>
          <c:extLst xmlns:c16r2="http://schemas.microsoft.com/office/drawing/2015/06/chart">
            <c:ext xmlns:c15="http://schemas.microsoft.com/office/drawing/2012/chart" uri="{CE6537A1-D6FC-4f65-9D91-7224C49458BB}"/>
          </c:extLst>
        </c:dLbl>
      </c:pivotFmt>
      <c:pivotFmt>
        <c:idx val="19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8540AC8-52B2-4DB8-BE23-D8B837B8CF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018C810-72B8-42E0-AAAA-18069147560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4403DF9-7BD6-4C8F-B19D-9E17B6266B0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76381F7-B475-4248-9269-4D5D798B4C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4"/>
        <c:marker>
          <c:symbol val="none"/>
        </c:marker>
        <c:dLbl>
          <c:idx val="0"/>
          <c:delete val="1"/>
          <c:extLst xmlns:c16r2="http://schemas.microsoft.com/office/drawing/2015/06/chart">
            <c:ext xmlns:c15="http://schemas.microsoft.com/office/drawing/2012/chart" uri="{CE6537A1-D6FC-4f65-9D91-7224C49458BB}"/>
          </c:extLst>
        </c:dLbl>
      </c:pivotFmt>
      <c:pivotFmt>
        <c:idx val="19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60B3B6F-A3C6-4B86-A107-5645068EBD4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8B9E632-C6A7-4E2D-8949-3822F46E97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2C79334-35EB-4DF1-875A-5860D084F9A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0A5E82D-E7C2-4EA8-B6A0-9E187B2AB8D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9"/>
        <c:marker>
          <c:symbol val="none"/>
        </c:marker>
        <c:dLbl>
          <c:idx val="0"/>
          <c:delete val="1"/>
          <c:extLst xmlns:c16r2="http://schemas.microsoft.com/office/drawing/2015/06/chart">
            <c:ext xmlns:c15="http://schemas.microsoft.com/office/drawing/2012/chart" uri="{CE6537A1-D6FC-4f65-9D91-7224C49458BB}"/>
          </c:extLst>
        </c:dLbl>
      </c:pivotFmt>
      <c:pivotFmt>
        <c:idx val="20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7C13E7C-5D90-40FF-9BCA-6EC101F23BC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D2BC691-0E19-4040-9A42-5C02887DA61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336AA42-7623-475C-B810-A2FF10725E6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9AB3D3D-6FB8-46CE-B9C1-104CBE86CE7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4"/>
        <c:marker>
          <c:symbol val="none"/>
        </c:marker>
        <c:dLbl>
          <c:idx val="0"/>
          <c:delete val="1"/>
          <c:extLst xmlns:c16r2="http://schemas.microsoft.com/office/drawing/2015/06/chart">
            <c:ext xmlns:c15="http://schemas.microsoft.com/office/drawing/2012/chart" uri="{CE6537A1-D6FC-4f65-9D91-7224C49458BB}"/>
          </c:extLst>
        </c:dLbl>
      </c:pivotFmt>
      <c:pivotFmt>
        <c:idx val="20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788A2F0-CE7B-4720-8F21-783941C61FF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D12C2FB-20A9-496A-87BF-96DC9CA3F5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F110C2-C780-4195-8B70-1D3FE93C9E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68C6A8D-AEA0-4B88-B228-F3C74449AC8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9"/>
        <c:marker>
          <c:symbol val="none"/>
        </c:marker>
        <c:dLbl>
          <c:idx val="0"/>
          <c:delete val="1"/>
          <c:extLst xmlns:c16r2="http://schemas.microsoft.com/office/drawing/2015/06/chart">
            <c:ext xmlns:c15="http://schemas.microsoft.com/office/drawing/2012/chart" uri="{CE6537A1-D6FC-4f65-9D91-7224C49458BB}"/>
          </c:extLst>
        </c:dLbl>
      </c:pivotFmt>
      <c:pivotFmt>
        <c:idx val="21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5568871-0D90-4608-A539-AA400A1296A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06B8A76-AE0C-44C5-A0F5-94A3EA38FEC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A141C4-B5E8-43EE-9BBC-1D58B12185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7112DC1-2D65-473F-A08D-DF14B2A27BE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4"/>
        <c:marker>
          <c:symbol val="none"/>
        </c:marker>
        <c:dLbl>
          <c:idx val="0"/>
          <c:delete val="1"/>
          <c:extLst xmlns:c16r2="http://schemas.microsoft.com/office/drawing/2015/06/chart">
            <c:ext xmlns:c15="http://schemas.microsoft.com/office/drawing/2012/chart" uri="{CE6537A1-D6FC-4f65-9D91-7224C49458BB}"/>
          </c:extLst>
        </c:dLbl>
      </c:pivotFmt>
      <c:pivotFmt>
        <c:idx val="21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359506-93B4-4AA9-AA28-CC55FD1A75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A7D0F2-751B-4BAE-872D-B187C8DC20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680591-50C8-4DBE-BA61-433F3984B85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8"/>
        <c:dLbl>
          <c:idx val="0"/>
          <c:layout>
            <c:manualLayout>
              <c:x val="-1.1658582860126417E-16"/>
              <c:y val="2.3094688221709007E-3"/>
            </c:manualLayout>
          </c:layout>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EA8994-6FE6-4542-BFF4-AECE0A52902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9"/>
        <c:marker>
          <c:symbol val="none"/>
        </c:marker>
        <c:dLbl>
          <c:idx val="0"/>
          <c:delete val="1"/>
          <c:extLst xmlns:c16r2="http://schemas.microsoft.com/office/drawing/2015/06/chart">
            <c:ext xmlns:c15="http://schemas.microsoft.com/office/drawing/2012/chart" uri="{CE6537A1-D6FC-4f65-9D91-7224C49458BB}"/>
          </c:extLst>
        </c:dLbl>
      </c:pivotFmt>
      <c:pivotFmt>
        <c:idx val="22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105F4E-7F5D-44A4-82FD-FC638384E31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FB68843-C112-42F7-A666-626E29F611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D9A723-C5C9-4273-89F9-2144F17F27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9C69F98-945D-47FA-BD2F-984D5973EB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4"/>
        <c:marker>
          <c:symbol val="none"/>
        </c:marker>
        <c:dLbl>
          <c:idx val="0"/>
          <c:delete val="1"/>
          <c:extLst xmlns:c16r2="http://schemas.microsoft.com/office/drawing/2015/06/chart">
            <c:ext xmlns:c15="http://schemas.microsoft.com/office/drawing/2012/chart" uri="{CE6537A1-D6FC-4f65-9D91-7224C49458BB}"/>
          </c:extLst>
        </c:dLbl>
      </c:pivotFmt>
      <c:pivotFmt>
        <c:idx val="22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4925B8E-7112-4374-BAEF-7BA240F8537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B880991-D0B5-48EF-8C21-E758AC0121D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57B582B-2FEB-470D-B1B9-9501C29DC9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D324AE5-1168-4161-BC33-640B4CF2589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9"/>
        <c:marker>
          <c:symbol val="none"/>
        </c:marker>
        <c:dLbl>
          <c:idx val="0"/>
          <c:delete val="1"/>
          <c:extLst xmlns:c16r2="http://schemas.microsoft.com/office/drawing/2015/06/chart">
            <c:ext xmlns:c15="http://schemas.microsoft.com/office/drawing/2012/chart" uri="{CE6537A1-D6FC-4f65-9D91-7224C49458BB}"/>
          </c:extLst>
        </c:dLbl>
      </c:pivotFmt>
      <c:pivotFmt>
        <c:idx val="23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71174FA-F99C-4A6E-802B-19711CC892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CA4425B-1522-46F9-824B-EB26722824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FCF5ECE-D567-4746-9E03-4D4F3872885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5A92217-5D9C-49D7-BCEF-136202A0B3C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4"/>
        <c:marker>
          <c:symbol val="none"/>
        </c:marker>
        <c:dLbl>
          <c:idx val="0"/>
          <c:delete val="1"/>
          <c:extLst xmlns:c16r2="http://schemas.microsoft.com/office/drawing/2015/06/chart">
            <c:ext xmlns:c15="http://schemas.microsoft.com/office/drawing/2012/chart" uri="{CE6537A1-D6FC-4f65-9D91-7224C49458BB}"/>
          </c:extLst>
        </c:dLbl>
      </c:pivotFmt>
      <c:pivotFmt>
        <c:idx val="23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788A2F0-CE7B-4720-8F21-783941C61FF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D12C2FB-20A9-496A-87BF-96DC9CA3F5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F110C2-C780-4195-8B70-1D3FE93C9E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68C6A8D-AEA0-4B88-B228-F3C74449AC8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9"/>
        <c:marker>
          <c:symbol val="none"/>
        </c:marker>
        <c:dLbl>
          <c:idx val="0"/>
          <c:delete val="1"/>
          <c:extLst xmlns:c16r2="http://schemas.microsoft.com/office/drawing/2015/06/chart">
            <c:ext xmlns:c15="http://schemas.microsoft.com/office/drawing/2012/chart" uri="{CE6537A1-D6FC-4f65-9D91-7224C49458BB}"/>
          </c:extLst>
        </c:dLbl>
      </c:pivotFmt>
      <c:pivotFmt>
        <c:idx val="24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5568871-0D90-4608-A539-AA400A1296A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06B8A76-AE0C-44C5-A0F5-94A3EA38FEC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A141C4-B5E8-43EE-9BBC-1D58B12185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7112DC1-2D65-473F-A08D-DF14B2A27BE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4"/>
        <c:marker>
          <c:symbol val="none"/>
        </c:marker>
        <c:dLbl>
          <c:idx val="0"/>
          <c:delete val="1"/>
          <c:extLst xmlns:c16r2="http://schemas.microsoft.com/office/drawing/2015/06/chart">
            <c:ext xmlns:c15="http://schemas.microsoft.com/office/drawing/2012/chart" uri="{CE6537A1-D6FC-4f65-9D91-7224C49458BB}"/>
          </c:extLst>
        </c:dLbl>
      </c:pivotFmt>
      <c:pivotFmt>
        <c:idx val="24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359506-93B4-4AA9-AA28-CC55FD1A75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A7D0F2-751B-4BAE-872D-B187C8DC20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680591-50C8-4DBE-BA61-433F3984B85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8"/>
        <c:dLbl>
          <c:idx val="0"/>
          <c:layout>
            <c:manualLayout>
              <c:x val="-1.1658582860126417E-16"/>
              <c:y val="2.3094688221709007E-3"/>
            </c:manualLayout>
          </c:layout>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EA8994-6FE6-4542-BFF4-AECE0A52902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9"/>
        <c:marker>
          <c:symbol val="none"/>
        </c:marker>
        <c:dLbl>
          <c:idx val="0"/>
          <c:delete val="1"/>
          <c:extLst xmlns:c16r2="http://schemas.microsoft.com/office/drawing/2015/06/chart">
            <c:ext xmlns:c15="http://schemas.microsoft.com/office/drawing/2012/chart" uri="{CE6537A1-D6FC-4f65-9D91-7224C49458BB}"/>
          </c:extLst>
        </c:dLbl>
      </c:pivotFmt>
      <c:pivotFmt>
        <c:idx val="25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105F4E-7F5D-44A4-82FD-FC638384E31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FB68843-C112-42F7-A666-626E29F611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D9A723-C5C9-4273-89F9-2144F17F27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9C69F98-945D-47FA-BD2F-984D5973EB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4"/>
        <c:marker>
          <c:symbol val="none"/>
        </c:marker>
        <c:dLbl>
          <c:idx val="0"/>
          <c:delete val="1"/>
          <c:extLst xmlns:c16r2="http://schemas.microsoft.com/office/drawing/2015/06/chart">
            <c:ext xmlns:c15="http://schemas.microsoft.com/office/drawing/2012/chart" uri="{CE6537A1-D6FC-4f65-9D91-7224C49458BB}"/>
          </c:extLst>
        </c:dLbl>
      </c:pivotFmt>
      <c:pivotFmt>
        <c:idx val="25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4925B8E-7112-4374-BAEF-7BA240F8537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B880991-D0B5-48EF-8C21-E758AC0121D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57B582B-2FEB-470D-B1B9-9501C29DC9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D324AE5-1168-4161-BC33-640B4CF2589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9"/>
        <c:marker>
          <c:symbol val="none"/>
        </c:marker>
        <c:dLbl>
          <c:idx val="0"/>
          <c:delete val="1"/>
          <c:extLst xmlns:c16r2="http://schemas.microsoft.com/office/drawing/2015/06/chart">
            <c:ext xmlns:c15="http://schemas.microsoft.com/office/drawing/2012/chart" uri="{CE6537A1-D6FC-4f65-9D91-7224C49458BB}"/>
          </c:extLst>
        </c:dLbl>
      </c:pivotFmt>
      <c:pivotFmt>
        <c:idx val="26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71174FA-F99C-4A6E-802B-19711CC892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CA4425B-1522-46F9-824B-EB26722824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FCF5ECE-D567-4746-9E03-4D4F3872885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5A92217-5D9C-49D7-BCEF-136202A0B3C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4"/>
        <c:marker>
          <c:symbol val="none"/>
        </c:marker>
        <c:dLbl>
          <c:idx val="0"/>
          <c:delete val="1"/>
          <c:extLst xmlns:c16r2="http://schemas.microsoft.com/office/drawing/2015/06/chart">
            <c:ext xmlns:c15="http://schemas.microsoft.com/office/drawing/2012/chart" uri="{CE6537A1-D6FC-4f65-9D91-7224C49458BB}"/>
          </c:extLst>
        </c:dLbl>
      </c:pivotFmt>
      <c:pivotFmt>
        <c:idx val="26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788A2F0-CE7B-4720-8F21-783941C61FF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D12C2FB-20A9-496A-87BF-96DC9CA3F5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F110C2-C780-4195-8B70-1D3FE93C9E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68C6A8D-AEA0-4B88-B228-F3C74449AC8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9"/>
        <c:marker>
          <c:symbol val="none"/>
        </c:marker>
        <c:dLbl>
          <c:idx val="0"/>
          <c:delete val="1"/>
          <c:extLst xmlns:c16r2="http://schemas.microsoft.com/office/drawing/2015/06/chart">
            <c:ext xmlns:c15="http://schemas.microsoft.com/office/drawing/2012/chart" uri="{CE6537A1-D6FC-4f65-9D91-7224C49458BB}"/>
          </c:extLst>
        </c:dLbl>
      </c:pivotFmt>
      <c:pivotFmt>
        <c:idx val="27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5568871-0D90-4608-A539-AA400A1296A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06B8A76-AE0C-44C5-A0F5-94A3EA38FEC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A141C4-B5E8-43EE-9BBC-1D58B12185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7112DC1-2D65-473F-A08D-DF14B2A27BE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4"/>
        <c:marker>
          <c:symbol val="none"/>
        </c:marker>
        <c:dLbl>
          <c:idx val="0"/>
          <c:delete val="1"/>
          <c:extLst xmlns:c16r2="http://schemas.microsoft.com/office/drawing/2015/06/chart">
            <c:ext xmlns:c15="http://schemas.microsoft.com/office/drawing/2012/chart" uri="{CE6537A1-D6FC-4f65-9D91-7224C49458BB}"/>
          </c:extLst>
        </c:dLbl>
      </c:pivotFmt>
      <c:pivotFmt>
        <c:idx val="27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359506-93B4-4AA9-AA28-CC55FD1A75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A7D0F2-751B-4BAE-872D-B187C8DC20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680591-50C8-4DBE-BA61-433F3984B85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8"/>
        <c:dLbl>
          <c:idx val="0"/>
          <c:layout>
            <c:manualLayout>
              <c:x val="-1.1658582860126417E-16"/>
              <c:y val="2.3094688221709007E-3"/>
            </c:manualLayout>
          </c:layout>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EA8994-6FE6-4542-BFF4-AECE0A52902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9"/>
        <c:marker>
          <c:symbol val="none"/>
        </c:marker>
        <c:dLbl>
          <c:idx val="0"/>
          <c:delete val="1"/>
          <c:extLst xmlns:c16r2="http://schemas.microsoft.com/office/drawing/2015/06/chart">
            <c:ext xmlns:c15="http://schemas.microsoft.com/office/drawing/2012/chart" uri="{CE6537A1-D6FC-4f65-9D91-7224C49458BB}"/>
          </c:extLst>
        </c:dLbl>
      </c:pivotFmt>
      <c:pivotFmt>
        <c:idx val="28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105F4E-7F5D-44A4-82FD-FC638384E31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FB68843-C112-42F7-A666-626E29F611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D9A723-C5C9-4273-89F9-2144F17F27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9C69F98-945D-47FA-BD2F-984D5973EB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4"/>
        <c:marker>
          <c:symbol val="none"/>
        </c:marker>
        <c:dLbl>
          <c:idx val="0"/>
          <c:delete val="1"/>
          <c:extLst xmlns:c16r2="http://schemas.microsoft.com/office/drawing/2015/06/chart">
            <c:ext xmlns:c15="http://schemas.microsoft.com/office/drawing/2012/chart" uri="{CE6537A1-D6FC-4f65-9D91-7224C49458BB}"/>
          </c:extLst>
        </c:dLbl>
      </c:pivotFmt>
      <c:pivotFmt>
        <c:idx val="28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4925B8E-7112-4374-BAEF-7BA240F8537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B880991-D0B5-48EF-8C21-E758AC0121D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57B582B-2FEB-470D-B1B9-9501C29DC9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D324AE5-1168-4161-BC33-640B4CF2589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9"/>
        <c:marker>
          <c:symbol val="none"/>
        </c:marker>
        <c:dLbl>
          <c:idx val="0"/>
          <c:delete val="1"/>
          <c:extLst xmlns:c16r2="http://schemas.microsoft.com/office/drawing/2015/06/chart">
            <c:ext xmlns:c15="http://schemas.microsoft.com/office/drawing/2012/chart" uri="{CE6537A1-D6FC-4f65-9D91-7224C49458BB}"/>
          </c:extLst>
        </c:dLbl>
      </c:pivotFmt>
      <c:pivotFmt>
        <c:idx val="29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71174FA-F99C-4A6E-802B-19711CC892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CA4425B-1522-46F9-824B-EB26722824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FCF5ECE-D567-4746-9E03-4D4F3872885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5A92217-5D9C-49D7-BCEF-136202A0B3C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0.49154193865361062"/>
          <c:y val="3.2219301386393936E-2"/>
          <c:w val="0.43920198380999476"/>
          <c:h val="0.75354442917721176"/>
        </c:manualLayout>
      </c:layout>
      <c:barChart>
        <c:barDir val="bar"/>
        <c:grouping val="clustered"/>
        <c:varyColors val="0"/>
        <c:ser>
          <c:idx val="0"/>
          <c:order val="0"/>
          <c:tx>
            <c:strRef>
              <c:f>Relevance_Avg!$Q$34:$Q$35</c:f>
              <c:strCache>
                <c:ptCount val="1"/>
                <c:pt idx="0">
                  <c:v>Wider public</c:v>
                </c:pt>
              </c:strCache>
            </c:strRef>
          </c:tx>
          <c:spPr>
            <a:solidFill>
              <a:schemeClr val="accent1"/>
            </a:solidFill>
            <a:ln>
              <a:solidFill>
                <a:schemeClr val="accent1"/>
              </a:solidFill>
            </a:ln>
            <a:effectLst/>
          </c:spPr>
          <c:invertIfNegative val="0"/>
          <c:dLbls>
            <c:dLbl>
              <c:idx val="0"/>
              <c:tx>
                <c:rich>
                  <a:bodyPr/>
                  <a:lstStyle/>
                  <a:p>
                    <a:fld id="{3877D1FB-44B2-412A-A268-8CC7BF802EDB}"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FEDF-472A-9E10-1DDC9C5DE59D}"/>
                </c:ext>
              </c:extLst>
            </c:dLbl>
            <c:dLbl>
              <c:idx val="1"/>
              <c:tx>
                <c:rich>
                  <a:bodyPr/>
                  <a:lstStyle/>
                  <a:p>
                    <a:fld id="{EA72D3BA-B34F-4841-93D5-087498E6B95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FEDF-472A-9E10-1DDC9C5DE59D}"/>
                </c:ext>
              </c:extLst>
            </c:dLbl>
            <c:dLbl>
              <c:idx val="2"/>
              <c:tx>
                <c:rich>
                  <a:bodyPr/>
                  <a:lstStyle/>
                  <a:p>
                    <a:fld id="{D91414FB-A22E-44E0-BDF7-784F17205997}"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FEDF-472A-9E10-1DDC9C5DE59D}"/>
                </c:ext>
              </c:extLst>
            </c:dLbl>
            <c:dLbl>
              <c:idx val="3"/>
              <c:tx>
                <c:rich>
                  <a:bodyPr/>
                  <a:lstStyle/>
                  <a:p>
                    <a:fld id="{A162E26C-4145-429D-90C9-3DA7199BC9C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FEDF-472A-9E10-1DDC9C5DE5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Relevance_Avg!$Q$36:$Q$40</c:f>
              <c:numCache>
                <c:formatCode>General</c:formatCode>
                <c:ptCount val="4"/>
                <c:pt idx="0">
                  <c:v>3.5384615384615383</c:v>
                </c:pt>
                <c:pt idx="1">
                  <c:v>4.2592592592592595</c:v>
                </c:pt>
                <c:pt idx="2">
                  <c:v>4.0344827586206895</c:v>
                </c:pt>
                <c:pt idx="3">
                  <c:v>3.9310344827586206</c:v>
                </c:pt>
              </c:numCache>
            </c:numRef>
          </c:val>
          <c:extLst xmlns:c16r2="http://schemas.microsoft.com/office/drawing/2015/06/chart">
            <c:ext xmlns:c15="http://schemas.microsoft.com/office/drawing/2012/chart" uri="{02D57815-91ED-43cb-92C2-25804820EDAC}">
              <c15:datalabelsRange>
                <c15:f>Relevance_Avg!$Q$64:$Q$67</c15:f>
                <c15:dlblRangeCache>
                  <c:ptCount val="4"/>
                  <c:pt idx="0">
                    <c:v>3.54 (26)</c:v>
                  </c:pt>
                  <c:pt idx="1">
                    <c:v>4.26 (27)</c:v>
                  </c:pt>
                  <c:pt idx="2">
                    <c:v>4.03 (29)</c:v>
                  </c:pt>
                  <c:pt idx="3">
                    <c:v>3.93 (29)</c:v>
                  </c:pt>
                </c15:dlblRangeCache>
              </c15:datalabelsRange>
            </c:ext>
            <c:ext xmlns:c16="http://schemas.microsoft.com/office/drawing/2014/chart" uri="{C3380CC4-5D6E-409C-BE32-E72D297353CC}">
              <c16:uniqueId val="{00000004-FEDF-472A-9E10-1DDC9C5DE59D}"/>
            </c:ext>
          </c:extLst>
        </c:ser>
        <c:ser>
          <c:idx val="1"/>
          <c:order val="1"/>
          <c:tx>
            <c:strRef>
              <c:f>Relevance_Avg!$R$34:$R$35</c:f>
              <c:strCache>
                <c:ptCount val="1"/>
                <c:pt idx="0">
                  <c:v>Standardisation organisations</c:v>
                </c:pt>
              </c:strCache>
            </c:strRef>
          </c:tx>
          <c:spPr>
            <a:solidFill>
              <a:schemeClr val="accent2"/>
            </a:solidFill>
            <a:ln>
              <a:noFill/>
            </a:ln>
            <a:effectLst/>
          </c:spPr>
          <c:invertIfNegative val="0"/>
          <c:dLbls>
            <c:dLbl>
              <c:idx val="0"/>
              <c:tx>
                <c:rich>
                  <a:bodyPr/>
                  <a:lstStyle/>
                  <a:p>
                    <a:fld id="{C98EEA99-BD43-472A-9724-EA3A9BBC396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FEDF-472A-9E10-1DDC9C5DE59D}"/>
                </c:ext>
              </c:extLst>
            </c:dLbl>
            <c:dLbl>
              <c:idx val="1"/>
              <c:tx>
                <c:rich>
                  <a:bodyPr/>
                  <a:lstStyle/>
                  <a:p>
                    <a:fld id="{C43F57EE-DB75-4485-A5B7-F6D634EE966F}"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FEDF-472A-9E10-1DDC9C5DE59D}"/>
                </c:ext>
              </c:extLst>
            </c:dLbl>
            <c:dLbl>
              <c:idx val="2"/>
              <c:tx>
                <c:rich>
                  <a:bodyPr/>
                  <a:lstStyle/>
                  <a:p>
                    <a:fld id="{55F9678F-0924-4691-9648-0EDA19FDD19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FEDF-472A-9E10-1DDC9C5DE59D}"/>
                </c:ext>
              </c:extLst>
            </c:dLbl>
            <c:dLbl>
              <c:idx val="3"/>
              <c:tx>
                <c:rich>
                  <a:bodyPr/>
                  <a:lstStyle/>
                  <a:p>
                    <a:fld id="{1B328413-68D8-42E1-B064-82CDF6F77AF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FEDF-472A-9E10-1DDC9C5DE5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Relevance_Avg!$R$36:$R$40</c:f>
              <c:numCache>
                <c:formatCode>General</c:formatCode>
                <c:ptCount val="4"/>
                <c:pt idx="0">
                  <c:v>4.25</c:v>
                </c:pt>
                <c:pt idx="1">
                  <c:v>4.25</c:v>
                </c:pt>
                <c:pt idx="2">
                  <c:v>4.5</c:v>
                </c:pt>
                <c:pt idx="3">
                  <c:v>2.6</c:v>
                </c:pt>
              </c:numCache>
            </c:numRef>
          </c:val>
          <c:extLst xmlns:c16r2="http://schemas.microsoft.com/office/drawing/2015/06/chart">
            <c:ext xmlns:c15="http://schemas.microsoft.com/office/drawing/2012/chart" uri="{02D57815-91ED-43cb-92C2-25804820EDAC}">
              <c15:datalabelsRange>
                <c15:f>Relevance_Avg!$R$64:$R$67</c15:f>
                <c15:dlblRangeCache>
                  <c:ptCount val="4"/>
                  <c:pt idx="0">
                    <c:v>4.25 (4)</c:v>
                  </c:pt>
                  <c:pt idx="1">
                    <c:v>4.25 (4)</c:v>
                  </c:pt>
                  <c:pt idx="2">
                    <c:v>4.50 (4)</c:v>
                  </c:pt>
                  <c:pt idx="3">
                    <c:v>2.60 (5)</c:v>
                  </c:pt>
                </c15:dlblRangeCache>
              </c15:datalabelsRange>
            </c:ext>
            <c:ext xmlns:c16="http://schemas.microsoft.com/office/drawing/2014/chart" uri="{C3380CC4-5D6E-409C-BE32-E72D297353CC}">
              <c16:uniqueId val="{00000009-FEDF-472A-9E10-1DDC9C5DE59D}"/>
            </c:ext>
          </c:extLst>
        </c:ser>
        <c:ser>
          <c:idx val="2"/>
          <c:order val="2"/>
          <c:tx>
            <c:strRef>
              <c:f>Relevance_Avg!$S$34:$S$35</c:f>
              <c:strCache>
                <c:ptCount val="1"/>
                <c:pt idx="0">
                  <c:v>Stakeholders responsible for linked EU initiatives</c:v>
                </c:pt>
              </c:strCache>
            </c:strRef>
          </c:tx>
          <c:spPr>
            <a:solidFill>
              <a:schemeClr val="accent3"/>
            </a:solidFill>
            <a:ln>
              <a:noFill/>
            </a:ln>
            <a:effectLst/>
          </c:spPr>
          <c:invertIfNegative val="0"/>
          <c:dLbls>
            <c:dLbl>
              <c:idx val="0"/>
              <c:tx>
                <c:rich>
                  <a:bodyPr/>
                  <a:lstStyle/>
                  <a:p>
                    <a:fld id="{E46E92E2-F7BF-49DA-AE49-A673C604DFEF}"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FEDF-472A-9E10-1DDC9C5DE59D}"/>
                </c:ext>
              </c:extLst>
            </c:dLbl>
            <c:dLbl>
              <c:idx val="1"/>
              <c:tx>
                <c:rich>
                  <a:bodyPr/>
                  <a:lstStyle/>
                  <a:p>
                    <a:fld id="{1C6A8B1C-118F-4DC1-886A-783A3102AFF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FEDF-472A-9E10-1DDC9C5DE59D}"/>
                </c:ext>
              </c:extLst>
            </c:dLbl>
            <c:dLbl>
              <c:idx val="2"/>
              <c:tx>
                <c:rich>
                  <a:bodyPr/>
                  <a:lstStyle/>
                  <a:p>
                    <a:fld id="{880DCB72-00A8-41AD-AA16-1C9D14E10D5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FEDF-472A-9E10-1DDC9C5DE59D}"/>
                </c:ext>
              </c:extLst>
            </c:dLbl>
            <c:dLbl>
              <c:idx val="3"/>
              <c:layout>
                <c:manualLayout>
                  <c:x val="-1.1658582860126417E-16"/>
                  <c:y val="2.3094688221709007E-3"/>
                </c:manualLayout>
              </c:layout>
              <c:tx>
                <c:rich>
                  <a:bodyPr/>
                  <a:lstStyle/>
                  <a:p>
                    <a:fld id="{DB141D80-C40E-4E91-925C-6D4F1629C8CC}"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FEDF-472A-9E10-1DDC9C5DE5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Relevance_Avg!$S$36:$S$40</c:f>
              <c:numCache>
                <c:formatCode>General</c:formatCode>
                <c:ptCount val="4"/>
                <c:pt idx="0">
                  <c:v>4.1111111111111107</c:v>
                </c:pt>
                <c:pt idx="1">
                  <c:v>4.5</c:v>
                </c:pt>
                <c:pt idx="2">
                  <c:v>4.3</c:v>
                </c:pt>
                <c:pt idx="3">
                  <c:v>4.5</c:v>
                </c:pt>
              </c:numCache>
            </c:numRef>
          </c:val>
          <c:extLst xmlns:c16r2="http://schemas.microsoft.com/office/drawing/2015/06/chart">
            <c:ext xmlns:c15="http://schemas.microsoft.com/office/drawing/2012/chart" uri="{02D57815-91ED-43cb-92C2-25804820EDAC}">
              <c15:datalabelsRange>
                <c15:f>Relevance_Avg!$S$64:$S$67</c15:f>
                <c15:dlblRangeCache>
                  <c:ptCount val="4"/>
                  <c:pt idx="0">
                    <c:v>4.11 (9)</c:v>
                  </c:pt>
                  <c:pt idx="1">
                    <c:v>4.50 (10)</c:v>
                  </c:pt>
                  <c:pt idx="2">
                    <c:v>4.30 (10)</c:v>
                  </c:pt>
                  <c:pt idx="3">
                    <c:v>4.50 (10)</c:v>
                  </c:pt>
                </c15:dlblRangeCache>
              </c15:datalabelsRange>
            </c:ext>
            <c:ext xmlns:c16="http://schemas.microsoft.com/office/drawing/2014/chart" uri="{C3380CC4-5D6E-409C-BE32-E72D297353CC}">
              <c16:uniqueId val="{0000000E-FEDF-472A-9E10-1DDC9C5DE59D}"/>
            </c:ext>
          </c:extLst>
        </c:ser>
        <c:ser>
          <c:idx val="3"/>
          <c:order val="3"/>
          <c:tx>
            <c:strRef>
              <c:f>Relevance_Avg!$T$34:$T$35</c:f>
              <c:strCache>
                <c:ptCount val="1"/>
                <c:pt idx="0">
                  <c:v>Solution users</c:v>
                </c:pt>
              </c:strCache>
            </c:strRef>
          </c:tx>
          <c:spPr>
            <a:solidFill>
              <a:schemeClr val="accent4"/>
            </a:solidFill>
            <a:ln>
              <a:noFill/>
            </a:ln>
            <a:effectLst/>
          </c:spPr>
          <c:invertIfNegative val="0"/>
          <c:dLbls>
            <c:dLbl>
              <c:idx val="0"/>
              <c:tx>
                <c:rich>
                  <a:bodyPr/>
                  <a:lstStyle/>
                  <a:p>
                    <a:fld id="{BBE45F97-67D5-4A2B-948D-E4AFD7246660}"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F-FEDF-472A-9E10-1DDC9C5DE59D}"/>
                </c:ext>
              </c:extLst>
            </c:dLbl>
            <c:dLbl>
              <c:idx val="1"/>
              <c:tx>
                <c:rich>
                  <a:bodyPr/>
                  <a:lstStyle/>
                  <a:p>
                    <a:fld id="{7C692CB4-B60C-48EB-BFD1-CA5880E810A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FEDF-472A-9E10-1DDC9C5DE59D}"/>
                </c:ext>
              </c:extLst>
            </c:dLbl>
            <c:dLbl>
              <c:idx val="2"/>
              <c:tx>
                <c:rich>
                  <a:bodyPr/>
                  <a:lstStyle/>
                  <a:p>
                    <a:fld id="{A92C8E07-96D3-4BFA-B8FE-657A130E437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FEDF-472A-9E10-1DDC9C5DE59D}"/>
                </c:ext>
              </c:extLst>
            </c:dLbl>
            <c:dLbl>
              <c:idx val="3"/>
              <c:tx>
                <c:rich>
                  <a:bodyPr/>
                  <a:lstStyle/>
                  <a:p>
                    <a:fld id="{2C6E303B-0BDE-4C93-A59E-FD6BA587F285}"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FEDF-472A-9E10-1DDC9C5DE5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Relevance_Avg!$T$36:$T$40</c:f>
              <c:numCache>
                <c:formatCode>General</c:formatCode>
                <c:ptCount val="4"/>
                <c:pt idx="0">
                  <c:v>3.641025641025641</c:v>
                </c:pt>
                <c:pt idx="1">
                  <c:v>4.1428571428571432</c:v>
                </c:pt>
                <c:pt idx="2">
                  <c:v>4.0476190476190474</c:v>
                </c:pt>
                <c:pt idx="3">
                  <c:v>4.1190476190476186</c:v>
                </c:pt>
              </c:numCache>
            </c:numRef>
          </c:val>
          <c:extLst xmlns:c16r2="http://schemas.microsoft.com/office/drawing/2015/06/chart">
            <c:ext xmlns:c15="http://schemas.microsoft.com/office/drawing/2012/chart" uri="{02D57815-91ED-43cb-92C2-25804820EDAC}">
              <c15:datalabelsRange>
                <c15:f>Relevance_Avg!$T$64:$T$67</c15:f>
                <c15:dlblRangeCache>
                  <c:ptCount val="4"/>
                  <c:pt idx="0">
                    <c:v>3.64 (39)</c:v>
                  </c:pt>
                  <c:pt idx="1">
                    <c:v>4.14 (42)</c:v>
                  </c:pt>
                  <c:pt idx="2">
                    <c:v>4.05 (42)</c:v>
                  </c:pt>
                  <c:pt idx="3">
                    <c:v>4.12 (42)</c:v>
                  </c:pt>
                </c15:dlblRangeCache>
              </c15:datalabelsRange>
            </c:ext>
            <c:ext xmlns:c16="http://schemas.microsoft.com/office/drawing/2014/chart" uri="{C3380CC4-5D6E-409C-BE32-E72D297353CC}">
              <c16:uniqueId val="{00000013-FEDF-472A-9E10-1DDC9C5DE59D}"/>
            </c:ext>
          </c:extLst>
        </c:ser>
        <c:ser>
          <c:idx val="4"/>
          <c:order val="4"/>
          <c:tx>
            <c:strRef>
              <c:f>Relevance_Avg!$U$34:$U$35</c:f>
              <c:strCache>
                <c:ptCount val="1"/>
                <c:pt idx="0">
                  <c:v>Programme governance</c:v>
                </c:pt>
              </c:strCache>
            </c:strRef>
          </c:tx>
          <c:spPr>
            <a:solidFill>
              <a:schemeClr val="accent5"/>
            </a:solidFill>
            <a:ln>
              <a:noFill/>
            </a:ln>
            <a:effectLst/>
          </c:spPr>
          <c:invertIfNegative val="0"/>
          <c:dLbls>
            <c:dLbl>
              <c:idx val="0"/>
              <c:tx>
                <c:rich>
                  <a:bodyPr/>
                  <a:lstStyle/>
                  <a:p>
                    <a:fld id="{429EF0C3-1DD3-4F42-AB8E-A2088217C420}"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4-FEDF-472A-9E10-1DDC9C5DE59D}"/>
                </c:ext>
              </c:extLst>
            </c:dLbl>
            <c:dLbl>
              <c:idx val="1"/>
              <c:tx>
                <c:rich>
                  <a:bodyPr/>
                  <a:lstStyle/>
                  <a:p>
                    <a:fld id="{E79E8DDD-9BAE-4E49-9345-C6A137E04D34}"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FEDF-472A-9E10-1DDC9C5DE59D}"/>
                </c:ext>
              </c:extLst>
            </c:dLbl>
            <c:dLbl>
              <c:idx val="2"/>
              <c:tx>
                <c:rich>
                  <a:bodyPr/>
                  <a:lstStyle/>
                  <a:p>
                    <a:fld id="{618164E2-A274-41A8-9D7F-329706167A74}"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FEDF-472A-9E10-1DDC9C5DE59D}"/>
                </c:ext>
              </c:extLst>
            </c:dLbl>
            <c:dLbl>
              <c:idx val="3"/>
              <c:tx>
                <c:rich>
                  <a:bodyPr/>
                  <a:lstStyle/>
                  <a:p>
                    <a:fld id="{98D58104-676F-4C44-AA87-CBE6320874F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FEDF-472A-9E10-1DDC9C5DE5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Relevance_Avg!$U$36:$U$40</c:f>
              <c:numCache>
                <c:formatCode>General</c:formatCode>
                <c:ptCount val="4"/>
                <c:pt idx="0">
                  <c:v>3.8421052631578947</c:v>
                </c:pt>
                <c:pt idx="1">
                  <c:v>3.8421052631578947</c:v>
                </c:pt>
                <c:pt idx="2">
                  <c:v>4.3157894736842106</c:v>
                </c:pt>
                <c:pt idx="3">
                  <c:v>3.9473684210526314</c:v>
                </c:pt>
              </c:numCache>
            </c:numRef>
          </c:val>
          <c:extLst xmlns:c16r2="http://schemas.microsoft.com/office/drawing/2015/06/chart">
            <c:ext xmlns:c15="http://schemas.microsoft.com/office/drawing/2012/chart" uri="{02D57815-91ED-43cb-92C2-25804820EDAC}">
              <c15:datalabelsRange>
                <c15:f>Relevance_Avg!$U$64:$U$67</c15:f>
                <c15:dlblRangeCache>
                  <c:ptCount val="4"/>
                  <c:pt idx="0">
                    <c:v>3.84 (19)</c:v>
                  </c:pt>
                  <c:pt idx="1">
                    <c:v>3.84 (19)</c:v>
                  </c:pt>
                  <c:pt idx="2">
                    <c:v>4.32 (19)</c:v>
                  </c:pt>
                  <c:pt idx="3">
                    <c:v>3.95 (19)</c:v>
                  </c:pt>
                </c15:dlblRangeCache>
              </c15:datalabelsRange>
            </c:ext>
            <c:ext xmlns:c16="http://schemas.microsoft.com/office/drawing/2014/chart" uri="{C3380CC4-5D6E-409C-BE32-E72D297353CC}">
              <c16:uniqueId val="{00000018-FEDF-472A-9E10-1DDC9C5DE59D}"/>
            </c:ext>
          </c:extLst>
        </c:ser>
        <c:ser>
          <c:idx val="5"/>
          <c:order val="5"/>
          <c:tx>
            <c:strRef>
              <c:f>Relevance_Avg!$V$34:$V$35</c:f>
              <c:strCache>
                <c:ptCount val="1"/>
                <c:pt idx="0">
                  <c:v>Action owners</c:v>
                </c:pt>
              </c:strCache>
            </c:strRef>
          </c:tx>
          <c:spPr>
            <a:solidFill>
              <a:schemeClr val="accent6"/>
            </a:solidFill>
            <a:ln>
              <a:noFill/>
            </a:ln>
            <a:effectLst/>
          </c:spPr>
          <c:invertIfNegative val="0"/>
          <c:dLbls>
            <c:dLbl>
              <c:idx val="0"/>
              <c:tx>
                <c:rich>
                  <a:bodyPr/>
                  <a:lstStyle/>
                  <a:p>
                    <a:fld id="{E150858B-B7EF-44AD-AE31-203AB4CED5E7}"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9-FEDF-472A-9E10-1DDC9C5DE59D}"/>
                </c:ext>
              </c:extLst>
            </c:dLbl>
            <c:dLbl>
              <c:idx val="1"/>
              <c:tx>
                <c:rich>
                  <a:bodyPr/>
                  <a:lstStyle/>
                  <a:p>
                    <a:fld id="{987F2105-72C5-49F0-BBEA-815824442D11}"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FEDF-472A-9E10-1DDC9C5DE59D}"/>
                </c:ext>
              </c:extLst>
            </c:dLbl>
            <c:dLbl>
              <c:idx val="2"/>
              <c:tx>
                <c:rich>
                  <a:bodyPr/>
                  <a:lstStyle/>
                  <a:p>
                    <a:fld id="{F05E6886-E543-40C4-B010-B92090828407}"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FEDF-472A-9E10-1DDC9C5DE59D}"/>
                </c:ext>
              </c:extLst>
            </c:dLbl>
            <c:dLbl>
              <c:idx val="3"/>
              <c:tx>
                <c:rich>
                  <a:bodyPr/>
                  <a:lstStyle/>
                  <a:p>
                    <a:fld id="{3B77ECB8-6EAD-435D-8650-61E07E52AAB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FEDF-472A-9E10-1DDC9C5DE5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Relevance_Avg!$V$36:$V$40</c:f>
              <c:numCache>
                <c:formatCode>General</c:formatCode>
                <c:ptCount val="4"/>
                <c:pt idx="0">
                  <c:v>4.1904761904761907</c:v>
                </c:pt>
                <c:pt idx="1">
                  <c:v>4.1304347826086953</c:v>
                </c:pt>
                <c:pt idx="2">
                  <c:v>4.2608695652173916</c:v>
                </c:pt>
                <c:pt idx="3">
                  <c:v>4.0434782608695654</c:v>
                </c:pt>
              </c:numCache>
            </c:numRef>
          </c:val>
          <c:extLst xmlns:c16r2="http://schemas.microsoft.com/office/drawing/2015/06/chart">
            <c:ext xmlns:c15="http://schemas.microsoft.com/office/drawing/2012/chart" uri="{02D57815-91ED-43cb-92C2-25804820EDAC}">
              <c15:datalabelsRange>
                <c15:f>Relevance_Avg!$V$64:$V$67</c15:f>
                <c15:dlblRangeCache>
                  <c:ptCount val="4"/>
                  <c:pt idx="0">
                    <c:v>4.19 (21)</c:v>
                  </c:pt>
                  <c:pt idx="1">
                    <c:v>4.13 (23)</c:v>
                  </c:pt>
                  <c:pt idx="2">
                    <c:v>4.26 (23)</c:v>
                  </c:pt>
                  <c:pt idx="3">
                    <c:v>4.04 (23)</c:v>
                  </c:pt>
                </c15:dlblRangeCache>
              </c15:datalabelsRange>
            </c:ext>
            <c:ext xmlns:c16="http://schemas.microsoft.com/office/drawing/2014/chart" uri="{C3380CC4-5D6E-409C-BE32-E72D297353CC}">
              <c16:uniqueId val="{0000001D-FEDF-472A-9E10-1DDC9C5DE59D}"/>
            </c:ext>
          </c:extLst>
        </c:ser>
        <c:dLbls>
          <c:showLegendKey val="0"/>
          <c:showVal val="1"/>
          <c:showCatName val="0"/>
          <c:showSerName val="0"/>
          <c:showPercent val="0"/>
          <c:showBubbleSize val="0"/>
        </c:dLbls>
        <c:gapWidth val="150"/>
        <c:axId val="71775360"/>
        <c:axId val="71776896"/>
      </c:barChart>
      <c:catAx>
        <c:axId val="71775360"/>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71776896"/>
        <c:crosses val="autoZero"/>
        <c:auto val="0"/>
        <c:lblAlgn val="ctr"/>
        <c:lblOffset val="100"/>
        <c:noMultiLvlLbl val="0"/>
      </c:catAx>
      <c:valAx>
        <c:axId val="7177689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71775360"/>
        <c:crosses val="autoZero"/>
        <c:crossBetween val="between"/>
        <c:majorUnit val="1"/>
      </c:valAx>
      <c:spPr>
        <a:solidFill>
          <a:schemeClr val="bg1"/>
        </a:solidFill>
        <a:ln>
          <a:noFill/>
        </a:ln>
        <a:effectLst/>
      </c:spPr>
    </c:plotArea>
    <c:legend>
      <c:legendPos val="b"/>
      <c:layout>
        <c:manualLayout>
          <c:xMode val="edge"/>
          <c:yMode val="edge"/>
          <c:x val="1.5933153283375811E-2"/>
          <c:y val="0.84970118211444645"/>
          <c:w val="0.96680541743876214"/>
          <c:h val="0.1319899601238791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Frequency</c:v>
          </c:tx>
          <c:spPr>
            <a:solidFill>
              <a:schemeClr val="accent1"/>
            </a:solidFill>
            <a:ln>
              <a:noFill/>
            </a:ln>
            <a:effectLst/>
          </c:spPr>
          <c:invertIfNegative val="0"/>
          <c:cat>
            <c:numRef>
              <c:f>Efficiency_Graph!$S$36:$S$51</c:f>
              <c:numCache>
                <c:formatCode>General</c:formatCode>
                <c:ptCount val="16"/>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Efficiency_Graph!$T$36:$T$51</c:f>
              <c:numCache>
                <c:formatCode>General</c:formatCode>
                <c:ptCount val="16"/>
                <c:pt idx="0">
                  <c:v>5</c:v>
                </c:pt>
                <c:pt idx="1">
                  <c:v>4</c:v>
                </c:pt>
                <c:pt idx="2">
                  <c:v>5</c:v>
                </c:pt>
                <c:pt idx="3">
                  <c:v>0</c:v>
                </c:pt>
                <c:pt idx="4">
                  <c:v>3</c:v>
                </c:pt>
                <c:pt idx="5">
                  <c:v>0</c:v>
                </c:pt>
                <c:pt idx="6">
                  <c:v>0</c:v>
                </c:pt>
                <c:pt idx="7">
                  <c:v>0</c:v>
                </c:pt>
                <c:pt idx="8">
                  <c:v>0</c:v>
                </c:pt>
                <c:pt idx="9">
                  <c:v>2</c:v>
                </c:pt>
                <c:pt idx="10">
                  <c:v>0</c:v>
                </c:pt>
                <c:pt idx="11">
                  <c:v>1</c:v>
                </c:pt>
                <c:pt idx="12">
                  <c:v>0</c:v>
                </c:pt>
                <c:pt idx="13">
                  <c:v>0</c:v>
                </c:pt>
                <c:pt idx="14">
                  <c:v>1</c:v>
                </c:pt>
              </c:numCache>
            </c:numRef>
          </c:val>
          <c:extLst xmlns:c16r2="http://schemas.microsoft.com/office/drawing/2015/06/chart">
            <c:ext xmlns:c16="http://schemas.microsoft.com/office/drawing/2014/chart" uri="{C3380CC4-5D6E-409C-BE32-E72D297353CC}">
              <c16:uniqueId val="{00000000-4BC4-416F-948F-FE630F79A38A}"/>
            </c:ext>
          </c:extLst>
        </c:ser>
        <c:dLbls>
          <c:showLegendKey val="0"/>
          <c:showVal val="0"/>
          <c:showCatName val="0"/>
          <c:showSerName val="0"/>
          <c:showPercent val="0"/>
          <c:showBubbleSize val="0"/>
        </c:dLbls>
        <c:gapWidth val="219"/>
        <c:overlap val="-27"/>
        <c:axId val="108802816"/>
        <c:axId val="108804736"/>
      </c:barChart>
      <c:catAx>
        <c:axId val="108802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04736"/>
        <c:crosses val="autoZero"/>
        <c:auto val="1"/>
        <c:lblAlgn val="ctr"/>
        <c:lblOffset val="100"/>
        <c:noMultiLvlLbl val="0"/>
      </c:catAx>
      <c:valAx>
        <c:axId val="10880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0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plotArea>
      <c:layout/>
      <c:barChart>
        <c:barDir val="bar"/>
        <c:grouping val="clustered"/>
        <c:varyColors val="0"/>
        <c:ser>
          <c:idx val="0"/>
          <c:order val="0"/>
          <c:tx>
            <c:strRef>
              <c:f>Summary_Eff!$B$3</c:f>
              <c:strCache>
                <c:ptCount val="1"/>
                <c:pt idx="0">
                  <c:v>Earned Value (Euro)</c:v>
                </c:pt>
              </c:strCache>
            </c:strRef>
          </c:tx>
          <c:spPr>
            <a:solidFill>
              <a:schemeClr val="accent1"/>
            </a:solidFill>
            <a:ln>
              <a:noFill/>
            </a:ln>
            <a:effectLst/>
          </c:spPr>
          <c:invertIfNegative val="0"/>
          <c:cat>
            <c:strRef>
              <c:f>Summary_Eff!$A$4:$A$12</c:f>
              <c:strCache>
                <c:ptCount val="9"/>
                <c:pt idx="0">
                  <c:v>9. Accompanying measures</c:v>
                </c:pt>
                <c:pt idx="1">
                  <c:v>8.  Supporting instruments for public administrations</c:v>
                </c:pt>
                <c:pt idx="2">
                  <c:v>7.  EU  Policies-Supporting instruments</c:v>
                </c:pt>
                <c:pt idx="3">
                  <c:v>6. Decision making and legislation-Supporting instruments</c:v>
                </c:pt>
                <c:pt idx="4">
                  <c:v>5. e-Procurement/e-invoicing-Supporting instruments</c:v>
                </c:pt>
                <c:pt idx="5">
                  <c:v>4. Geospatial Solutions</c:v>
                </c:pt>
                <c:pt idx="6">
                  <c:v>3. Access to data/data sharing/open data</c:v>
                </c:pt>
                <c:pt idx="7">
                  <c:v>2. Semantic Interoperability</c:v>
                </c:pt>
                <c:pt idx="8">
                  <c:v>1. Key and generic interoperability enablers</c:v>
                </c:pt>
              </c:strCache>
            </c:strRef>
          </c:cat>
          <c:val>
            <c:numRef>
              <c:f>Summary_Eff!$B$4:$B$12</c:f>
              <c:numCache>
                <c:formatCode>_(* #,##0_);_(* \(#,##0\);_(* "-"??_);_(@_)</c:formatCode>
                <c:ptCount val="9"/>
                <c:pt idx="0">
                  <c:v>1333566.54</c:v>
                </c:pt>
                <c:pt idx="1">
                  <c:v>3952697</c:v>
                </c:pt>
                <c:pt idx="2">
                  <c:v>970679.03</c:v>
                </c:pt>
                <c:pt idx="3">
                  <c:v>2027503.2</c:v>
                </c:pt>
                <c:pt idx="4">
                  <c:v>3254171.2</c:v>
                </c:pt>
                <c:pt idx="5">
                  <c:v>2709285</c:v>
                </c:pt>
                <c:pt idx="6">
                  <c:v>2646334</c:v>
                </c:pt>
                <c:pt idx="7">
                  <c:v>3024532.3</c:v>
                </c:pt>
                <c:pt idx="8">
                  <c:v>3497255</c:v>
                </c:pt>
              </c:numCache>
            </c:numRef>
          </c:val>
          <c:extLst xmlns:c16r2="http://schemas.microsoft.com/office/drawing/2015/06/chart">
            <c:ext xmlns:c16="http://schemas.microsoft.com/office/drawing/2014/chart" uri="{C3380CC4-5D6E-409C-BE32-E72D297353CC}">
              <c16:uniqueId val="{00000000-1C68-4BA5-9FF8-D97B2B4137CA}"/>
            </c:ext>
          </c:extLst>
        </c:ser>
        <c:ser>
          <c:idx val="1"/>
          <c:order val="1"/>
          <c:tx>
            <c:strRef>
              <c:f>Summary_Eff!$C$3</c:f>
              <c:strCache>
                <c:ptCount val="1"/>
                <c:pt idx="0">
                  <c:v>Planned Value (Euro)</c:v>
                </c:pt>
              </c:strCache>
            </c:strRef>
          </c:tx>
          <c:spPr>
            <a:solidFill>
              <a:schemeClr val="accent3"/>
            </a:solidFill>
            <a:ln>
              <a:noFill/>
            </a:ln>
            <a:effectLst/>
          </c:spPr>
          <c:invertIfNegative val="0"/>
          <c:cat>
            <c:strRef>
              <c:f>Summary_Eff!$A$4:$A$12</c:f>
              <c:strCache>
                <c:ptCount val="9"/>
                <c:pt idx="0">
                  <c:v>9. Accompanying measures</c:v>
                </c:pt>
                <c:pt idx="1">
                  <c:v>8.  Supporting instruments for public administrations</c:v>
                </c:pt>
                <c:pt idx="2">
                  <c:v>7.  EU  Policies-Supporting instruments</c:v>
                </c:pt>
                <c:pt idx="3">
                  <c:v>6. Decision making and legislation-Supporting instruments</c:v>
                </c:pt>
                <c:pt idx="4">
                  <c:v>5. e-Procurement/e-invoicing-Supporting instruments</c:v>
                </c:pt>
                <c:pt idx="5">
                  <c:v>4. Geospatial Solutions</c:v>
                </c:pt>
                <c:pt idx="6">
                  <c:v>3. Access to data/data sharing/open data</c:v>
                </c:pt>
                <c:pt idx="7">
                  <c:v>2. Semantic Interoperability</c:v>
                </c:pt>
                <c:pt idx="8">
                  <c:v>1. Key and generic interoperability enablers</c:v>
                </c:pt>
              </c:strCache>
            </c:strRef>
          </c:cat>
          <c:val>
            <c:numRef>
              <c:f>Summary_Eff!$C$4:$C$12</c:f>
              <c:numCache>
                <c:formatCode>_(* #,##0_);_(* \(#,##0\);_(* "-"??_);_(@_)</c:formatCode>
                <c:ptCount val="9"/>
                <c:pt idx="0">
                  <c:v>1372520.37</c:v>
                </c:pt>
                <c:pt idx="1">
                  <c:v>3954196.1999999997</c:v>
                </c:pt>
                <c:pt idx="2">
                  <c:v>995488.69</c:v>
                </c:pt>
                <c:pt idx="3">
                  <c:v>2121685.1800000002</c:v>
                </c:pt>
                <c:pt idx="4">
                  <c:v>3544135.98</c:v>
                </c:pt>
                <c:pt idx="5">
                  <c:v>3110520.35</c:v>
                </c:pt>
                <c:pt idx="6">
                  <c:v>2730746.35</c:v>
                </c:pt>
                <c:pt idx="7">
                  <c:v>3029791.15</c:v>
                </c:pt>
                <c:pt idx="8">
                  <c:v>4117069.81</c:v>
                </c:pt>
              </c:numCache>
            </c:numRef>
          </c:val>
          <c:extLst xmlns:c16r2="http://schemas.microsoft.com/office/drawing/2015/06/chart">
            <c:ext xmlns:c16="http://schemas.microsoft.com/office/drawing/2014/chart" uri="{C3380CC4-5D6E-409C-BE32-E72D297353CC}">
              <c16:uniqueId val="{00000001-1C68-4BA5-9FF8-D97B2B4137CA}"/>
            </c:ext>
          </c:extLst>
        </c:ser>
        <c:ser>
          <c:idx val="2"/>
          <c:order val="2"/>
          <c:tx>
            <c:strRef>
              <c:f>Summary_Eff!$D$3</c:f>
              <c:strCache>
                <c:ptCount val="1"/>
                <c:pt idx="0">
                  <c:v>Actual Cost (Euro)</c:v>
                </c:pt>
              </c:strCache>
            </c:strRef>
          </c:tx>
          <c:spPr>
            <a:solidFill>
              <a:schemeClr val="accent5"/>
            </a:solidFill>
            <a:ln>
              <a:noFill/>
            </a:ln>
            <a:effectLst/>
          </c:spPr>
          <c:invertIfNegative val="0"/>
          <c:cat>
            <c:strRef>
              <c:f>Summary_Eff!$A$4:$A$12</c:f>
              <c:strCache>
                <c:ptCount val="9"/>
                <c:pt idx="0">
                  <c:v>9. Accompanying measures</c:v>
                </c:pt>
                <c:pt idx="1">
                  <c:v>8.  Supporting instruments for public administrations</c:v>
                </c:pt>
                <c:pt idx="2">
                  <c:v>7.  EU  Policies-Supporting instruments</c:v>
                </c:pt>
                <c:pt idx="3">
                  <c:v>6. Decision making and legislation-Supporting instruments</c:v>
                </c:pt>
                <c:pt idx="4">
                  <c:v>5. e-Procurement/e-invoicing-Supporting instruments</c:v>
                </c:pt>
                <c:pt idx="5">
                  <c:v>4. Geospatial Solutions</c:v>
                </c:pt>
                <c:pt idx="6">
                  <c:v>3. Access to data/data sharing/open data</c:v>
                </c:pt>
                <c:pt idx="7">
                  <c:v>2. Semantic Interoperability</c:v>
                </c:pt>
                <c:pt idx="8">
                  <c:v>1. Key and generic interoperability enablers</c:v>
                </c:pt>
              </c:strCache>
            </c:strRef>
          </c:cat>
          <c:val>
            <c:numRef>
              <c:f>Summary_Eff!$D$4:$D$12</c:f>
              <c:numCache>
                <c:formatCode>_(* #,##0_);_(* \(#,##0\);_(* "-"??_);_(@_)</c:formatCode>
                <c:ptCount val="9"/>
                <c:pt idx="0">
                  <c:v>1372520.37</c:v>
                </c:pt>
                <c:pt idx="1">
                  <c:v>3954196.1999999997</c:v>
                </c:pt>
                <c:pt idx="2">
                  <c:v>995488.69</c:v>
                </c:pt>
                <c:pt idx="3">
                  <c:v>2121685.1800000002</c:v>
                </c:pt>
                <c:pt idx="4">
                  <c:v>3544135.98</c:v>
                </c:pt>
                <c:pt idx="5">
                  <c:v>3110520.35</c:v>
                </c:pt>
                <c:pt idx="6">
                  <c:v>2730746.35</c:v>
                </c:pt>
                <c:pt idx="7">
                  <c:v>3029791.15</c:v>
                </c:pt>
                <c:pt idx="8">
                  <c:v>4117069.81</c:v>
                </c:pt>
              </c:numCache>
            </c:numRef>
          </c:val>
          <c:extLst xmlns:c16r2="http://schemas.microsoft.com/office/drawing/2015/06/chart">
            <c:ext xmlns:c16="http://schemas.microsoft.com/office/drawing/2014/chart" uri="{C3380CC4-5D6E-409C-BE32-E72D297353CC}">
              <c16:uniqueId val="{00000002-1C68-4BA5-9FF8-D97B2B4137CA}"/>
            </c:ext>
          </c:extLst>
        </c:ser>
        <c:dLbls>
          <c:showLegendKey val="0"/>
          <c:showVal val="0"/>
          <c:showCatName val="0"/>
          <c:showSerName val="0"/>
          <c:showPercent val="0"/>
          <c:showBubbleSize val="0"/>
        </c:dLbls>
        <c:gapWidth val="150"/>
        <c:axId val="108835584"/>
        <c:axId val="108837120"/>
      </c:barChart>
      <c:catAx>
        <c:axId val="108835584"/>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n-US"/>
          </a:p>
        </c:txPr>
        <c:crossAx val="108837120"/>
        <c:crosses val="autoZero"/>
        <c:auto val="0"/>
        <c:lblAlgn val="ctr"/>
        <c:lblOffset val="100"/>
        <c:noMultiLvlLbl val="0"/>
      </c:catAx>
      <c:valAx>
        <c:axId val="10883712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_(* #,##0_);_(* \(#,##0\);_(* &quot;-&quot;??_);_(@_)" sourceLinked="1"/>
        <c:majorTickMark val="none"/>
        <c:minorTickMark val="none"/>
        <c:tickLblPos val="nextTo"/>
        <c:spPr>
          <a:noFill/>
          <a:ln w="9525" cap="flat" cmpd="sng" algn="ctr">
            <a:noFill/>
            <a:prstDash val="solid"/>
            <a:round/>
          </a:ln>
          <a:effectLst/>
        </c:spPr>
        <c:txPr>
          <a:bodyPr rot="90000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n-US"/>
          </a:p>
        </c:txPr>
        <c:crossAx val="108835584"/>
        <c:crosses val="autoZero"/>
        <c:crossBetween val="between"/>
        <c:minorUnit val="100000"/>
      </c:valAx>
      <c:spPr>
        <a:solidFill>
          <a:schemeClr val="bg1"/>
        </a:solidFill>
        <a:ln>
          <a:noFill/>
        </a:ln>
        <a:effectLst/>
      </c:spPr>
    </c:plotArea>
    <c:legend>
      <c:legendPos val="b"/>
      <c:overlay val="0"/>
      <c:spPr>
        <a:noFill/>
        <a:ln w="25400">
          <a:noFill/>
        </a:ln>
        <a:effectLst/>
      </c:spPr>
      <c:txPr>
        <a:bodyPr rot="0" spcFirstLastPara="1" vertOverflow="ellipsis" vert="horz" wrap="square" anchor="ctr" anchorCtr="1"/>
        <a:lstStyle/>
        <a:p>
          <a:pPr>
            <a:defRPr sz="755" b="0" i="0" u="none" strike="noStrike" kern="1200"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extLst xmlns:c16r2="http://schemas.microsoft.com/office/drawing/2015/06/char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SPI!$G$2</c:f>
              <c:strCache>
                <c:ptCount val="1"/>
                <c:pt idx="0">
                  <c:v>1. Key and generic interoperability enablers</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SPI!$H$2:$Q$2</c:f>
              <c:numCache>
                <c:formatCode>General</c:formatCode>
                <c:ptCount val="10"/>
                <c:pt idx="0">
                  <c:v>2.1183732161416486</c:v>
                </c:pt>
                <c:pt idx="1">
                  <c:v>2.2083966839554376</c:v>
                </c:pt>
                <c:pt idx="2">
                  <c:v>1.7539654307079628</c:v>
                </c:pt>
                <c:pt idx="3">
                  <c:v>1.4372051337094629</c:v>
                </c:pt>
                <c:pt idx="4">
                  <c:v>1.1970087328509833</c:v>
                </c:pt>
                <c:pt idx="5">
                  <c:v>1.1082490390917965</c:v>
                </c:pt>
                <c:pt idx="6">
                  <c:v>0.89971988502678479</c:v>
                </c:pt>
                <c:pt idx="7">
                  <c:v>0.78752014007165883</c:v>
                </c:pt>
                <c:pt idx="8">
                  <c:v>0.72434670409382662</c:v>
                </c:pt>
                <c:pt idx="9">
                  <c:v>0.84945244103111284</c:v>
                </c:pt>
              </c:numCache>
            </c:numRef>
          </c:val>
          <c:smooth val="0"/>
          <c:extLst xmlns:c16r2="http://schemas.microsoft.com/office/drawing/2015/06/chart">
            <c:ext xmlns:c16="http://schemas.microsoft.com/office/drawing/2014/chart" uri="{C3380CC4-5D6E-409C-BE32-E72D297353CC}">
              <c16:uniqueId val="{00000000-0E5B-4D8A-BBD2-AEDC430DAD47}"/>
            </c:ext>
          </c:extLst>
        </c:ser>
        <c:ser>
          <c:idx val="1"/>
          <c:order val="1"/>
          <c:tx>
            <c:strRef>
              <c:f>SPI!$G$3</c:f>
              <c:strCache>
                <c:ptCount val="1"/>
                <c:pt idx="0">
                  <c:v>2. Semantic Interoperability</c:v>
                </c:pt>
              </c:strCache>
            </c:strRef>
          </c:tx>
          <c:spPr>
            <a:ln w="2857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SPI!$H$3:$Q$3</c:f>
              <c:numCache>
                <c:formatCode>General</c:formatCode>
                <c:ptCount val="10"/>
                <c:pt idx="0">
                  <c:v>#N/A</c:v>
                </c:pt>
                <c:pt idx="1">
                  <c:v>0.83163053819200927</c:v>
                </c:pt>
                <c:pt idx="2">
                  <c:v>0.78796020319654947</c:v>
                </c:pt>
                <c:pt idx="3">
                  <c:v>0.86103261433609335</c:v>
                </c:pt>
                <c:pt idx="4">
                  <c:v>0.91620220367129579</c:v>
                </c:pt>
                <c:pt idx="5">
                  <c:v>0.99237509217149955</c:v>
                </c:pt>
                <c:pt idx="6">
                  <c:v>0.97059524535653452</c:v>
                </c:pt>
                <c:pt idx="7">
                  <c:v>0.92793676290116078</c:v>
                </c:pt>
                <c:pt idx="8">
                  <c:v>1.012464201491774</c:v>
                </c:pt>
                <c:pt idx="9">
                  <c:v>0.99826428630237429</c:v>
                </c:pt>
              </c:numCache>
            </c:numRef>
          </c:val>
          <c:smooth val="0"/>
          <c:extLst xmlns:c16r2="http://schemas.microsoft.com/office/drawing/2015/06/chart">
            <c:ext xmlns:c16="http://schemas.microsoft.com/office/drawing/2014/chart" uri="{C3380CC4-5D6E-409C-BE32-E72D297353CC}">
              <c16:uniqueId val="{00000001-0E5B-4D8A-BBD2-AEDC430DAD47}"/>
            </c:ext>
          </c:extLst>
        </c:ser>
        <c:ser>
          <c:idx val="2"/>
          <c:order val="2"/>
          <c:tx>
            <c:strRef>
              <c:f>SPI!$G$4</c:f>
              <c:strCache>
                <c:ptCount val="1"/>
                <c:pt idx="0">
                  <c:v>3. Access to data/data sharing/open data</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SPI!$H$4:$Q$4</c:f>
              <c:numCache>
                <c:formatCode>General</c:formatCode>
                <c:ptCount val="10"/>
                <c:pt idx="0">
                  <c:v>#N/A</c:v>
                </c:pt>
                <c:pt idx="1">
                  <c:v>0.54519722203089638</c:v>
                </c:pt>
                <c:pt idx="2">
                  <c:v>0.82032430038390702</c:v>
                </c:pt>
                <c:pt idx="3">
                  <c:v>0.85492398985913109</c:v>
                </c:pt>
                <c:pt idx="4">
                  <c:v>0.84837890287772799</c:v>
                </c:pt>
                <c:pt idx="5">
                  <c:v>0.80316953206006847</c:v>
                </c:pt>
                <c:pt idx="6">
                  <c:v>0.89675687541549576</c:v>
                </c:pt>
                <c:pt idx="7">
                  <c:v>0.85522761748499299</c:v>
                </c:pt>
                <c:pt idx="8">
                  <c:v>0.98018006242531985</c:v>
                </c:pt>
                <c:pt idx="9">
                  <c:v>0.96868394591100138</c:v>
                </c:pt>
              </c:numCache>
            </c:numRef>
          </c:val>
          <c:smooth val="0"/>
          <c:extLst xmlns:c16r2="http://schemas.microsoft.com/office/drawing/2015/06/chart">
            <c:ext xmlns:c16="http://schemas.microsoft.com/office/drawing/2014/chart" uri="{C3380CC4-5D6E-409C-BE32-E72D297353CC}">
              <c16:uniqueId val="{00000002-0E5B-4D8A-BBD2-AEDC430DAD47}"/>
            </c:ext>
          </c:extLst>
        </c:ser>
        <c:ser>
          <c:idx val="3"/>
          <c:order val="3"/>
          <c:tx>
            <c:strRef>
              <c:f>SPI!$G$5</c:f>
              <c:strCache>
                <c:ptCount val="1"/>
                <c:pt idx="0">
                  <c:v>4. Geospatial Solutions</c:v>
                </c:pt>
              </c:strCache>
            </c:strRef>
          </c:tx>
          <c:spPr>
            <a:ln w="28575"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SPI!$H$5:$Q$5</c:f>
              <c:numCache>
                <c:formatCode>General</c:formatCode>
                <c:ptCount val="10"/>
                <c:pt idx="0">
                  <c:v>#N/A</c:v>
                </c:pt>
                <c:pt idx="1">
                  <c:v>#N/A</c:v>
                </c:pt>
                <c:pt idx="2">
                  <c:v>#N/A</c:v>
                </c:pt>
                <c:pt idx="3">
                  <c:v>0.89523463663496294</c:v>
                </c:pt>
                <c:pt idx="4">
                  <c:v>0.90736920579409108</c:v>
                </c:pt>
                <c:pt idx="5">
                  <c:v>0.95161171754357676</c:v>
                </c:pt>
                <c:pt idx="6">
                  <c:v>0.98945697402853972</c:v>
                </c:pt>
                <c:pt idx="7">
                  <c:v>1</c:v>
                </c:pt>
                <c:pt idx="8">
                  <c:v>0.95907566557401291</c:v>
                </c:pt>
                <c:pt idx="9">
                  <c:v>0.87100700048466162</c:v>
                </c:pt>
              </c:numCache>
            </c:numRef>
          </c:val>
          <c:smooth val="0"/>
          <c:extLst xmlns:c16r2="http://schemas.microsoft.com/office/drawing/2015/06/chart">
            <c:ext xmlns:c16="http://schemas.microsoft.com/office/drawing/2014/chart" uri="{C3380CC4-5D6E-409C-BE32-E72D297353CC}">
              <c16:uniqueId val="{00000003-0E5B-4D8A-BBD2-AEDC430DAD47}"/>
            </c:ext>
          </c:extLst>
        </c:ser>
        <c:dLbls>
          <c:showLegendKey val="0"/>
          <c:showVal val="0"/>
          <c:showCatName val="0"/>
          <c:showSerName val="0"/>
          <c:showPercent val="0"/>
          <c:showBubbleSize val="0"/>
        </c:dLbls>
        <c:marker val="1"/>
        <c:smooth val="0"/>
        <c:axId val="108935040"/>
        <c:axId val="108949504"/>
      </c:lineChart>
      <c:dateAx>
        <c:axId val="108935040"/>
        <c:scaling>
          <c:orientation val="minMax"/>
        </c:scaling>
        <c:delete val="0"/>
        <c:axPos val="b"/>
        <c:numFmt formatCode="dd/mm/yyyy;@"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8949504"/>
        <c:crosses val="autoZero"/>
        <c:auto val="1"/>
        <c:lblOffset val="100"/>
        <c:baseTimeUnit val="months"/>
        <c:majorUnit val="3"/>
        <c:majorTimeUnit val="months"/>
      </c:dateAx>
      <c:valAx>
        <c:axId val="108949504"/>
        <c:scaling>
          <c:orientation val="minMax"/>
          <c:min val="0.4"/>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893504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SPI!$G$6</c:f>
              <c:strCache>
                <c:ptCount val="1"/>
                <c:pt idx="0">
                  <c:v>5. e-Procurement/e-invoicing-Supporting instruments</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SPI!$H$6:$Q$6</c:f>
              <c:numCache>
                <c:formatCode>General</c:formatCode>
                <c:ptCount val="10"/>
                <c:pt idx="0">
                  <c:v>0.8722179209555202</c:v>
                </c:pt>
                <c:pt idx="1">
                  <c:v>0.96318610078050981</c:v>
                </c:pt>
                <c:pt idx="2">
                  <c:v>0.93914434256075885</c:v>
                </c:pt>
                <c:pt idx="3">
                  <c:v>0.94715977710929</c:v>
                </c:pt>
                <c:pt idx="4">
                  <c:v>0.97612850378563554</c:v>
                </c:pt>
                <c:pt idx="5">
                  <c:v>0.93778949335863326</c:v>
                </c:pt>
                <c:pt idx="6">
                  <c:v>0.9764939188417463</c:v>
                </c:pt>
                <c:pt idx="7">
                  <c:v>0.92980364924433545</c:v>
                </c:pt>
                <c:pt idx="8">
                  <c:v>0.91895748977811476</c:v>
                </c:pt>
                <c:pt idx="9">
                  <c:v>0.91818463466517453</c:v>
                </c:pt>
              </c:numCache>
            </c:numRef>
          </c:val>
          <c:smooth val="0"/>
          <c:extLst xmlns:c16r2="http://schemas.microsoft.com/office/drawing/2015/06/chart">
            <c:ext xmlns:c16="http://schemas.microsoft.com/office/drawing/2014/chart" uri="{C3380CC4-5D6E-409C-BE32-E72D297353CC}">
              <c16:uniqueId val="{00000000-CBFD-4FC5-A557-54DD8989E7FC}"/>
            </c:ext>
          </c:extLst>
        </c:ser>
        <c:ser>
          <c:idx val="1"/>
          <c:order val="1"/>
          <c:tx>
            <c:strRef>
              <c:f>SPI!$G$7</c:f>
              <c:strCache>
                <c:ptCount val="1"/>
                <c:pt idx="0">
                  <c:v>6. Decision making and legislation-Supporting instruments</c:v>
                </c:pt>
              </c:strCache>
            </c:strRef>
          </c:tx>
          <c:spPr>
            <a:ln w="2857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SPI!$H$7:$Q$7</c:f>
              <c:numCache>
                <c:formatCode>General</c:formatCode>
                <c:ptCount val="10"/>
                <c:pt idx="0">
                  <c:v>#N/A</c:v>
                </c:pt>
                <c:pt idx="1">
                  <c:v>1.5545373257812947</c:v>
                </c:pt>
                <c:pt idx="2">
                  <c:v>0.85212820601524908</c:v>
                </c:pt>
                <c:pt idx="3">
                  <c:v>1.1719577218460453</c:v>
                </c:pt>
                <c:pt idx="4">
                  <c:v>1.0602027331533672</c:v>
                </c:pt>
                <c:pt idx="5">
                  <c:v>0.97233114582149627</c:v>
                </c:pt>
                <c:pt idx="6">
                  <c:v>0.9773513122432711</c:v>
                </c:pt>
                <c:pt idx="7">
                  <c:v>0.99124122200010245</c:v>
                </c:pt>
                <c:pt idx="8">
                  <c:v>0.96361544064313331</c:v>
                </c:pt>
                <c:pt idx="9">
                  <c:v>0.95560982331978195</c:v>
                </c:pt>
              </c:numCache>
            </c:numRef>
          </c:val>
          <c:smooth val="0"/>
          <c:extLst xmlns:c16r2="http://schemas.microsoft.com/office/drawing/2015/06/chart">
            <c:ext xmlns:c16="http://schemas.microsoft.com/office/drawing/2014/chart" uri="{C3380CC4-5D6E-409C-BE32-E72D297353CC}">
              <c16:uniqueId val="{00000001-CBFD-4FC5-A557-54DD8989E7FC}"/>
            </c:ext>
          </c:extLst>
        </c:ser>
        <c:ser>
          <c:idx val="2"/>
          <c:order val="2"/>
          <c:tx>
            <c:strRef>
              <c:f>SPI!$G$8</c:f>
              <c:strCache>
                <c:ptCount val="1"/>
                <c:pt idx="0">
                  <c:v>7.  EU  Policies-Supporting instruments</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SPI!$H$8:$Q$8</c:f>
              <c:numCache>
                <c:formatCode>General</c:formatCode>
                <c:ptCount val="10"/>
                <c:pt idx="0">
                  <c:v>#N/A</c:v>
                </c:pt>
                <c:pt idx="1">
                  <c:v>0.97878837231505111</c:v>
                </c:pt>
                <c:pt idx="2">
                  <c:v>0.92867116443081599</c:v>
                </c:pt>
                <c:pt idx="3">
                  <c:v>0.95040452182250112</c:v>
                </c:pt>
                <c:pt idx="4">
                  <c:v>1.099766751746168</c:v>
                </c:pt>
                <c:pt idx="5">
                  <c:v>1.0147095019858892</c:v>
                </c:pt>
                <c:pt idx="6">
                  <c:v>1.1024093862767979</c:v>
                </c:pt>
                <c:pt idx="7">
                  <c:v>1.0064535106816843</c:v>
                </c:pt>
                <c:pt idx="8">
                  <c:v>0.99451669922369779</c:v>
                </c:pt>
                <c:pt idx="9">
                  <c:v>0.97507790872038946</c:v>
                </c:pt>
              </c:numCache>
            </c:numRef>
          </c:val>
          <c:smooth val="0"/>
          <c:extLst xmlns:c16r2="http://schemas.microsoft.com/office/drawing/2015/06/chart">
            <c:ext xmlns:c16="http://schemas.microsoft.com/office/drawing/2014/chart" uri="{C3380CC4-5D6E-409C-BE32-E72D297353CC}">
              <c16:uniqueId val="{00000002-CBFD-4FC5-A557-54DD8989E7FC}"/>
            </c:ext>
          </c:extLst>
        </c:ser>
        <c:ser>
          <c:idx val="3"/>
          <c:order val="3"/>
          <c:tx>
            <c:strRef>
              <c:f>SPI!$G$9</c:f>
              <c:strCache>
                <c:ptCount val="1"/>
                <c:pt idx="0">
                  <c:v>8.  Supporting instruments for public administrations</c:v>
                </c:pt>
              </c:strCache>
            </c:strRef>
          </c:tx>
          <c:spPr>
            <a:ln w="28575"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SPI!$H$9:$Q$9</c:f>
              <c:numCache>
                <c:formatCode>General</c:formatCode>
                <c:ptCount val="10"/>
                <c:pt idx="0">
                  <c:v>1.0802981277137089</c:v>
                </c:pt>
                <c:pt idx="1">
                  <c:v>1.1220268472021897</c:v>
                </c:pt>
                <c:pt idx="2">
                  <c:v>0.96819263246661125</c:v>
                </c:pt>
                <c:pt idx="3">
                  <c:v>0.97596972417160199</c:v>
                </c:pt>
                <c:pt idx="4">
                  <c:v>0.991675790164533</c:v>
                </c:pt>
                <c:pt idx="5">
                  <c:v>0.94006955465465969</c:v>
                </c:pt>
                <c:pt idx="6">
                  <c:v>0.92006156736540512</c:v>
                </c:pt>
                <c:pt idx="7">
                  <c:v>0.91668959707859887</c:v>
                </c:pt>
                <c:pt idx="8">
                  <c:v>0.99145280642681111</c:v>
                </c:pt>
                <c:pt idx="9">
                  <c:v>0.99962085846928894</c:v>
                </c:pt>
              </c:numCache>
            </c:numRef>
          </c:val>
          <c:smooth val="0"/>
          <c:extLst xmlns:c16r2="http://schemas.microsoft.com/office/drawing/2015/06/chart">
            <c:ext xmlns:c16="http://schemas.microsoft.com/office/drawing/2014/chart" uri="{C3380CC4-5D6E-409C-BE32-E72D297353CC}">
              <c16:uniqueId val="{00000003-CBFD-4FC5-A557-54DD8989E7FC}"/>
            </c:ext>
          </c:extLst>
        </c:ser>
        <c:ser>
          <c:idx val="4"/>
          <c:order val="4"/>
          <c:tx>
            <c:strRef>
              <c:f>SPI!$G$10</c:f>
              <c:strCache>
                <c:ptCount val="1"/>
                <c:pt idx="0">
                  <c:v>9. Accompanying measures</c:v>
                </c:pt>
              </c:strCache>
            </c:strRef>
          </c:tx>
          <c:spPr>
            <a:ln w="28575" cap="rnd" cmpd="sng" algn="ctr">
              <a:solidFill>
                <a:schemeClr val="accent3">
                  <a:lumMod val="60000"/>
                  <a:shade val="95000"/>
                  <a:satMod val="105000"/>
                </a:schemeClr>
              </a:solidFill>
              <a:prstDash val="solid"/>
              <a:round/>
            </a:ln>
            <a:effectLst/>
          </c:spPr>
          <c:marker>
            <c:spPr>
              <a:noFill/>
              <a:ln w="9525" cap="flat" cmpd="sng" algn="ctr">
                <a:solidFill>
                  <a:schemeClr val="accent3">
                    <a:lumMod val="60000"/>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SPI!$H$10:$Q$10</c:f>
              <c:numCache>
                <c:formatCode>General</c:formatCode>
                <c:ptCount val="10"/>
                <c:pt idx="0">
                  <c:v>#N/A</c:v>
                </c:pt>
                <c:pt idx="1">
                  <c:v>#N/A</c:v>
                </c:pt>
                <c:pt idx="2">
                  <c:v>#N/A</c:v>
                </c:pt>
                <c:pt idx="3">
                  <c:v>1.2230399169644339</c:v>
                </c:pt>
                <c:pt idx="4">
                  <c:v>1.4698685734110268</c:v>
                </c:pt>
                <c:pt idx="5">
                  <c:v>1.1178309063004348</c:v>
                </c:pt>
                <c:pt idx="6">
                  <c:v>0.92333270825836544</c:v>
                </c:pt>
                <c:pt idx="7">
                  <c:v>0.87909369900186063</c:v>
                </c:pt>
                <c:pt idx="8">
                  <c:v>0.93592453015152466</c:v>
                </c:pt>
                <c:pt idx="9">
                  <c:v>0.97161876001884029</c:v>
                </c:pt>
              </c:numCache>
            </c:numRef>
          </c:val>
          <c:smooth val="0"/>
          <c:extLst xmlns:c16r2="http://schemas.microsoft.com/office/drawing/2015/06/chart">
            <c:ext xmlns:c16="http://schemas.microsoft.com/office/drawing/2014/chart" uri="{C3380CC4-5D6E-409C-BE32-E72D297353CC}">
              <c16:uniqueId val="{00000004-CBFD-4FC5-A557-54DD8989E7FC}"/>
            </c:ext>
          </c:extLst>
        </c:ser>
        <c:dLbls>
          <c:showLegendKey val="0"/>
          <c:showVal val="0"/>
          <c:showCatName val="0"/>
          <c:showSerName val="0"/>
          <c:showPercent val="0"/>
          <c:showBubbleSize val="0"/>
        </c:dLbls>
        <c:marker val="1"/>
        <c:smooth val="0"/>
        <c:axId val="109052288"/>
        <c:axId val="109054208"/>
      </c:lineChart>
      <c:dateAx>
        <c:axId val="109052288"/>
        <c:scaling>
          <c:orientation val="minMax"/>
        </c:scaling>
        <c:delete val="0"/>
        <c:axPos val="b"/>
        <c:numFmt formatCode="dd/mm/yyyy;@"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9054208"/>
        <c:crosses val="autoZero"/>
        <c:auto val="1"/>
        <c:lblOffset val="100"/>
        <c:baseTimeUnit val="months"/>
        <c:majorUnit val="3"/>
        <c:majorTimeUnit val="months"/>
      </c:dateAx>
      <c:valAx>
        <c:axId val="109054208"/>
        <c:scaling>
          <c:orientation val="minMax"/>
          <c:min val="0.60000000000000098"/>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9052288"/>
        <c:crosses val="autoZero"/>
        <c:crossBetween val="between"/>
      </c:valAx>
      <c:spPr>
        <a:solidFill>
          <a:schemeClr val="bg1"/>
        </a:solidFill>
        <a:ln>
          <a:noFill/>
        </a:ln>
        <a:effectLst/>
      </c:spPr>
    </c:plotArea>
    <c:legend>
      <c:legendPos val="b"/>
      <c:layout>
        <c:manualLayout>
          <c:xMode val="edge"/>
          <c:yMode val="edge"/>
          <c:x val="1.5675624748103099E-2"/>
          <c:y val="0.71440574324003303"/>
          <c:w val="0.96200111314470504"/>
          <c:h val="0.264908168154554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Graphs_averages_final.xlsx]Coherence_Avg!Tableau croisé dynamique9</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2C2DE0-3CEC-46AA-A15D-453527241D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F39C5E-A990-4129-85B9-87119DF46F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8607A9-07E9-479D-A73A-7FC47BC55C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99D4D5-F8FD-4803-A9AC-08ADFD5F3F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F38B95-76EA-4BFD-A97A-82C71E10627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EF73C5-3474-4FC5-B09C-B2376E99C2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F39C5E-A990-4129-85B9-87119DF46F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2C2DE0-3CEC-46AA-A15D-453527241D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99D4D5-F8FD-4803-A9AC-08ADFD5F3F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8607A9-07E9-479D-A73A-7FC47BC55C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EF73C5-3474-4FC5-B09C-B2376E99C2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F38B95-76EA-4BFD-A97A-82C71E10627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F39C5E-A990-4129-85B9-87119DF46F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2C2DE0-3CEC-46AA-A15D-453527241D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99D4D5-F8FD-4803-A9AC-08ADFD5F3F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8607A9-07E9-479D-A73A-7FC47BC55C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EF73C5-3474-4FC5-B09C-B2376E99C2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F38B95-76EA-4BFD-A97A-82C71E10627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Coherence_Avg!$R$58:$R$59</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38E3-4254-8132-7FCEE8EB4071}"/>
              </c:ext>
            </c:extLst>
          </c:dPt>
          <c:dPt>
            <c:idx val="1"/>
            <c:invertIfNegative val="0"/>
            <c:bubble3D val="0"/>
            <c:extLst xmlns:c16r2="http://schemas.microsoft.com/office/drawing/2015/06/chart">
              <c:ext xmlns:c16="http://schemas.microsoft.com/office/drawing/2014/chart" uri="{C3380CC4-5D6E-409C-BE32-E72D297353CC}">
                <c16:uniqueId val="{00000001-38E3-4254-8132-7FCEE8EB4071}"/>
              </c:ext>
            </c:extLst>
          </c:dPt>
          <c:dLbls>
            <c:dLbl>
              <c:idx val="0"/>
              <c:tx>
                <c:rich>
                  <a:bodyPr/>
                  <a:lstStyle/>
                  <a:p>
                    <a:fld id="{FEA79416-CADB-4E31-825D-4F69F4D3104D}"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38E3-4254-8132-7FCEE8EB4071}"/>
                </c:ext>
              </c:extLst>
            </c:dLbl>
            <c:dLbl>
              <c:idx val="1"/>
              <c:tx>
                <c:rich>
                  <a:bodyPr/>
                  <a:lstStyle/>
                  <a:p>
                    <a:fld id="{D7FEF408-1C17-45D9-974F-29871C8EFE8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1-38E3-4254-8132-7FCEE8EB40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Coherence_Avg!$Q$60:$Q$61</c:f>
              <c:strCache>
                <c:ptCount val="2"/>
                <c:pt idx="0">
                  <c:v>Synergies</c:v>
                </c:pt>
                <c:pt idx="1">
                  <c:v>Overlaps</c:v>
                </c:pt>
              </c:strCache>
            </c:strRef>
          </c:cat>
          <c:val>
            <c:numRef>
              <c:f>Coherence_Avg!$R$60:$R$61</c:f>
              <c:numCache>
                <c:formatCode>General</c:formatCode>
                <c:ptCount val="2"/>
                <c:pt idx="0">
                  <c:v>3.2758620689655173</c:v>
                </c:pt>
                <c:pt idx="1">
                  <c:v>2</c:v>
                </c:pt>
              </c:numCache>
            </c:numRef>
          </c:val>
          <c:extLst xmlns:c16r2="http://schemas.microsoft.com/office/drawing/2015/06/chart">
            <c:ext xmlns:c15="http://schemas.microsoft.com/office/drawing/2012/chart" uri="{02D57815-91ED-43cb-92C2-25804820EDAC}">
              <c15:datalabelsRange>
                <c15:f>Coherence_Avg!$R$70:$R$71</c15:f>
                <c15:dlblRangeCache>
                  <c:ptCount val="2"/>
                  <c:pt idx="0">
                    <c:v>3.28 (29)</c:v>
                  </c:pt>
                  <c:pt idx="1">
                    <c:v>2.00 (21)</c:v>
                  </c:pt>
                </c15:dlblRangeCache>
              </c15:datalabelsRange>
            </c:ext>
            <c:ext xmlns:c16="http://schemas.microsoft.com/office/drawing/2014/chart" uri="{C3380CC4-5D6E-409C-BE32-E72D297353CC}">
              <c16:uniqueId val="{00000002-38E3-4254-8132-7FCEE8EB4071}"/>
            </c:ext>
          </c:extLst>
        </c:ser>
        <c:ser>
          <c:idx val="1"/>
          <c:order val="1"/>
          <c:tx>
            <c:strRef>
              <c:f>Coherence_Avg!$S$58:$S$59</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3-38E3-4254-8132-7FCEE8EB4071}"/>
              </c:ext>
            </c:extLst>
          </c:dPt>
          <c:dPt>
            <c:idx val="1"/>
            <c:invertIfNegative val="0"/>
            <c:bubble3D val="0"/>
            <c:extLst xmlns:c16r2="http://schemas.microsoft.com/office/drawing/2015/06/chart">
              <c:ext xmlns:c16="http://schemas.microsoft.com/office/drawing/2014/chart" uri="{C3380CC4-5D6E-409C-BE32-E72D297353CC}">
                <c16:uniqueId val="{00000004-38E3-4254-8132-7FCEE8EB4071}"/>
              </c:ext>
            </c:extLst>
          </c:dPt>
          <c:dLbls>
            <c:dLbl>
              <c:idx val="0"/>
              <c:tx>
                <c:rich>
                  <a:bodyPr/>
                  <a:lstStyle/>
                  <a:p>
                    <a:fld id="{95315EE7-3BC4-496F-A81B-5582892A81E2}"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3-38E3-4254-8132-7FCEE8EB4071}"/>
                </c:ext>
              </c:extLst>
            </c:dLbl>
            <c:dLbl>
              <c:idx val="1"/>
              <c:tx>
                <c:rich>
                  <a:bodyPr/>
                  <a:lstStyle/>
                  <a:p>
                    <a:fld id="{9C976A5A-A7B8-4D45-A15C-7EFEC273318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38E3-4254-8132-7FCEE8EB40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Coherence_Avg!$Q$60:$Q$61</c:f>
              <c:strCache>
                <c:ptCount val="2"/>
                <c:pt idx="0">
                  <c:v>Synergies</c:v>
                </c:pt>
                <c:pt idx="1">
                  <c:v>Overlaps</c:v>
                </c:pt>
              </c:strCache>
            </c:strRef>
          </c:cat>
          <c:val>
            <c:numRef>
              <c:f>Coherence_Avg!$S$60:$S$61</c:f>
              <c:numCache>
                <c:formatCode>General</c:formatCode>
                <c:ptCount val="2"/>
                <c:pt idx="0">
                  <c:v>3.0555555555555554</c:v>
                </c:pt>
                <c:pt idx="1">
                  <c:v>1.8823529411764706</c:v>
                </c:pt>
              </c:numCache>
            </c:numRef>
          </c:val>
          <c:extLst xmlns:c16r2="http://schemas.microsoft.com/office/drawing/2015/06/chart">
            <c:ext xmlns:c15="http://schemas.microsoft.com/office/drawing/2012/chart" uri="{02D57815-91ED-43cb-92C2-25804820EDAC}">
              <c15:datalabelsRange>
                <c15:f>Coherence_Avg!$S$70:$S$71</c15:f>
                <c15:dlblRangeCache>
                  <c:ptCount val="2"/>
                  <c:pt idx="0">
                    <c:v>3.06 (18)</c:v>
                  </c:pt>
                  <c:pt idx="1">
                    <c:v>1.88 (17)</c:v>
                  </c:pt>
                </c15:dlblRangeCache>
              </c15:datalabelsRange>
            </c:ext>
            <c:ext xmlns:c16="http://schemas.microsoft.com/office/drawing/2014/chart" uri="{C3380CC4-5D6E-409C-BE32-E72D297353CC}">
              <c16:uniqueId val="{00000005-38E3-4254-8132-7FCEE8EB4071}"/>
            </c:ext>
          </c:extLst>
        </c:ser>
        <c:ser>
          <c:idx val="2"/>
          <c:order val="2"/>
          <c:tx>
            <c:strRef>
              <c:f>Coherence_Avg!$T$58:$T$59</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6-38E3-4254-8132-7FCEE8EB4071}"/>
              </c:ext>
            </c:extLst>
          </c:dPt>
          <c:dPt>
            <c:idx val="1"/>
            <c:invertIfNegative val="0"/>
            <c:bubble3D val="0"/>
            <c:extLst xmlns:c16r2="http://schemas.microsoft.com/office/drawing/2015/06/chart">
              <c:ext xmlns:c16="http://schemas.microsoft.com/office/drawing/2014/chart" uri="{C3380CC4-5D6E-409C-BE32-E72D297353CC}">
                <c16:uniqueId val="{00000007-38E3-4254-8132-7FCEE8EB4071}"/>
              </c:ext>
            </c:extLst>
          </c:dPt>
          <c:dLbls>
            <c:dLbl>
              <c:idx val="0"/>
              <c:tx>
                <c:rich>
                  <a:bodyPr/>
                  <a:lstStyle/>
                  <a:p>
                    <a:fld id="{363B32E2-10FA-4BE4-AA4E-00BAAD44B4F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38E3-4254-8132-7FCEE8EB4071}"/>
                </c:ext>
              </c:extLst>
            </c:dLbl>
            <c:dLbl>
              <c:idx val="1"/>
              <c:tx>
                <c:rich>
                  <a:bodyPr/>
                  <a:lstStyle/>
                  <a:p>
                    <a:fld id="{BC74D087-0DE0-4383-986D-C07FE954AC16}"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38E3-4254-8132-7FCEE8EB40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Coherence_Avg!$Q$60:$Q$61</c:f>
              <c:strCache>
                <c:ptCount val="2"/>
                <c:pt idx="0">
                  <c:v>Synergies</c:v>
                </c:pt>
                <c:pt idx="1">
                  <c:v>Overlaps</c:v>
                </c:pt>
              </c:strCache>
            </c:strRef>
          </c:cat>
          <c:val>
            <c:numRef>
              <c:f>Coherence_Avg!$T$60:$T$61</c:f>
              <c:numCache>
                <c:formatCode>General</c:formatCode>
                <c:ptCount val="2"/>
                <c:pt idx="0">
                  <c:v>3.4210526315789473</c:v>
                </c:pt>
                <c:pt idx="1">
                  <c:v>2.4</c:v>
                </c:pt>
              </c:numCache>
            </c:numRef>
          </c:val>
          <c:extLst xmlns:c16r2="http://schemas.microsoft.com/office/drawing/2015/06/chart">
            <c:ext xmlns:c15="http://schemas.microsoft.com/office/drawing/2012/chart" uri="{02D57815-91ED-43cb-92C2-25804820EDAC}">
              <c15:datalabelsRange>
                <c15:f>Coherence_Avg!$T$70:$T$71</c15:f>
                <c15:dlblRangeCache>
                  <c:ptCount val="2"/>
                  <c:pt idx="0">
                    <c:v>3.42 (19)</c:v>
                  </c:pt>
                  <c:pt idx="1">
                    <c:v>2.40 (15)</c:v>
                  </c:pt>
                </c15:dlblRangeCache>
              </c15:datalabelsRange>
            </c:ext>
            <c:ext xmlns:c16="http://schemas.microsoft.com/office/drawing/2014/chart" uri="{C3380CC4-5D6E-409C-BE32-E72D297353CC}">
              <c16:uniqueId val="{00000008-38E3-4254-8132-7FCEE8EB4071}"/>
            </c:ext>
          </c:extLst>
        </c:ser>
        <c:dLbls>
          <c:dLblPos val="outEnd"/>
          <c:showLegendKey val="0"/>
          <c:showVal val="1"/>
          <c:showCatName val="0"/>
          <c:showSerName val="0"/>
          <c:showPercent val="0"/>
          <c:showBubbleSize val="0"/>
        </c:dLbls>
        <c:gapWidth val="182"/>
        <c:axId val="110664704"/>
        <c:axId val="110682880"/>
      </c:barChart>
      <c:catAx>
        <c:axId val="11066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82880"/>
        <c:crosses val="autoZero"/>
        <c:auto val="1"/>
        <c:lblAlgn val="ctr"/>
        <c:lblOffset val="100"/>
        <c:noMultiLvlLbl val="0"/>
      </c:catAx>
      <c:valAx>
        <c:axId val="11068288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647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Graphs_averages_final.xlsx]Coherence_Avg!Tableau croisé dynamique8</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885209-E8BA-44E5-9034-7BA16F209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CB1F46-6FDC-4384-A9A2-41F76926ED3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DBA712-EB97-4639-A167-8B4C7B6208A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645539-5DDE-4CCD-A47F-EB5FB211BD9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887453-BF23-4616-BE16-7DC06F58471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ACB1E3-35D0-4C5E-833C-37A283A8FED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C2AF6F-2E54-4426-9277-2D1B7D140D8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AB4F6FC-9EB7-4196-89BB-6E7C9A0FD0B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8342FB-9FE0-48C0-B41E-DB784021B8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CB8595-DC27-4B3D-B50E-07917ABD370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09E30B-5F2F-4C59-9937-FD5302747B0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581BF0-C51A-44AE-83BF-D73C593B074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1B445E-BEAC-47F8-890E-4E47166A86F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739D1C7-5594-42F2-81EF-3D3AD852F71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DB3B44-7381-43F0-B40B-87966A5A0CD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DB2A56-DBD1-4E51-9BF1-12D7C3C862A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A61F1B-F746-4C58-9924-04A42958C7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4FC5D0-4546-4F13-A595-72D42F1BA5C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6365948-007D-44EF-B1BF-9B189068C17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77150F-1877-4428-B0D1-3A57A589D4C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A83783-4FA0-4D18-9C6F-A39D5FD1EE1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1836481-157E-4D47-8907-F16BA9B1EFA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07523E-958D-40D9-A86D-D257F8FCE9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36A3CA-C8DA-421F-85C5-973B07A6184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FFF0C8-9D97-4EDD-9C91-F16EC929BE7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B6320-A016-4486-8B64-5CD0E878B6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950EC2-5DD1-4C2C-AF3B-A034C0CB11C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80EACF-959D-4ACF-B829-A07E0E6C15F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74521A-7144-439D-A191-F602BAAA9A4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B7F5290-7E6F-44FE-9670-D949931F338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7DA8ED-0022-4B54-8CDB-E3EF4CF2C0A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CA0966-FC85-4071-8FD3-20FAC381681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EC3B18-D19E-4F88-A165-EBA84B54E78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0D7E62-496B-4FBE-AEF6-2840CB4C50E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481FF0-1A3D-477D-B018-30828CD67C1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C73A70-4EBF-4327-A3EB-954F10AB6B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50826-C8BF-4C36-AC35-37EB41E57AA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AF0E253-77F2-41CD-B4FC-6385EF4D2B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975EB1-E2C4-48B0-BE5D-B49A8231001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AB6E3A-8F07-420E-BD9F-4FCCBB4DAD8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33F517-E9A5-40A9-BD2C-50371EEEF1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1EBD2DE-5733-4385-9FC0-3FEF2ABA2D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5B71A2-BA6D-4201-A006-6ABAE70ECAE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6BE5B1-C853-467E-BC13-BA2FDE35958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885209-E8BA-44E5-9034-7BA16F209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5BFF9C-E50C-40E3-A92C-553EFD8BD8C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72FD43-EC17-40C4-972E-D05BEDE087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62B31F-2489-499E-B758-307AB71E8F6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8E1B9F-7EE5-4447-8AA5-26584B8E2E6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082182-57B3-47E0-875E-2B32DBD41B4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2FF03B3-745A-4189-9313-D1CF36DD5E9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64B4762-859A-4DD4-A558-F029C88A36B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8342FB-9FE0-48C0-B41E-DB784021B8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CDE87C-449A-4F14-B762-A66D0FB6635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C566BFB-9377-43A1-9CD9-5B5C02B1572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AE0303-86FC-4CCD-A629-B37CE3A8FE5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28EF61-2BCC-4434-91C2-5CF45B3AFE4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4DCF18-5401-482C-82E3-C19FBB099AC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8EC924-9D4D-446C-A6C4-31606D10F2E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8CB8D5-84E6-44EA-A4C2-06E542482AF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A61F1B-F746-4C58-9924-04A42958C7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9FC2125-57C6-4135-A65A-8234A8C7C92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B9AF25-B9F3-4C63-B3F8-D43D5294F85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0036D3-E1D0-464C-89CF-776FA3E6023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E23444-9E56-4EEA-A2E3-BB5D02A83FA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8D6A66-254E-4520-9BD3-E5ABC7A84E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5D5A34-66F0-48C3-9FBC-1C1C56BAED6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3A2EB6-909F-447F-A018-059CE8FBE9E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08C1391-1B66-4FDC-B6F3-6EDED7711E4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B6320-A016-4486-8B64-5CD0E878B6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226A701-2A88-4FB3-A64E-4362F47F395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F3B15A-9955-4C52-9F99-8D0B12EA0CA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A23125-D91D-49EE-9AE3-0921F26FADD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1A2B0B1-8774-4BFF-8BBF-3D14E984A88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4CE5E2-4541-4B26-B229-280EE0DFAFE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E56B0C-165A-4E34-B650-88DE1A92C20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A43F9E7-0CB7-4EA3-98F3-D73F06B76A1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7E8678-EB8F-42CB-92A1-BE9B9266584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CCBF00-1476-4789-A004-93F8A63EE11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C73A70-4EBF-4327-A3EB-954F10AB6B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7904E9-F254-4DD9-9B1E-1390C8247B8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0C82AC-C704-4B53-BD9C-462174B899D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C25552-0C22-4C80-A9D0-284DC301C0E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A5344EF-E152-4E4F-AF42-4C6EDEDAAAD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CAD6B1-4E49-42D8-814B-DE4A81B2C74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2BEEC70-35B6-43FE-AB4E-DE51ABFA6DC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9777A9-C935-4BEB-BC2C-2F8B098E11D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F2964A-BEF5-4AC7-A906-6F32C09B441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885209-E8BA-44E5-9034-7BA16F209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D5CBEA-F18A-4444-822A-0F15F7A9B72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1EBEA0-3421-47C1-9009-805421A95B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7069D1-745A-44CB-8CDD-76FC072D27D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4C119F-E1BE-457D-B55D-B9D57DB4159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8760857-6BEA-4296-8D7A-2C1AB9ABCE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C1B537-DCC8-4BBA-ACD2-E2B58730417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279886-3864-4464-AE56-4E34CA8D89C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8342FB-9FE0-48C0-B41E-DB784021B8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99FED4-8B4F-494D-AE10-8FDE7ACA573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B7151B-90FD-440D-BC49-7792A99E6E7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0DDAF2-8587-4636-B3AF-79E10A0147C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805AE2-E219-4169-A2CF-6354ECA317F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E24385-BE49-4CD0-BDF0-778CD8A78C5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47DCF2-FF3B-47A4-978E-DE9D42BCA37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2ADA2A-8A37-4064-A989-8EB6ECAE76E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A61F1B-F746-4C58-9924-04A42958C7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A5EF4A-7973-4F51-A41D-B56E9B6E78D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B82751-681E-4DA7-9392-50BA5EFF3E2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7D894E-8962-4D33-82E0-2A172908066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E3DEFE-E54F-423F-8F4C-5283F79C65A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8BF9B2B-9FC8-4E13-BD34-ECE586A0C8E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1A04C19-B728-4D4B-A18D-48F84D1E9A3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70B828-9172-4800-9B2F-33A52D1F88E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9C18EF-AB45-4DA6-9411-D52E31BB8A4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B6320-A016-4486-8B64-5CD0E878B6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AC8202-E65A-4C5B-9AF1-C5840AD6132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425E30-8E27-4B07-BDC7-3865B99EB84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A562EC-47F3-49E9-88D3-134AAD7EE89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70329A-C95C-48B8-A9FD-235642D398D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9B4661-81FD-4932-B3E8-30EA243DE08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27D7A9-53C5-4D50-B67D-06B0F4B0459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5B1009-4631-4EED-ABA9-387D6E7EF9A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D2A8DB-A0B9-48C2-8656-660DCBAF30D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600E75-0D52-453A-834F-97B3F936104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C73A70-4EBF-4327-A3EB-954F10AB6B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B1B20D-7F7F-4D7B-860B-858DE6378EC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E1AAE2-08C6-4672-9979-039958903C2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C4D194-D15B-4ABD-B959-0795AD63F1A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E8E80E-B162-41E1-971E-AF511BC796B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A386AB-AFDF-4954-96F1-7EF738989BE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68840C-12D1-41AC-A035-E3D03EEB8D5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36A7F8-7D28-4EF9-B6BA-54704022FB6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C42731-2686-4C0C-A480-0AB6D90EA55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manualLayout>
          <c:layoutTarget val="inner"/>
          <c:xMode val="edge"/>
          <c:yMode val="edge"/>
          <c:x val="0.177328836554416"/>
          <c:y val="1.9974577810059901E-2"/>
          <c:w val="0.79324506107465598"/>
          <c:h val="0.87471482901998987"/>
        </c:manualLayout>
      </c:layout>
      <c:barChart>
        <c:barDir val="bar"/>
        <c:grouping val="clustered"/>
        <c:varyColors val="0"/>
        <c:ser>
          <c:idx val="0"/>
          <c:order val="0"/>
          <c:tx>
            <c:strRef>
              <c:f>Coherence_Avg!$R$3:$R$4</c:f>
              <c:strCache>
                <c:ptCount val="1"/>
                <c:pt idx="0">
                  <c:v>Wider public</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E0A-4F65-99EB-46205F16B9E0}"/>
              </c:ext>
            </c:extLst>
          </c:dPt>
          <c:dPt>
            <c:idx val="1"/>
            <c:invertIfNegative val="0"/>
            <c:bubble3D val="0"/>
            <c:extLst xmlns:c16r2="http://schemas.microsoft.com/office/drawing/2015/06/chart">
              <c:ext xmlns:c16="http://schemas.microsoft.com/office/drawing/2014/chart" uri="{C3380CC4-5D6E-409C-BE32-E72D297353CC}">
                <c16:uniqueId val="{00000001-DE0A-4F65-99EB-46205F16B9E0}"/>
              </c:ext>
            </c:extLst>
          </c:dPt>
          <c:dPt>
            <c:idx val="2"/>
            <c:invertIfNegative val="0"/>
            <c:bubble3D val="0"/>
            <c:extLst xmlns:c16r2="http://schemas.microsoft.com/office/drawing/2015/06/chart">
              <c:ext xmlns:c16="http://schemas.microsoft.com/office/drawing/2014/chart" uri="{C3380CC4-5D6E-409C-BE32-E72D297353CC}">
                <c16:uniqueId val="{00000002-DE0A-4F65-99EB-46205F16B9E0}"/>
              </c:ext>
            </c:extLst>
          </c:dPt>
          <c:dPt>
            <c:idx val="3"/>
            <c:invertIfNegative val="0"/>
            <c:bubble3D val="0"/>
            <c:extLst xmlns:c16r2="http://schemas.microsoft.com/office/drawing/2015/06/chart">
              <c:ext xmlns:c16="http://schemas.microsoft.com/office/drawing/2014/chart" uri="{C3380CC4-5D6E-409C-BE32-E72D297353CC}">
                <c16:uniqueId val="{00000003-DE0A-4F65-99EB-46205F16B9E0}"/>
              </c:ext>
            </c:extLst>
          </c:dPt>
          <c:dPt>
            <c:idx val="4"/>
            <c:invertIfNegative val="0"/>
            <c:bubble3D val="0"/>
            <c:extLst xmlns:c16r2="http://schemas.microsoft.com/office/drawing/2015/06/chart">
              <c:ext xmlns:c16="http://schemas.microsoft.com/office/drawing/2014/chart" uri="{C3380CC4-5D6E-409C-BE32-E72D297353CC}">
                <c16:uniqueId val="{00000004-DE0A-4F65-99EB-46205F16B9E0}"/>
              </c:ext>
            </c:extLst>
          </c:dPt>
          <c:dPt>
            <c:idx val="5"/>
            <c:invertIfNegative val="0"/>
            <c:bubble3D val="0"/>
            <c:extLst xmlns:c16r2="http://schemas.microsoft.com/office/drawing/2015/06/chart">
              <c:ext xmlns:c16="http://schemas.microsoft.com/office/drawing/2014/chart" uri="{C3380CC4-5D6E-409C-BE32-E72D297353CC}">
                <c16:uniqueId val="{00000005-DE0A-4F65-99EB-46205F16B9E0}"/>
              </c:ext>
            </c:extLst>
          </c:dPt>
          <c:dPt>
            <c:idx val="6"/>
            <c:invertIfNegative val="0"/>
            <c:bubble3D val="0"/>
            <c:extLst xmlns:c16r2="http://schemas.microsoft.com/office/drawing/2015/06/chart">
              <c:ext xmlns:c16="http://schemas.microsoft.com/office/drawing/2014/chart" uri="{C3380CC4-5D6E-409C-BE32-E72D297353CC}">
                <c16:uniqueId val="{00000006-DE0A-4F65-99EB-46205F16B9E0}"/>
              </c:ext>
            </c:extLst>
          </c:dPt>
          <c:dPt>
            <c:idx val="7"/>
            <c:invertIfNegative val="0"/>
            <c:bubble3D val="0"/>
            <c:extLst xmlns:c16r2="http://schemas.microsoft.com/office/drawing/2015/06/chart">
              <c:ext xmlns:c16="http://schemas.microsoft.com/office/drawing/2014/chart" uri="{C3380CC4-5D6E-409C-BE32-E72D297353CC}">
                <c16:uniqueId val="{00000007-DE0A-4F65-99EB-46205F16B9E0}"/>
              </c:ext>
            </c:extLst>
          </c:dPt>
          <c:dPt>
            <c:idx val="8"/>
            <c:invertIfNegative val="0"/>
            <c:bubble3D val="0"/>
            <c:extLst xmlns:c16r2="http://schemas.microsoft.com/office/drawing/2015/06/chart">
              <c:ext xmlns:c16="http://schemas.microsoft.com/office/drawing/2014/chart" uri="{C3380CC4-5D6E-409C-BE32-E72D297353CC}">
                <c16:uniqueId val="{00000008-DE0A-4F65-99EB-46205F16B9E0}"/>
              </c:ext>
            </c:extLst>
          </c:dPt>
          <c:dPt>
            <c:idx val="9"/>
            <c:invertIfNegative val="0"/>
            <c:bubble3D val="0"/>
            <c:extLst xmlns:c16r2="http://schemas.microsoft.com/office/drawing/2015/06/chart">
              <c:ext xmlns:c16="http://schemas.microsoft.com/office/drawing/2014/chart" uri="{C3380CC4-5D6E-409C-BE32-E72D297353CC}">
                <c16:uniqueId val="{00000009-DE0A-4F65-99EB-46205F16B9E0}"/>
              </c:ext>
            </c:extLst>
          </c:dPt>
          <c:dLbls>
            <c:dLbl>
              <c:idx val="0"/>
              <c:tx>
                <c:rich>
                  <a:bodyPr/>
                  <a:lstStyle/>
                  <a:p>
                    <a:fld id="{203A257C-F527-45CC-8F2F-D372D1BF5BB4}"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DE0A-4F65-99EB-46205F16B9E0}"/>
                </c:ext>
              </c:extLst>
            </c:dLbl>
            <c:dLbl>
              <c:idx val="1"/>
              <c:tx>
                <c:rich>
                  <a:bodyPr/>
                  <a:lstStyle/>
                  <a:p>
                    <a:fld id="{E0163A64-5F9A-4FD7-B06C-6C4E1282CA8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DE0A-4F65-99EB-46205F16B9E0}"/>
                </c:ext>
              </c:extLst>
            </c:dLbl>
            <c:dLbl>
              <c:idx val="2"/>
              <c:tx>
                <c:rich>
                  <a:bodyPr/>
                  <a:lstStyle/>
                  <a:p>
                    <a:fld id="{36D5828D-6B41-4B2B-BC90-FEB6D5859F8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DE0A-4F65-99EB-46205F16B9E0}"/>
                </c:ext>
              </c:extLst>
            </c:dLbl>
            <c:dLbl>
              <c:idx val="3"/>
              <c:tx>
                <c:rich>
                  <a:bodyPr/>
                  <a:lstStyle/>
                  <a:p>
                    <a:fld id="{562C89B4-31BC-4FA6-B7D6-044973C4984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DE0A-4F65-99EB-46205F16B9E0}"/>
                </c:ext>
              </c:extLst>
            </c:dLbl>
            <c:dLbl>
              <c:idx val="4"/>
              <c:tx>
                <c:rich>
                  <a:bodyPr/>
                  <a:lstStyle/>
                  <a:p>
                    <a:fld id="{64937BFD-D619-452D-8451-0DA2C0E3539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DE0A-4F65-99EB-46205F16B9E0}"/>
                </c:ext>
              </c:extLst>
            </c:dLbl>
            <c:dLbl>
              <c:idx val="5"/>
              <c:tx>
                <c:rich>
                  <a:bodyPr/>
                  <a:lstStyle/>
                  <a:p>
                    <a:fld id="{6E46AA65-C781-4D6B-AD3D-EB0C6A249CD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DE0A-4F65-99EB-46205F16B9E0}"/>
                </c:ext>
              </c:extLst>
            </c:dLbl>
            <c:dLbl>
              <c:idx val="6"/>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E0A-4F65-99EB-46205F16B9E0}"/>
                </c:ext>
              </c:extLst>
            </c:dLbl>
            <c:dLbl>
              <c:idx val="7"/>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E0A-4F65-99EB-46205F16B9E0}"/>
                </c:ext>
              </c:extLst>
            </c:dLbl>
            <c:dLbl>
              <c:idx val="8"/>
              <c:tx>
                <c:rich>
                  <a:bodyPr/>
                  <a:lstStyle/>
                  <a:p>
                    <a:fld id="{DD521A7A-2D5B-4915-8276-FBC2745D07E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DE0A-4F65-99EB-46205F16B9E0}"/>
                </c:ext>
              </c:extLst>
            </c:dLbl>
            <c:dLbl>
              <c:idx val="9"/>
              <c:tx>
                <c:rich>
                  <a:bodyPr/>
                  <a:lstStyle/>
                  <a:p>
                    <a:fld id="{591115D2-A507-4901-8C3B-A87119701E3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DE0A-4F65-99EB-46205F16B9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Coherence_Avg!$R$5:$R$21</c:f>
              <c:numCache>
                <c:formatCode>General</c:formatCode>
                <c:ptCount val="10"/>
                <c:pt idx="0">
                  <c:v>4.2</c:v>
                </c:pt>
                <c:pt idx="1">
                  <c:v>2</c:v>
                </c:pt>
                <c:pt idx="2">
                  <c:v>3</c:v>
                </c:pt>
                <c:pt idx="3">
                  <c:v>2</c:v>
                </c:pt>
                <c:pt idx="4">
                  <c:v>3.5555555555555554</c:v>
                </c:pt>
                <c:pt idx="5">
                  <c:v>2.3333333333333335</c:v>
                </c:pt>
                <c:pt idx="6">
                  <c:v>#N/A</c:v>
                </c:pt>
                <c:pt idx="7">
                  <c:v>#N/A</c:v>
                </c:pt>
                <c:pt idx="8">
                  <c:v>3.9333333333333331</c:v>
                </c:pt>
                <c:pt idx="9">
                  <c:v>2.9230769230769229</c:v>
                </c:pt>
              </c:numCache>
            </c:numRef>
          </c:val>
          <c:extLst xmlns:c16r2="http://schemas.microsoft.com/office/drawing/2015/06/chart">
            <c:ext xmlns:c15="http://schemas.microsoft.com/office/drawing/2012/chart" uri="{02D57815-91ED-43cb-92C2-25804820EDAC}">
              <c15:datalabelsRange>
                <c15:f>Coherence_Avg!$R$42:$R$51</c15:f>
                <c15:dlblRangeCache>
                  <c:ptCount val="10"/>
                  <c:pt idx="0">
                    <c:v>4.20 (3)</c:v>
                  </c:pt>
                  <c:pt idx="1">
                    <c:v>2.00 (2)</c:v>
                  </c:pt>
                  <c:pt idx="2">
                    <c:v>3.00 (6)</c:v>
                  </c:pt>
                  <c:pt idx="3">
                    <c:v>2.00 (5)</c:v>
                  </c:pt>
                  <c:pt idx="4">
                    <c:v>3.56 (12)</c:v>
                  </c:pt>
                  <c:pt idx="5">
                    <c:v>2.33 (9)</c:v>
                  </c:pt>
                  <c:pt idx="8">
                    <c:v>3.93 (11)</c:v>
                  </c:pt>
                  <c:pt idx="9">
                    <c:v>2.92 (9)</c:v>
                  </c:pt>
                </c15:dlblRangeCache>
              </c15:datalabelsRange>
            </c:ext>
            <c:ext xmlns:c16="http://schemas.microsoft.com/office/drawing/2014/chart" uri="{C3380CC4-5D6E-409C-BE32-E72D297353CC}">
              <c16:uniqueId val="{0000000A-DE0A-4F65-99EB-46205F16B9E0}"/>
            </c:ext>
          </c:extLst>
        </c:ser>
        <c:ser>
          <c:idx val="1"/>
          <c:order val="1"/>
          <c:tx>
            <c:strRef>
              <c:f>Coherence_Avg!$S$3:$S$4</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B-DE0A-4F65-99EB-46205F16B9E0}"/>
              </c:ext>
            </c:extLst>
          </c:dPt>
          <c:dPt>
            <c:idx val="1"/>
            <c:invertIfNegative val="0"/>
            <c:bubble3D val="0"/>
            <c:extLst xmlns:c16r2="http://schemas.microsoft.com/office/drawing/2015/06/chart">
              <c:ext xmlns:c16="http://schemas.microsoft.com/office/drawing/2014/chart" uri="{C3380CC4-5D6E-409C-BE32-E72D297353CC}">
                <c16:uniqueId val="{0000000C-DE0A-4F65-99EB-46205F16B9E0}"/>
              </c:ext>
            </c:extLst>
          </c:dPt>
          <c:dPt>
            <c:idx val="2"/>
            <c:invertIfNegative val="0"/>
            <c:bubble3D val="0"/>
            <c:extLst xmlns:c16r2="http://schemas.microsoft.com/office/drawing/2015/06/chart">
              <c:ext xmlns:c16="http://schemas.microsoft.com/office/drawing/2014/chart" uri="{C3380CC4-5D6E-409C-BE32-E72D297353CC}">
                <c16:uniqueId val="{0000000D-DE0A-4F65-99EB-46205F16B9E0}"/>
              </c:ext>
            </c:extLst>
          </c:dPt>
          <c:dPt>
            <c:idx val="3"/>
            <c:invertIfNegative val="0"/>
            <c:bubble3D val="0"/>
            <c:extLst xmlns:c16r2="http://schemas.microsoft.com/office/drawing/2015/06/chart">
              <c:ext xmlns:c16="http://schemas.microsoft.com/office/drawing/2014/chart" uri="{C3380CC4-5D6E-409C-BE32-E72D297353CC}">
                <c16:uniqueId val="{0000000E-DE0A-4F65-99EB-46205F16B9E0}"/>
              </c:ext>
            </c:extLst>
          </c:dPt>
          <c:dPt>
            <c:idx val="4"/>
            <c:invertIfNegative val="0"/>
            <c:bubble3D val="0"/>
            <c:extLst xmlns:c16r2="http://schemas.microsoft.com/office/drawing/2015/06/chart">
              <c:ext xmlns:c16="http://schemas.microsoft.com/office/drawing/2014/chart" uri="{C3380CC4-5D6E-409C-BE32-E72D297353CC}">
                <c16:uniqueId val="{0000000F-DE0A-4F65-99EB-46205F16B9E0}"/>
              </c:ext>
            </c:extLst>
          </c:dPt>
          <c:dPt>
            <c:idx val="5"/>
            <c:invertIfNegative val="0"/>
            <c:bubble3D val="0"/>
            <c:extLst xmlns:c16r2="http://schemas.microsoft.com/office/drawing/2015/06/chart">
              <c:ext xmlns:c16="http://schemas.microsoft.com/office/drawing/2014/chart" uri="{C3380CC4-5D6E-409C-BE32-E72D297353CC}">
                <c16:uniqueId val="{00000010-DE0A-4F65-99EB-46205F16B9E0}"/>
              </c:ext>
            </c:extLst>
          </c:dPt>
          <c:dPt>
            <c:idx val="6"/>
            <c:invertIfNegative val="0"/>
            <c:bubble3D val="0"/>
            <c:extLst xmlns:c16r2="http://schemas.microsoft.com/office/drawing/2015/06/chart">
              <c:ext xmlns:c16="http://schemas.microsoft.com/office/drawing/2014/chart" uri="{C3380CC4-5D6E-409C-BE32-E72D297353CC}">
                <c16:uniqueId val="{00000011-DE0A-4F65-99EB-46205F16B9E0}"/>
              </c:ext>
            </c:extLst>
          </c:dPt>
          <c:dPt>
            <c:idx val="7"/>
            <c:invertIfNegative val="0"/>
            <c:bubble3D val="0"/>
            <c:extLst xmlns:c16r2="http://schemas.microsoft.com/office/drawing/2015/06/chart">
              <c:ext xmlns:c16="http://schemas.microsoft.com/office/drawing/2014/chart" uri="{C3380CC4-5D6E-409C-BE32-E72D297353CC}">
                <c16:uniqueId val="{00000012-DE0A-4F65-99EB-46205F16B9E0}"/>
              </c:ext>
            </c:extLst>
          </c:dPt>
          <c:dPt>
            <c:idx val="8"/>
            <c:invertIfNegative val="0"/>
            <c:bubble3D val="0"/>
            <c:extLst xmlns:c16r2="http://schemas.microsoft.com/office/drawing/2015/06/chart">
              <c:ext xmlns:c16="http://schemas.microsoft.com/office/drawing/2014/chart" uri="{C3380CC4-5D6E-409C-BE32-E72D297353CC}">
                <c16:uniqueId val="{00000013-DE0A-4F65-99EB-46205F16B9E0}"/>
              </c:ext>
            </c:extLst>
          </c:dPt>
          <c:dPt>
            <c:idx val="9"/>
            <c:invertIfNegative val="0"/>
            <c:bubble3D val="0"/>
            <c:extLst xmlns:c16r2="http://schemas.microsoft.com/office/drawing/2015/06/chart">
              <c:ext xmlns:c16="http://schemas.microsoft.com/office/drawing/2014/chart" uri="{C3380CC4-5D6E-409C-BE32-E72D297353CC}">
                <c16:uniqueId val="{00000014-DE0A-4F65-99EB-46205F16B9E0}"/>
              </c:ext>
            </c:extLst>
          </c:dPt>
          <c:dLbls>
            <c:dLbl>
              <c:idx val="0"/>
              <c:tx>
                <c:rich>
                  <a:bodyPr/>
                  <a:lstStyle/>
                  <a:p>
                    <a:fld id="{75A6102D-0A15-40E9-85CB-B33A026C345A}"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B-DE0A-4F65-99EB-46205F16B9E0}"/>
                </c:ext>
              </c:extLst>
            </c:dLbl>
            <c:dLbl>
              <c:idx val="1"/>
              <c:tx>
                <c:rich>
                  <a:bodyPr/>
                  <a:lstStyle/>
                  <a:p>
                    <a:fld id="{EB8BA894-5B5A-4240-AAF9-BB7A210C674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DE0A-4F65-99EB-46205F16B9E0}"/>
                </c:ext>
              </c:extLst>
            </c:dLbl>
            <c:dLbl>
              <c:idx val="2"/>
              <c:tx>
                <c:rich>
                  <a:bodyPr/>
                  <a:lstStyle/>
                  <a:p>
                    <a:fld id="{11962AC2-5F35-4875-BFD8-27AFBE04BE3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DE0A-4F65-99EB-46205F16B9E0}"/>
                </c:ext>
              </c:extLst>
            </c:dLbl>
            <c:dLbl>
              <c:idx val="3"/>
              <c:tx>
                <c:rich>
                  <a:bodyPr/>
                  <a:lstStyle/>
                  <a:p>
                    <a:fld id="{05439BDB-9CEF-4CF1-B3DD-CC7837293C2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DE0A-4F65-99EB-46205F16B9E0}"/>
                </c:ext>
              </c:extLst>
            </c:dLbl>
            <c:dLbl>
              <c:idx val="4"/>
              <c:tx>
                <c:rich>
                  <a:bodyPr/>
                  <a:lstStyle/>
                  <a:p>
                    <a:fld id="{2B99CCC4-A1CD-4CAF-BCD7-2D21211A6F0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DE0A-4F65-99EB-46205F16B9E0}"/>
                </c:ext>
              </c:extLst>
            </c:dLbl>
            <c:dLbl>
              <c:idx val="5"/>
              <c:tx>
                <c:rich>
                  <a:bodyPr/>
                  <a:lstStyle/>
                  <a:p>
                    <a:fld id="{01751120-871E-4E2C-8938-8F064E39C25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DE0A-4F65-99EB-46205F16B9E0}"/>
                </c:ext>
              </c:extLst>
            </c:dLbl>
            <c:dLbl>
              <c:idx val="6"/>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DE0A-4F65-99EB-46205F16B9E0}"/>
                </c:ext>
              </c:extLst>
            </c:dLbl>
            <c:dLbl>
              <c:idx val="7"/>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DE0A-4F65-99EB-46205F16B9E0}"/>
                </c:ext>
              </c:extLst>
            </c:dLbl>
            <c:dLbl>
              <c:idx val="8"/>
              <c:tx>
                <c:rich>
                  <a:bodyPr/>
                  <a:lstStyle/>
                  <a:p>
                    <a:fld id="{5E828435-5794-4C02-84F1-BEF58DB265E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DE0A-4F65-99EB-46205F16B9E0}"/>
                </c:ext>
              </c:extLst>
            </c:dLbl>
            <c:dLbl>
              <c:idx val="9"/>
              <c:tx>
                <c:rich>
                  <a:bodyPr/>
                  <a:lstStyle/>
                  <a:p>
                    <a:fld id="{28C1EC53-BE08-427E-A58B-8B40D68A9BE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DE0A-4F65-99EB-46205F16B9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Coherence_Avg!$S$5:$S$21</c:f>
              <c:numCache>
                <c:formatCode>General</c:formatCode>
                <c:ptCount val="10"/>
                <c:pt idx="0">
                  <c:v>3.75</c:v>
                </c:pt>
                <c:pt idx="1">
                  <c:v>1.5</c:v>
                </c:pt>
                <c:pt idx="2">
                  <c:v>3.6666666666666665</c:v>
                </c:pt>
                <c:pt idx="3">
                  <c:v>1</c:v>
                </c:pt>
                <c:pt idx="4">
                  <c:v>4</c:v>
                </c:pt>
                <c:pt idx="5">
                  <c:v>2</c:v>
                </c:pt>
                <c:pt idx="6">
                  <c:v>#N/A</c:v>
                </c:pt>
                <c:pt idx="7">
                  <c:v>#N/A</c:v>
                </c:pt>
                <c:pt idx="8">
                  <c:v>4</c:v>
                </c:pt>
                <c:pt idx="9">
                  <c:v>2</c:v>
                </c:pt>
              </c:numCache>
            </c:numRef>
          </c:val>
          <c:extLst xmlns:c16r2="http://schemas.microsoft.com/office/drawing/2015/06/chart">
            <c:ext xmlns:c15="http://schemas.microsoft.com/office/drawing/2012/chart" uri="{02D57815-91ED-43cb-92C2-25804820EDAC}">
              <c15:datalabelsRange>
                <c15:f>Coherence_Avg!$S$42:$S$51</c15:f>
                <c15:dlblRangeCache>
                  <c:ptCount val="10"/>
                  <c:pt idx="0">
                    <c:v>3.75 (4)</c:v>
                  </c:pt>
                  <c:pt idx="1">
                    <c:v>1.50 (4)</c:v>
                  </c:pt>
                  <c:pt idx="2">
                    <c:v>3.67 (3)</c:v>
                  </c:pt>
                  <c:pt idx="3">
                    <c:v>1.00 (2)</c:v>
                  </c:pt>
                  <c:pt idx="4">
                    <c:v>4.00 (1)</c:v>
                  </c:pt>
                  <c:pt idx="5">
                    <c:v>2.00 (1)</c:v>
                  </c:pt>
                  <c:pt idx="8">
                    <c:v>4.00 (1)</c:v>
                  </c:pt>
                  <c:pt idx="9">
                    <c:v>2.00 (1)</c:v>
                  </c:pt>
                </c15:dlblRangeCache>
              </c15:datalabelsRange>
            </c:ext>
            <c:ext xmlns:c16="http://schemas.microsoft.com/office/drawing/2014/chart" uri="{C3380CC4-5D6E-409C-BE32-E72D297353CC}">
              <c16:uniqueId val="{00000015-DE0A-4F65-99EB-46205F16B9E0}"/>
            </c:ext>
          </c:extLst>
        </c:ser>
        <c:ser>
          <c:idx val="2"/>
          <c:order val="2"/>
          <c:tx>
            <c:strRef>
              <c:f>Coherence_Avg!$T$3:$T$4</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6-DE0A-4F65-99EB-46205F16B9E0}"/>
              </c:ext>
            </c:extLst>
          </c:dPt>
          <c:dPt>
            <c:idx val="1"/>
            <c:invertIfNegative val="0"/>
            <c:bubble3D val="0"/>
            <c:extLst xmlns:c16r2="http://schemas.microsoft.com/office/drawing/2015/06/chart">
              <c:ext xmlns:c16="http://schemas.microsoft.com/office/drawing/2014/chart" uri="{C3380CC4-5D6E-409C-BE32-E72D297353CC}">
                <c16:uniqueId val="{00000017-DE0A-4F65-99EB-46205F16B9E0}"/>
              </c:ext>
            </c:extLst>
          </c:dPt>
          <c:dPt>
            <c:idx val="2"/>
            <c:invertIfNegative val="0"/>
            <c:bubble3D val="0"/>
            <c:extLst xmlns:c16r2="http://schemas.microsoft.com/office/drawing/2015/06/chart">
              <c:ext xmlns:c16="http://schemas.microsoft.com/office/drawing/2014/chart" uri="{C3380CC4-5D6E-409C-BE32-E72D297353CC}">
                <c16:uniqueId val="{00000018-DE0A-4F65-99EB-46205F16B9E0}"/>
              </c:ext>
            </c:extLst>
          </c:dPt>
          <c:dPt>
            <c:idx val="3"/>
            <c:invertIfNegative val="0"/>
            <c:bubble3D val="0"/>
            <c:extLst xmlns:c16r2="http://schemas.microsoft.com/office/drawing/2015/06/chart">
              <c:ext xmlns:c16="http://schemas.microsoft.com/office/drawing/2014/chart" uri="{C3380CC4-5D6E-409C-BE32-E72D297353CC}">
                <c16:uniqueId val="{00000019-DE0A-4F65-99EB-46205F16B9E0}"/>
              </c:ext>
            </c:extLst>
          </c:dPt>
          <c:dPt>
            <c:idx val="4"/>
            <c:invertIfNegative val="0"/>
            <c:bubble3D val="0"/>
            <c:extLst xmlns:c16r2="http://schemas.microsoft.com/office/drawing/2015/06/chart">
              <c:ext xmlns:c16="http://schemas.microsoft.com/office/drawing/2014/chart" uri="{C3380CC4-5D6E-409C-BE32-E72D297353CC}">
                <c16:uniqueId val="{0000001A-DE0A-4F65-99EB-46205F16B9E0}"/>
              </c:ext>
            </c:extLst>
          </c:dPt>
          <c:dPt>
            <c:idx val="5"/>
            <c:invertIfNegative val="0"/>
            <c:bubble3D val="0"/>
            <c:extLst xmlns:c16r2="http://schemas.microsoft.com/office/drawing/2015/06/chart">
              <c:ext xmlns:c16="http://schemas.microsoft.com/office/drawing/2014/chart" uri="{C3380CC4-5D6E-409C-BE32-E72D297353CC}">
                <c16:uniqueId val="{0000001B-DE0A-4F65-99EB-46205F16B9E0}"/>
              </c:ext>
            </c:extLst>
          </c:dPt>
          <c:dPt>
            <c:idx val="6"/>
            <c:invertIfNegative val="0"/>
            <c:bubble3D val="0"/>
            <c:extLst xmlns:c16r2="http://schemas.microsoft.com/office/drawing/2015/06/chart">
              <c:ext xmlns:c16="http://schemas.microsoft.com/office/drawing/2014/chart" uri="{C3380CC4-5D6E-409C-BE32-E72D297353CC}">
                <c16:uniqueId val="{0000001C-DE0A-4F65-99EB-46205F16B9E0}"/>
              </c:ext>
            </c:extLst>
          </c:dPt>
          <c:dPt>
            <c:idx val="7"/>
            <c:invertIfNegative val="0"/>
            <c:bubble3D val="0"/>
            <c:extLst xmlns:c16r2="http://schemas.microsoft.com/office/drawing/2015/06/chart">
              <c:ext xmlns:c16="http://schemas.microsoft.com/office/drawing/2014/chart" uri="{C3380CC4-5D6E-409C-BE32-E72D297353CC}">
                <c16:uniqueId val="{0000001D-DE0A-4F65-99EB-46205F16B9E0}"/>
              </c:ext>
            </c:extLst>
          </c:dPt>
          <c:dPt>
            <c:idx val="8"/>
            <c:invertIfNegative val="0"/>
            <c:bubble3D val="0"/>
            <c:extLst xmlns:c16r2="http://schemas.microsoft.com/office/drawing/2015/06/chart">
              <c:ext xmlns:c16="http://schemas.microsoft.com/office/drawing/2014/chart" uri="{C3380CC4-5D6E-409C-BE32-E72D297353CC}">
                <c16:uniqueId val="{0000001E-DE0A-4F65-99EB-46205F16B9E0}"/>
              </c:ext>
            </c:extLst>
          </c:dPt>
          <c:dPt>
            <c:idx val="9"/>
            <c:invertIfNegative val="0"/>
            <c:bubble3D val="0"/>
            <c:extLst xmlns:c16r2="http://schemas.microsoft.com/office/drawing/2015/06/chart">
              <c:ext xmlns:c16="http://schemas.microsoft.com/office/drawing/2014/chart" uri="{C3380CC4-5D6E-409C-BE32-E72D297353CC}">
                <c16:uniqueId val="{0000001F-DE0A-4F65-99EB-46205F16B9E0}"/>
              </c:ext>
            </c:extLst>
          </c:dPt>
          <c:dLbls>
            <c:dLbl>
              <c:idx val="0"/>
              <c:tx>
                <c:rich>
                  <a:bodyPr/>
                  <a:lstStyle/>
                  <a:p>
                    <a:fld id="{F0BCD3DD-FFA1-4ED1-9015-885995F59014}"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6-DE0A-4F65-99EB-46205F16B9E0}"/>
                </c:ext>
              </c:extLst>
            </c:dLbl>
            <c:dLbl>
              <c:idx val="1"/>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DE0A-4F65-99EB-46205F16B9E0}"/>
                </c:ext>
              </c:extLst>
            </c:dLbl>
            <c:dLbl>
              <c:idx val="2"/>
              <c:tx>
                <c:rich>
                  <a:bodyPr/>
                  <a:lstStyle/>
                  <a:p>
                    <a:fld id="{A0FCA5EE-86C8-4CD8-885B-43F2C831288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DE0A-4F65-99EB-46205F16B9E0}"/>
                </c:ext>
              </c:extLst>
            </c:dLbl>
            <c:dLbl>
              <c:idx val="3"/>
              <c:tx>
                <c:rich>
                  <a:bodyPr/>
                  <a:lstStyle/>
                  <a:p>
                    <a:fld id="{46AA5092-9466-4C37-806B-2FD86D4750F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DE0A-4F65-99EB-46205F16B9E0}"/>
                </c:ext>
              </c:extLst>
            </c:dLbl>
            <c:dLbl>
              <c:idx val="4"/>
              <c:tx>
                <c:rich>
                  <a:bodyPr/>
                  <a:lstStyle/>
                  <a:p>
                    <a:fld id="{3856BBFF-69C0-4FD9-BC58-C695E335F32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DE0A-4F65-99EB-46205F16B9E0}"/>
                </c:ext>
              </c:extLst>
            </c:dLbl>
            <c:dLbl>
              <c:idx val="5"/>
              <c:tx>
                <c:rich>
                  <a:bodyPr/>
                  <a:lstStyle/>
                  <a:p>
                    <a:fld id="{22DCA0E5-3A1D-4B1B-B256-5FCE039474F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DE0A-4F65-99EB-46205F16B9E0}"/>
                </c:ext>
              </c:extLst>
            </c:dLbl>
            <c:dLbl>
              <c:idx val="6"/>
              <c:tx>
                <c:rich>
                  <a:bodyPr/>
                  <a:lstStyle/>
                  <a:p>
                    <a:fld id="{687F9502-B5B8-491B-BC15-4563CC50C88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DE0A-4F65-99EB-46205F16B9E0}"/>
                </c:ext>
              </c:extLst>
            </c:dLbl>
            <c:dLbl>
              <c:idx val="7"/>
              <c:tx>
                <c:rich>
                  <a:bodyPr/>
                  <a:lstStyle/>
                  <a:p>
                    <a:fld id="{3EF29EAA-F6F3-4359-B88C-2FF68021F38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DE0A-4F65-99EB-46205F16B9E0}"/>
                </c:ext>
              </c:extLst>
            </c:dLbl>
            <c:dLbl>
              <c:idx val="8"/>
              <c:tx>
                <c:rich>
                  <a:bodyPr/>
                  <a:lstStyle/>
                  <a:p>
                    <a:fld id="{34CEC3E7-E612-4114-A938-8C5300EBD84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DE0A-4F65-99EB-46205F16B9E0}"/>
                </c:ext>
              </c:extLst>
            </c:dLbl>
            <c:dLbl>
              <c:idx val="9"/>
              <c:tx>
                <c:rich>
                  <a:bodyPr/>
                  <a:lstStyle/>
                  <a:p>
                    <a:fld id="{0CCDB6A3-C64D-4FC3-ACB3-E5B5B3D9E81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DE0A-4F65-99EB-46205F16B9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Coherence_Avg!$T$5:$T$21</c:f>
              <c:numCache>
                <c:formatCode>General</c:formatCode>
                <c:ptCount val="10"/>
                <c:pt idx="0">
                  <c:v>4</c:v>
                </c:pt>
                <c:pt idx="1">
                  <c:v>#N/A</c:v>
                </c:pt>
                <c:pt idx="2">
                  <c:v>3.5</c:v>
                </c:pt>
                <c:pt idx="3">
                  <c:v>2.75</c:v>
                </c:pt>
                <c:pt idx="4">
                  <c:v>3.6666666666666665</c:v>
                </c:pt>
                <c:pt idx="5">
                  <c:v>2.25</c:v>
                </c:pt>
                <c:pt idx="6">
                  <c:v>3</c:v>
                </c:pt>
                <c:pt idx="7">
                  <c:v>2.8</c:v>
                </c:pt>
                <c:pt idx="8">
                  <c:v>4.2</c:v>
                </c:pt>
                <c:pt idx="9">
                  <c:v>3.0769230769230771</c:v>
                </c:pt>
              </c:numCache>
            </c:numRef>
          </c:val>
          <c:extLst xmlns:c16r2="http://schemas.microsoft.com/office/drawing/2015/06/chart">
            <c:ext xmlns:c15="http://schemas.microsoft.com/office/drawing/2012/chart" uri="{02D57815-91ED-43cb-92C2-25804820EDAC}">
              <c15:datalabelsRange>
                <c15:f>Coherence_Avg!$T$42:$T$51</c15:f>
                <c15:dlblRangeCache>
                  <c:ptCount val="10"/>
                  <c:pt idx="0">
                    <c:v>4.00 (1)</c:v>
                  </c:pt>
                  <c:pt idx="2">
                    <c:v>3.50 (6)</c:v>
                  </c:pt>
                  <c:pt idx="3">
                    <c:v>2.75 (4)</c:v>
                  </c:pt>
                  <c:pt idx="4">
                    <c:v>3.67 (15)</c:v>
                  </c:pt>
                  <c:pt idx="5">
                    <c:v>2.25 (12)</c:v>
                  </c:pt>
                  <c:pt idx="6">
                    <c:v>3.00 (6)</c:v>
                  </c:pt>
                  <c:pt idx="7">
                    <c:v>2.80 (5)</c:v>
                  </c:pt>
                  <c:pt idx="8">
                    <c:v>4.20 (15)</c:v>
                  </c:pt>
                  <c:pt idx="9">
                    <c:v>3.08 (13)</c:v>
                  </c:pt>
                </c15:dlblRangeCache>
              </c15:datalabelsRange>
            </c:ext>
            <c:ext xmlns:c16="http://schemas.microsoft.com/office/drawing/2014/chart" uri="{C3380CC4-5D6E-409C-BE32-E72D297353CC}">
              <c16:uniqueId val="{00000020-DE0A-4F65-99EB-46205F16B9E0}"/>
            </c:ext>
          </c:extLst>
        </c:ser>
        <c:ser>
          <c:idx val="3"/>
          <c:order val="3"/>
          <c:tx>
            <c:strRef>
              <c:f>Coherence_Avg!$U$3:$U$4</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21-DE0A-4F65-99EB-46205F16B9E0}"/>
              </c:ext>
            </c:extLst>
          </c:dPt>
          <c:dPt>
            <c:idx val="1"/>
            <c:invertIfNegative val="0"/>
            <c:bubble3D val="0"/>
            <c:extLst xmlns:c16r2="http://schemas.microsoft.com/office/drawing/2015/06/chart">
              <c:ext xmlns:c16="http://schemas.microsoft.com/office/drawing/2014/chart" uri="{C3380CC4-5D6E-409C-BE32-E72D297353CC}">
                <c16:uniqueId val="{00000022-DE0A-4F65-99EB-46205F16B9E0}"/>
              </c:ext>
            </c:extLst>
          </c:dPt>
          <c:dPt>
            <c:idx val="2"/>
            <c:invertIfNegative val="0"/>
            <c:bubble3D val="0"/>
            <c:extLst xmlns:c16r2="http://schemas.microsoft.com/office/drawing/2015/06/chart">
              <c:ext xmlns:c16="http://schemas.microsoft.com/office/drawing/2014/chart" uri="{C3380CC4-5D6E-409C-BE32-E72D297353CC}">
                <c16:uniqueId val="{00000023-DE0A-4F65-99EB-46205F16B9E0}"/>
              </c:ext>
            </c:extLst>
          </c:dPt>
          <c:dPt>
            <c:idx val="3"/>
            <c:invertIfNegative val="0"/>
            <c:bubble3D val="0"/>
            <c:extLst xmlns:c16r2="http://schemas.microsoft.com/office/drawing/2015/06/chart">
              <c:ext xmlns:c16="http://schemas.microsoft.com/office/drawing/2014/chart" uri="{C3380CC4-5D6E-409C-BE32-E72D297353CC}">
                <c16:uniqueId val="{00000024-DE0A-4F65-99EB-46205F16B9E0}"/>
              </c:ext>
            </c:extLst>
          </c:dPt>
          <c:dPt>
            <c:idx val="4"/>
            <c:invertIfNegative val="0"/>
            <c:bubble3D val="0"/>
            <c:extLst xmlns:c16r2="http://schemas.microsoft.com/office/drawing/2015/06/chart">
              <c:ext xmlns:c16="http://schemas.microsoft.com/office/drawing/2014/chart" uri="{C3380CC4-5D6E-409C-BE32-E72D297353CC}">
                <c16:uniqueId val="{00000025-DE0A-4F65-99EB-46205F16B9E0}"/>
              </c:ext>
            </c:extLst>
          </c:dPt>
          <c:dPt>
            <c:idx val="5"/>
            <c:invertIfNegative val="0"/>
            <c:bubble3D val="0"/>
            <c:extLst xmlns:c16r2="http://schemas.microsoft.com/office/drawing/2015/06/chart">
              <c:ext xmlns:c16="http://schemas.microsoft.com/office/drawing/2014/chart" uri="{C3380CC4-5D6E-409C-BE32-E72D297353CC}">
                <c16:uniqueId val="{00000026-DE0A-4F65-99EB-46205F16B9E0}"/>
              </c:ext>
            </c:extLst>
          </c:dPt>
          <c:dPt>
            <c:idx val="6"/>
            <c:invertIfNegative val="0"/>
            <c:bubble3D val="0"/>
            <c:extLst xmlns:c16r2="http://schemas.microsoft.com/office/drawing/2015/06/chart">
              <c:ext xmlns:c16="http://schemas.microsoft.com/office/drawing/2014/chart" uri="{C3380CC4-5D6E-409C-BE32-E72D297353CC}">
                <c16:uniqueId val="{00000027-DE0A-4F65-99EB-46205F16B9E0}"/>
              </c:ext>
            </c:extLst>
          </c:dPt>
          <c:dPt>
            <c:idx val="7"/>
            <c:invertIfNegative val="0"/>
            <c:bubble3D val="0"/>
            <c:extLst xmlns:c16r2="http://schemas.microsoft.com/office/drawing/2015/06/chart">
              <c:ext xmlns:c16="http://schemas.microsoft.com/office/drawing/2014/chart" uri="{C3380CC4-5D6E-409C-BE32-E72D297353CC}">
                <c16:uniqueId val="{00000028-DE0A-4F65-99EB-46205F16B9E0}"/>
              </c:ext>
            </c:extLst>
          </c:dPt>
          <c:dPt>
            <c:idx val="8"/>
            <c:invertIfNegative val="0"/>
            <c:bubble3D val="0"/>
            <c:extLst xmlns:c16r2="http://schemas.microsoft.com/office/drawing/2015/06/chart">
              <c:ext xmlns:c16="http://schemas.microsoft.com/office/drawing/2014/chart" uri="{C3380CC4-5D6E-409C-BE32-E72D297353CC}">
                <c16:uniqueId val="{00000029-DE0A-4F65-99EB-46205F16B9E0}"/>
              </c:ext>
            </c:extLst>
          </c:dPt>
          <c:dPt>
            <c:idx val="9"/>
            <c:invertIfNegative val="0"/>
            <c:bubble3D val="0"/>
            <c:extLst xmlns:c16r2="http://schemas.microsoft.com/office/drawing/2015/06/chart">
              <c:ext xmlns:c16="http://schemas.microsoft.com/office/drawing/2014/chart" uri="{C3380CC4-5D6E-409C-BE32-E72D297353CC}">
                <c16:uniqueId val="{0000002A-DE0A-4F65-99EB-46205F16B9E0}"/>
              </c:ext>
            </c:extLst>
          </c:dPt>
          <c:dLbls>
            <c:dLbl>
              <c:idx val="0"/>
              <c:tx>
                <c:rich>
                  <a:bodyPr/>
                  <a:lstStyle/>
                  <a:p>
                    <a:fld id="{A08B1341-C76C-4167-ACA8-3C7BF5717B0A}"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21-DE0A-4F65-99EB-46205F16B9E0}"/>
                </c:ext>
              </c:extLst>
            </c:dLbl>
            <c:dLbl>
              <c:idx val="1"/>
              <c:tx>
                <c:rich>
                  <a:bodyPr/>
                  <a:lstStyle/>
                  <a:p>
                    <a:fld id="{5560AF5A-1230-480F-AFBF-2A6CF9528E6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DE0A-4F65-99EB-46205F16B9E0}"/>
                </c:ext>
              </c:extLst>
            </c:dLbl>
            <c:dLbl>
              <c:idx val="2"/>
              <c:tx>
                <c:rich>
                  <a:bodyPr/>
                  <a:lstStyle/>
                  <a:p>
                    <a:fld id="{7D48C9E3-D526-4552-AED3-2C8997A8BEF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3-DE0A-4F65-99EB-46205F16B9E0}"/>
                </c:ext>
              </c:extLst>
            </c:dLbl>
            <c:dLbl>
              <c:idx val="3"/>
              <c:tx>
                <c:rich>
                  <a:bodyPr/>
                  <a:lstStyle/>
                  <a:p>
                    <a:fld id="{50C76D9B-4D52-4FF9-AA1E-F33C0DBD0CD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4-DE0A-4F65-99EB-46205F16B9E0}"/>
                </c:ext>
              </c:extLst>
            </c:dLbl>
            <c:dLbl>
              <c:idx val="4"/>
              <c:tx>
                <c:rich>
                  <a:bodyPr/>
                  <a:lstStyle/>
                  <a:p>
                    <a:fld id="{AD73761D-FFBD-40C3-BC5E-E04EBA11B0F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5-DE0A-4F65-99EB-46205F16B9E0}"/>
                </c:ext>
              </c:extLst>
            </c:dLbl>
            <c:dLbl>
              <c:idx val="5"/>
              <c:tx>
                <c:rich>
                  <a:bodyPr/>
                  <a:lstStyle/>
                  <a:p>
                    <a:fld id="{290AA7CB-3E6B-4DF0-AEC3-4A7EE3702C5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6-DE0A-4F65-99EB-46205F16B9E0}"/>
                </c:ext>
              </c:extLst>
            </c:dLbl>
            <c:dLbl>
              <c:idx val="6"/>
              <c:tx>
                <c:rich>
                  <a:bodyPr/>
                  <a:lstStyle/>
                  <a:p>
                    <a:fld id="{F098C8B7-3BCD-4156-ABAA-A49D9CA504C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7-DE0A-4F65-99EB-46205F16B9E0}"/>
                </c:ext>
              </c:extLst>
            </c:dLbl>
            <c:dLbl>
              <c:idx val="7"/>
              <c:tx>
                <c:rich>
                  <a:bodyPr/>
                  <a:lstStyle/>
                  <a:p>
                    <a:fld id="{0E2DE5D8-91D3-4936-B92D-2E84CFE888D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8-DE0A-4F65-99EB-46205F16B9E0}"/>
                </c:ext>
              </c:extLst>
            </c:dLbl>
            <c:dLbl>
              <c:idx val="8"/>
              <c:tx>
                <c:rich>
                  <a:bodyPr/>
                  <a:lstStyle/>
                  <a:p>
                    <a:fld id="{1A51A470-465B-4D4F-A902-ACC9FA7C206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9-DE0A-4F65-99EB-46205F16B9E0}"/>
                </c:ext>
              </c:extLst>
            </c:dLbl>
            <c:dLbl>
              <c:idx val="9"/>
              <c:tx>
                <c:rich>
                  <a:bodyPr/>
                  <a:lstStyle/>
                  <a:p>
                    <a:fld id="{EEE3D5E1-28FE-4CFE-AA62-7C63628F9EE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A-DE0A-4F65-99EB-46205F16B9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Coherence_Avg!$U$5:$U$21</c:f>
              <c:numCache>
                <c:formatCode>General</c:formatCode>
                <c:ptCount val="10"/>
                <c:pt idx="0">
                  <c:v>3.25</c:v>
                </c:pt>
                <c:pt idx="1">
                  <c:v>2</c:v>
                </c:pt>
                <c:pt idx="2">
                  <c:v>3.5454545454545454</c:v>
                </c:pt>
                <c:pt idx="3">
                  <c:v>1.7142857142857142</c:v>
                </c:pt>
                <c:pt idx="4">
                  <c:v>3.375</c:v>
                </c:pt>
                <c:pt idx="5">
                  <c:v>2</c:v>
                </c:pt>
                <c:pt idx="6">
                  <c:v>3.375</c:v>
                </c:pt>
                <c:pt idx="7">
                  <c:v>1.6</c:v>
                </c:pt>
                <c:pt idx="8">
                  <c:v>4.1764705882352944</c:v>
                </c:pt>
                <c:pt idx="9">
                  <c:v>2.4666666666666668</c:v>
                </c:pt>
              </c:numCache>
            </c:numRef>
          </c:val>
          <c:extLst xmlns:c16r2="http://schemas.microsoft.com/office/drawing/2015/06/chart">
            <c:ext xmlns:c15="http://schemas.microsoft.com/office/drawing/2012/chart" uri="{02D57815-91ED-43cb-92C2-25804820EDAC}">
              <c15:datalabelsRange>
                <c15:f>Coherence_Avg!$U$42:$U$51</c15:f>
                <c15:dlblRangeCache>
                  <c:ptCount val="10"/>
                  <c:pt idx="0">
                    <c:v>3.25 (4)</c:v>
                  </c:pt>
                  <c:pt idx="1">
                    <c:v>2.00 (2)</c:v>
                  </c:pt>
                  <c:pt idx="2">
                    <c:v>3.55 (11)</c:v>
                  </c:pt>
                  <c:pt idx="3">
                    <c:v>1.71 (7)</c:v>
                  </c:pt>
                  <c:pt idx="4">
                    <c:v>3.38 (16)</c:v>
                  </c:pt>
                  <c:pt idx="5">
                    <c:v>2.00 (12)</c:v>
                  </c:pt>
                  <c:pt idx="6">
                    <c:v>3.38 (8)</c:v>
                  </c:pt>
                  <c:pt idx="7">
                    <c:v>1.60 (5)</c:v>
                  </c:pt>
                  <c:pt idx="8">
                    <c:v>4.18 (17)</c:v>
                  </c:pt>
                  <c:pt idx="9">
                    <c:v>2.47 (15)</c:v>
                  </c:pt>
                </c15:dlblRangeCache>
              </c15:datalabelsRange>
            </c:ext>
            <c:ext xmlns:c16="http://schemas.microsoft.com/office/drawing/2014/chart" uri="{C3380CC4-5D6E-409C-BE32-E72D297353CC}">
              <c16:uniqueId val="{0000002B-DE0A-4F65-99EB-46205F16B9E0}"/>
            </c:ext>
          </c:extLst>
        </c:ser>
        <c:ser>
          <c:idx val="4"/>
          <c:order val="4"/>
          <c:tx>
            <c:strRef>
              <c:f>Coherence_Avg!$V$3:$V$4</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2C-DE0A-4F65-99EB-46205F16B9E0}"/>
              </c:ext>
            </c:extLst>
          </c:dPt>
          <c:dPt>
            <c:idx val="1"/>
            <c:invertIfNegative val="0"/>
            <c:bubble3D val="0"/>
            <c:extLst xmlns:c16r2="http://schemas.microsoft.com/office/drawing/2015/06/chart">
              <c:ext xmlns:c16="http://schemas.microsoft.com/office/drawing/2014/chart" uri="{C3380CC4-5D6E-409C-BE32-E72D297353CC}">
                <c16:uniqueId val="{0000002D-DE0A-4F65-99EB-46205F16B9E0}"/>
              </c:ext>
            </c:extLst>
          </c:dPt>
          <c:dPt>
            <c:idx val="2"/>
            <c:invertIfNegative val="0"/>
            <c:bubble3D val="0"/>
            <c:extLst xmlns:c16r2="http://schemas.microsoft.com/office/drawing/2015/06/chart">
              <c:ext xmlns:c16="http://schemas.microsoft.com/office/drawing/2014/chart" uri="{C3380CC4-5D6E-409C-BE32-E72D297353CC}">
                <c16:uniqueId val="{0000002E-DE0A-4F65-99EB-46205F16B9E0}"/>
              </c:ext>
            </c:extLst>
          </c:dPt>
          <c:dPt>
            <c:idx val="3"/>
            <c:invertIfNegative val="0"/>
            <c:bubble3D val="0"/>
            <c:extLst xmlns:c16r2="http://schemas.microsoft.com/office/drawing/2015/06/chart">
              <c:ext xmlns:c16="http://schemas.microsoft.com/office/drawing/2014/chart" uri="{C3380CC4-5D6E-409C-BE32-E72D297353CC}">
                <c16:uniqueId val="{0000002F-DE0A-4F65-99EB-46205F16B9E0}"/>
              </c:ext>
            </c:extLst>
          </c:dPt>
          <c:dPt>
            <c:idx val="4"/>
            <c:invertIfNegative val="0"/>
            <c:bubble3D val="0"/>
            <c:extLst xmlns:c16r2="http://schemas.microsoft.com/office/drawing/2015/06/chart">
              <c:ext xmlns:c16="http://schemas.microsoft.com/office/drawing/2014/chart" uri="{C3380CC4-5D6E-409C-BE32-E72D297353CC}">
                <c16:uniqueId val="{00000030-DE0A-4F65-99EB-46205F16B9E0}"/>
              </c:ext>
            </c:extLst>
          </c:dPt>
          <c:dPt>
            <c:idx val="5"/>
            <c:invertIfNegative val="0"/>
            <c:bubble3D val="0"/>
            <c:extLst xmlns:c16r2="http://schemas.microsoft.com/office/drawing/2015/06/chart">
              <c:ext xmlns:c16="http://schemas.microsoft.com/office/drawing/2014/chart" uri="{C3380CC4-5D6E-409C-BE32-E72D297353CC}">
                <c16:uniqueId val="{00000031-DE0A-4F65-99EB-46205F16B9E0}"/>
              </c:ext>
            </c:extLst>
          </c:dPt>
          <c:dPt>
            <c:idx val="6"/>
            <c:invertIfNegative val="0"/>
            <c:bubble3D val="0"/>
            <c:extLst xmlns:c16r2="http://schemas.microsoft.com/office/drawing/2015/06/chart">
              <c:ext xmlns:c16="http://schemas.microsoft.com/office/drawing/2014/chart" uri="{C3380CC4-5D6E-409C-BE32-E72D297353CC}">
                <c16:uniqueId val="{00000032-DE0A-4F65-99EB-46205F16B9E0}"/>
              </c:ext>
            </c:extLst>
          </c:dPt>
          <c:dPt>
            <c:idx val="7"/>
            <c:invertIfNegative val="0"/>
            <c:bubble3D val="0"/>
            <c:extLst xmlns:c16r2="http://schemas.microsoft.com/office/drawing/2015/06/chart">
              <c:ext xmlns:c16="http://schemas.microsoft.com/office/drawing/2014/chart" uri="{C3380CC4-5D6E-409C-BE32-E72D297353CC}">
                <c16:uniqueId val="{00000033-DE0A-4F65-99EB-46205F16B9E0}"/>
              </c:ext>
            </c:extLst>
          </c:dPt>
          <c:dPt>
            <c:idx val="8"/>
            <c:invertIfNegative val="0"/>
            <c:bubble3D val="0"/>
            <c:extLst xmlns:c16r2="http://schemas.microsoft.com/office/drawing/2015/06/chart">
              <c:ext xmlns:c16="http://schemas.microsoft.com/office/drawing/2014/chart" uri="{C3380CC4-5D6E-409C-BE32-E72D297353CC}">
                <c16:uniqueId val="{00000034-DE0A-4F65-99EB-46205F16B9E0}"/>
              </c:ext>
            </c:extLst>
          </c:dPt>
          <c:dPt>
            <c:idx val="9"/>
            <c:invertIfNegative val="0"/>
            <c:bubble3D val="0"/>
            <c:extLst xmlns:c16r2="http://schemas.microsoft.com/office/drawing/2015/06/chart">
              <c:ext xmlns:c16="http://schemas.microsoft.com/office/drawing/2014/chart" uri="{C3380CC4-5D6E-409C-BE32-E72D297353CC}">
                <c16:uniqueId val="{00000035-DE0A-4F65-99EB-46205F16B9E0}"/>
              </c:ext>
            </c:extLst>
          </c:dPt>
          <c:dLbls>
            <c:dLbl>
              <c:idx val="0"/>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C-DE0A-4F65-99EB-46205F16B9E0}"/>
                </c:ext>
              </c:extLst>
            </c:dLbl>
            <c:dLbl>
              <c:idx val="1"/>
              <c:tx>
                <c:rich>
                  <a:bodyPr/>
                  <a:lstStyle/>
                  <a:p>
                    <a:fld id="{1383AB63-1784-4AD0-8214-A40E4DF12888}"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2D-DE0A-4F65-99EB-46205F16B9E0}"/>
                </c:ext>
              </c:extLst>
            </c:dLbl>
            <c:dLbl>
              <c:idx val="2"/>
              <c:tx>
                <c:rich>
                  <a:bodyPr/>
                  <a:lstStyle/>
                  <a:p>
                    <a:fld id="{024E7273-4DDD-4672-B161-ACB7CE0878B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E-DE0A-4F65-99EB-46205F16B9E0}"/>
                </c:ext>
              </c:extLst>
            </c:dLbl>
            <c:dLbl>
              <c:idx val="3"/>
              <c:tx>
                <c:rich>
                  <a:bodyPr/>
                  <a:lstStyle/>
                  <a:p>
                    <a:fld id="{FF539A50-62F4-434D-8437-DC7234C7B04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F-DE0A-4F65-99EB-46205F16B9E0}"/>
                </c:ext>
              </c:extLst>
            </c:dLbl>
            <c:dLbl>
              <c:idx val="4"/>
              <c:tx>
                <c:rich>
                  <a:bodyPr/>
                  <a:lstStyle/>
                  <a:p>
                    <a:fld id="{C007A575-CB05-4C96-AA81-27D4A21C867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0-DE0A-4F65-99EB-46205F16B9E0}"/>
                </c:ext>
              </c:extLst>
            </c:dLbl>
            <c:dLbl>
              <c:idx val="5"/>
              <c:tx>
                <c:rich>
                  <a:bodyPr/>
                  <a:lstStyle/>
                  <a:p>
                    <a:fld id="{317EDBB8-4DD2-4846-A65C-7A3255D98C3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1-DE0A-4F65-99EB-46205F16B9E0}"/>
                </c:ext>
              </c:extLst>
            </c:dLbl>
            <c:dLbl>
              <c:idx val="6"/>
              <c:tx>
                <c:rich>
                  <a:bodyPr/>
                  <a:lstStyle/>
                  <a:p>
                    <a:fld id="{B4D9BD31-1BDC-4321-BB36-24AD3BFA419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2-DE0A-4F65-99EB-46205F16B9E0}"/>
                </c:ext>
              </c:extLst>
            </c:dLbl>
            <c:dLbl>
              <c:idx val="7"/>
              <c:tx>
                <c:rich>
                  <a:bodyPr/>
                  <a:lstStyle/>
                  <a:p>
                    <a:fld id="{B7D2A04E-0DB2-4D34-9379-433BBE18C77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3-DE0A-4F65-99EB-46205F16B9E0}"/>
                </c:ext>
              </c:extLst>
            </c:dLbl>
            <c:dLbl>
              <c:idx val="8"/>
              <c:tx>
                <c:rich>
                  <a:bodyPr/>
                  <a:lstStyle/>
                  <a:p>
                    <a:fld id="{D8A2D38D-F50C-41AF-B946-7D73BD9E410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4-DE0A-4F65-99EB-46205F16B9E0}"/>
                </c:ext>
              </c:extLst>
            </c:dLbl>
            <c:dLbl>
              <c:idx val="9"/>
              <c:tx>
                <c:rich>
                  <a:bodyPr/>
                  <a:lstStyle/>
                  <a:p>
                    <a:fld id="{6FE711F5-D38E-4B1E-96C5-469AC575ED8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5-DE0A-4F65-99EB-46205F16B9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Coherence_Avg!$V$5:$V$21</c:f>
              <c:numCache>
                <c:formatCode>General</c:formatCode>
                <c:ptCount val="10"/>
                <c:pt idx="0">
                  <c:v>#N/A</c:v>
                </c:pt>
                <c:pt idx="1">
                  <c:v>1</c:v>
                </c:pt>
                <c:pt idx="2">
                  <c:v>3.3076923076923075</c:v>
                </c:pt>
                <c:pt idx="3">
                  <c:v>1.8181818181818181</c:v>
                </c:pt>
                <c:pt idx="4">
                  <c:v>2.8461538461538463</c:v>
                </c:pt>
                <c:pt idx="5">
                  <c:v>2.1818181818181817</c:v>
                </c:pt>
                <c:pt idx="6">
                  <c:v>2.3333333333333335</c:v>
                </c:pt>
                <c:pt idx="7">
                  <c:v>1.3333333333333333</c:v>
                </c:pt>
                <c:pt idx="8">
                  <c:v>3.9411764705882355</c:v>
                </c:pt>
                <c:pt idx="9">
                  <c:v>2.4</c:v>
                </c:pt>
              </c:numCache>
            </c:numRef>
          </c:val>
          <c:extLst xmlns:c16r2="http://schemas.microsoft.com/office/drawing/2015/06/chart">
            <c:ext xmlns:c15="http://schemas.microsoft.com/office/drawing/2012/chart" uri="{02D57815-91ED-43cb-92C2-25804820EDAC}">
              <c15:datalabelsRange>
                <c15:f>Coherence_Avg!$V$42:$V$51</c15:f>
                <c15:dlblRangeCache>
                  <c:ptCount val="10"/>
                  <c:pt idx="1">
                    <c:v>1.00 (1)</c:v>
                  </c:pt>
                  <c:pt idx="2">
                    <c:v>3.31 (13)</c:v>
                  </c:pt>
                  <c:pt idx="3">
                    <c:v>1.82 (11)</c:v>
                  </c:pt>
                  <c:pt idx="4">
                    <c:v>2.85 (13)</c:v>
                  </c:pt>
                  <c:pt idx="5">
                    <c:v>2.18 (11)</c:v>
                  </c:pt>
                  <c:pt idx="6">
                    <c:v>2.33 (9)</c:v>
                  </c:pt>
                  <c:pt idx="7">
                    <c:v>1.33 (6)</c:v>
                  </c:pt>
                  <c:pt idx="8">
                    <c:v>3.94 (17)</c:v>
                  </c:pt>
                  <c:pt idx="9">
                    <c:v>2.40 (15)</c:v>
                  </c:pt>
                </c15:dlblRangeCache>
              </c15:datalabelsRange>
            </c:ext>
            <c:ext xmlns:c16="http://schemas.microsoft.com/office/drawing/2014/chart" uri="{C3380CC4-5D6E-409C-BE32-E72D297353CC}">
              <c16:uniqueId val="{00000036-DE0A-4F65-99EB-46205F16B9E0}"/>
            </c:ext>
          </c:extLst>
        </c:ser>
        <c:dLbls>
          <c:dLblPos val="outEnd"/>
          <c:showLegendKey val="0"/>
          <c:showVal val="1"/>
          <c:showCatName val="0"/>
          <c:showSerName val="0"/>
          <c:showPercent val="0"/>
          <c:showBubbleSize val="0"/>
        </c:dLbls>
        <c:gapWidth val="182"/>
        <c:axId val="118382592"/>
        <c:axId val="118384128"/>
      </c:barChart>
      <c:catAx>
        <c:axId val="11838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8384128"/>
        <c:crosses val="autoZero"/>
        <c:auto val="0"/>
        <c:lblAlgn val="ctr"/>
        <c:lblOffset val="100"/>
        <c:noMultiLvlLbl val="0"/>
      </c:catAx>
      <c:valAx>
        <c:axId val="118384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8382592"/>
        <c:crosses val="autoZero"/>
        <c:crossBetween val="between"/>
        <c:majorUnit val="1"/>
      </c:valAx>
      <c:spPr>
        <a:noFill/>
        <a:ln>
          <a:noFill/>
        </a:ln>
        <a:effectLst/>
      </c:spPr>
    </c:plotArea>
    <c:legend>
      <c:legendPos val="b"/>
      <c:layout>
        <c:manualLayout>
          <c:xMode val="edge"/>
          <c:yMode val="edge"/>
          <c:x val="0"/>
          <c:y val="0.92124061714735472"/>
          <c:w val="0.99838855729118503"/>
          <c:h val="7.745825094272064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Graphs_averages_final.xlsx]EU Added Value_Avg!Tableau croisé dynamique10</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C1E548-4E0C-48B5-86CB-F929C6012C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A3B74B-92B6-448B-8A08-C0E72B23E0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C50848-AB56-4CDC-AAF4-ACDDC7F138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847623-EAF3-40B9-BD7B-05075CEF49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3658F4-DCE5-42FC-B6FA-BC505F45BC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882F19-A8B4-4451-8CE7-29FA478354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8C1404-7668-4CE0-B87E-B5FF5F3EB7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5DD8C5-EBF4-4BFB-87AC-9292683FF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7F8177-97BD-4804-9F41-91373D3C71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860609-8757-4A51-BE72-C3FB817C20F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F0262F-44AB-40C4-A37E-C82F5D17D61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F8FBE6-BC8F-462A-B26F-11ECF8EF1A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1C07B1-6FC5-4204-B06F-6300FAD07D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68AA76-B5D3-4F51-86E6-67ADD499A9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F00E12-144E-40C9-99AE-798310C99D4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08AFBD-7017-4644-865C-810BD37024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5F556-D1C6-441B-A9AB-E013CF7343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9E320-FD5A-4E2D-9C99-5E555BBAA3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450603-829E-4E10-8948-BD7B1A669FF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A84086-5185-4D78-B5A6-8CA6D82E43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9666491-1120-44A6-9F8A-E384F686D0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E46045-C753-4448-B976-AE920A55455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80114E-CBDA-46CF-BCD0-188CF7F23D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8F57AF-6650-48B3-9058-F835C05847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EAC13B-5B2B-4252-8592-5EAC0347A12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741D3-4279-4E42-91F6-7F6F9AA9E8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D4C65-780B-4A32-AB93-EBB311BB2F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C15DDE-3612-4EC3-A11E-2461603BF8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AC13B3-574E-4418-97C9-2A54907863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62A1B9-458B-4FD1-A971-0AD85CF7C6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C1E548-4E0C-48B5-86CB-F929C6012C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A3B74B-92B6-448B-8A08-C0E72B23E0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C50848-AB56-4CDC-AAF4-ACDDC7F138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847623-EAF3-40B9-BD7B-05075CEF49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3658F4-DCE5-42FC-B6FA-BC505F45BC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882F19-A8B4-4451-8CE7-29FA478354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8C1404-7668-4CE0-B87E-B5FF5F3EB7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5DD8C5-EBF4-4BFB-87AC-9292683FF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7F8177-97BD-4804-9F41-91373D3C71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860609-8757-4A51-BE72-C3FB817C20F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F0262F-44AB-40C4-A37E-C82F5D17D61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F8FBE6-BC8F-462A-B26F-11ECF8EF1A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1C07B1-6FC5-4204-B06F-6300FAD07D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68AA76-B5D3-4F51-86E6-67ADD499A9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F00E12-144E-40C9-99AE-798310C99D4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08AFBD-7017-4644-865C-810BD37024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5F556-D1C6-441B-A9AB-E013CF7343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9E320-FD5A-4E2D-9C99-5E555BBAA3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450603-829E-4E10-8948-BD7B1A669FF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A84086-5185-4D78-B5A6-8CA6D82E43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9666491-1120-44A6-9F8A-E384F686D0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E46045-C753-4448-B976-AE920A55455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80114E-CBDA-46CF-BCD0-188CF7F23D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8F57AF-6650-48B3-9058-F835C05847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EAC13B-5B2B-4252-8592-5EAC0347A12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741D3-4279-4E42-91F6-7F6F9AA9E8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D4C65-780B-4A32-AB93-EBB311BB2F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C15DDE-3612-4EC3-A11E-2461603BF8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AC13B3-574E-4418-97C9-2A54907863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62A1B9-458B-4FD1-A971-0AD85CF7C6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C1E548-4E0C-48B5-86CB-F929C6012C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A3B74B-92B6-448B-8A08-C0E72B23E0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C50848-AB56-4CDC-AAF4-ACDDC7F138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847623-EAF3-40B9-BD7B-05075CEF49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3658F4-DCE5-42FC-B6FA-BC505F45BC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882F19-A8B4-4451-8CE7-29FA478354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8C1404-7668-4CE0-B87E-B5FF5F3EB7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5DD8C5-EBF4-4BFB-87AC-9292683FF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7F8177-97BD-4804-9F41-91373D3C71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860609-8757-4A51-BE72-C3FB817C20F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F0262F-44AB-40C4-A37E-C82F5D17D61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F8FBE6-BC8F-462A-B26F-11ECF8EF1A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1C07B1-6FC5-4204-B06F-6300FAD07D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68AA76-B5D3-4F51-86E6-67ADD499A9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F00E12-144E-40C9-99AE-798310C99D4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08AFBD-7017-4644-865C-810BD37024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5F556-D1C6-441B-A9AB-E013CF7343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9E320-FD5A-4E2D-9C99-5E555BBAA3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450603-829E-4E10-8948-BD7B1A669FF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A84086-5185-4D78-B5A6-8CA6D82E43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9666491-1120-44A6-9F8A-E384F686D0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E46045-C753-4448-B976-AE920A55455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80114E-CBDA-46CF-BCD0-188CF7F23D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8F57AF-6650-48B3-9058-F835C05847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EAC13B-5B2B-4252-8592-5EAC0347A12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741D3-4279-4E42-91F6-7F6F9AA9E8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D4C65-780B-4A32-AB93-EBB311BB2F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C15DDE-3612-4EC3-A11E-2461603BF8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AC13B3-574E-4418-97C9-2A54907863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62A1B9-458B-4FD1-A971-0AD85CF7C6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'EU Added Value_Avg'!$V$2:$V$3</c:f>
              <c:strCache>
                <c:ptCount val="1"/>
                <c:pt idx="0">
                  <c:v>Wider public</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EF3A-416D-8718-0441FACE1CDA}"/>
              </c:ext>
            </c:extLst>
          </c:dPt>
          <c:dPt>
            <c:idx val="1"/>
            <c:invertIfNegative val="0"/>
            <c:bubble3D val="0"/>
            <c:extLst xmlns:c16r2="http://schemas.microsoft.com/office/drawing/2015/06/chart">
              <c:ext xmlns:c16="http://schemas.microsoft.com/office/drawing/2014/chart" uri="{C3380CC4-5D6E-409C-BE32-E72D297353CC}">
                <c16:uniqueId val="{00000001-EF3A-416D-8718-0441FACE1CDA}"/>
              </c:ext>
            </c:extLst>
          </c:dPt>
          <c:dPt>
            <c:idx val="2"/>
            <c:invertIfNegative val="0"/>
            <c:bubble3D val="0"/>
            <c:extLst xmlns:c16r2="http://schemas.microsoft.com/office/drawing/2015/06/chart">
              <c:ext xmlns:c16="http://schemas.microsoft.com/office/drawing/2014/chart" uri="{C3380CC4-5D6E-409C-BE32-E72D297353CC}">
                <c16:uniqueId val="{00000002-EF3A-416D-8718-0441FACE1CDA}"/>
              </c:ext>
            </c:extLst>
          </c:dPt>
          <c:dPt>
            <c:idx val="3"/>
            <c:invertIfNegative val="0"/>
            <c:bubble3D val="0"/>
            <c:extLst xmlns:c16r2="http://schemas.microsoft.com/office/drawing/2015/06/chart">
              <c:ext xmlns:c16="http://schemas.microsoft.com/office/drawing/2014/chart" uri="{C3380CC4-5D6E-409C-BE32-E72D297353CC}">
                <c16:uniqueId val="{00000003-EF3A-416D-8718-0441FACE1CDA}"/>
              </c:ext>
            </c:extLst>
          </c:dPt>
          <c:dPt>
            <c:idx val="4"/>
            <c:invertIfNegative val="0"/>
            <c:bubble3D val="0"/>
            <c:extLst xmlns:c16r2="http://schemas.microsoft.com/office/drawing/2015/06/chart">
              <c:ext xmlns:c16="http://schemas.microsoft.com/office/drawing/2014/chart" uri="{C3380CC4-5D6E-409C-BE32-E72D297353CC}">
                <c16:uniqueId val="{00000004-EF3A-416D-8718-0441FACE1CDA}"/>
              </c:ext>
            </c:extLst>
          </c:dPt>
          <c:dPt>
            <c:idx val="5"/>
            <c:invertIfNegative val="0"/>
            <c:bubble3D val="0"/>
            <c:extLst xmlns:c16r2="http://schemas.microsoft.com/office/drawing/2015/06/chart">
              <c:ext xmlns:c16="http://schemas.microsoft.com/office/drawing/2014/chart" uri="{C3380CC4-5D6E-409C-BE32-E72D297353CC}">
                <c16:uniqueId val="{00000005-EF3A-416D-8718-0441FACE1CDA}"/>
              </c:ext>
            </c:extLst>
          </c:dPt>
          <c:dLbls>
            <c:dLbl>
              <c:idx val="0"/>
              <c:tx>
                <c:rich>
                  <a:bodyPr/>
                  <a:lstStyle/>
                  <a:p>
                    <a:fld id="{F4A8A6FB-37DA-467B-9B3F-E078AD2C9F6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EF3A-416D-8718-0441FACE1CDA}"/>
                </c:ext>
              </c:extLst>
            </c:dLbl>
            <c:dLbl>
              <c:idx val="1"/>
              <c:tx>
                <c:rich>
                  <a:bodyPr/>
                  <a:lstStyle/>
                  <a:p>
                    <a:fld id="{D21A0069-9C7F-426A-8A35-2298D08F204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EF3A-416D-8718-0441FACE1CDA}"/>
                </c:ext>
              </c:extLst>
            </c:dLbl>
            <c:dLbl>
              <c:idx val="2"/>
              <c:tx>
                <c:rich>
                  <a:bodyPr/>
                  <a:lstStyle/>
                  <a:p>
                    <a:fld id="{D74BBDF9-0277-455D-B11A-225ABB2F117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EF3A-416D-8718-0441FACE1CDA}"/>
                </c:ext>
              </c:extLst>
            </c:dLbl>
            <c:dLbl>
              <c:idx val="3"/>
              <c:tx>
                <c:rich>
                  <a:bodyPr/>
                  <a:lstStyle/>
                  <a:p>
                    <a:fld id="{7F5638F2-B128-486E-8BE9-E6F5F8B593F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EF3A-416D-8718-0441FACE1CDA}"/>
                </c:ext>
              </c:extLst>
            </c:dLbl>
            <c:dLbl>
              <c:idx val="4"/>
              <c:tx>
                <c:rich>
                  <a:bodyPr/>
                  <a:lstStyle/>
                  <a:p>
                    <a:fld id="{51810BEB-A687-40F0-A2CE-EDE79B52A38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EF3A-416D-8718-0441FACE1CDA}"/>
                </c:ext>
              </c:extLst>
            </c:dLbl>
            <c:dLbl>
              <c:idx val="5"/>
              <c:tx>
                <c:rich>
                  <a:bodyPr/>
                  <a:lstStyle/>
                  <a:p>
                    <a:fld id="{C9C04300-F851-4D2D-BF6A-6A56BD76097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EF3A-416D-8718-0441FACE1C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Value_Avg'!$V$4:$V$10</c:f>
              <c:numCache>
                <c:formatCode>General</c:formatCode>
                <c:ptCount val="6"/>
                <c:pt idx="0">
                  <c:v>2.2962962962962963</c:v>
                </c:pt>
                <c:pt idx="1">
                  <c:v>2.3928571428571428</c:v>
                </c:pt>
                <c:pt idx="2">
                  <c:v>2.8518518518518516</c:v>
                </c:pt>
                <c:pt idx="3">
                  <c:v>2.25</c:v>
                </c:pt>
                <c:pt idx="4">
                  <c:v>2.1481481481481484</c:v>
                </c:pt>
                <c:pt idx="5">
                  <c:v>2.4230769230769229</c:v>
                </c:pt>
              </c:numCache>
            </c:numRef>
          </c:val>
          <c:extLst xmlns:c16r2="http://schemas.microsoft.com/office/drawing/2015/06/chart">
            <c:ext xmlns:c15="http://schemas.microsoft.com/office/drawing/2012/chart" uri="{02D57815-91ED-43cb-92C2-25804820EDAC}">
              <c15:datalabelsRange>
                <c15:f>'EU Added Value_Avg'!$V$21:$V$26</c15:f>
                <c15:dlblRangeCache>
                  <c:ptCount val="6"/>
                  <c:pt idx="0">
                    <c:v>2.30 (27)</c:v>
                  </c:pt>
                  <c:pt idx="1">
                    <c:v>2.39 (28)</c:v>
                  </c:pt>
                  <c:pt idx="2">
                    <c:v>2.85 (27)</c:v>
                  </c:pt>
                  <c:pt idx="3">
                    <c:v>2.25 (28)</c:v>
                  </c:pt>
                  <c:pt idx="4">
                    <c:v>2.15 (27)</c:v>
                  </c:pt>
                  <c:pt idx="5">
                    <c:v>2.42 (26)</c:v>
                  </c:pt>
                </c15:dlblRangeCache>
              </c15:datalabelsRange>
            </c:ext>
            <c:ext xmlns:c16="http://schemas.microsoft.com/office/drawing/2014/chart" uri="{C3380CC4-5D6E-409C-BE32-E72D297353CC}">
              <c16:uniqueId val="{00000006-EF3A-416D-8718-0441FACE1CDA}"/>
            </c:ext>
          </c:extLst>
        </c:ser>
        <c:ser>
          <c:idx val="1"/>
          <c:order val="1"/>
          <c:tx>
            <c:strRef>
              <c:f>'EU Added Value_Avg'!$W$2:$W$3</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7-EF3A-416D-8718-0441FACE1CDA}"/>
              </c:ext>
            </c:extLst>
          </c:dPt>
          <c:dPt>
            <c:idx val="1"/>
            <c:invertIfNegative val="0"/>
            <c:bubble3D val="0"/>
            <c:extLst xmlns:c16r2="http://schemas.microsoft.com/office/drawing/2015/06/chart">
              <c:ext xmlns:c16="http://schemas.microsoft.com/office/drawing/2014/chart" uri="{C3380CC4-5D6E-409C-BE32-E72D297353CC}">
                <c16:uniqueId val="{00000008-EF3A-416D-8718-0441FACE1CDA}"/>
              </c:ext>
            </c:extLst>
          </c:dPt>
          <c:dPt>
            <c:idx val="2"/>
            <c:invertIfNegative val="0"/>
            <c:bubble3D val="0"/>
            <c:extLst xmlns:c16r2="http://schemas.microsoft.com/office/drawing/2015/06/chart">
              <c:ext xmlns:c16="http://schemas.microsoft.com/office/drawing/2014/chart" uri="{C3380CC4-5D6E-409C-BE32-E72D297353CC}">
                <c16:uniqueId val="{00000009-EF3A-416D-8718-0441FACE1CDA}"/>
              </c:ext>
            </c:extLst>
          </c:dPt>
          <c:dPt>
            <c:idx val="3"/>
            <c:invertIfNegative val="0"/>
            <c:bubble3D val="0"/>
            <c:extLst xmlns:c16r2="http://schemas.microsoft.com/office/drawing/2015/06/chart">
              <c:ext xmlns:c16="http://schemas.microsoft.com/office/drawing/2014/chart" uri="{C3380CC4-5D6E-409C-BE32-E72D297353CC}">
                <c16:uniqueId val="{0000000A-EF3A-416D-8718-0441FACE1CDA}"/>
              </c:ext>
            </c:extLst>
          </c:dPt>
          <c:dPt>
            <c:idx val="4"/>
            <c:invertIfNegative val="0"/>
            <c:bubble3D val="0"/>
            <c:extLst xmlns:c16r2="http://schemas.microsoft.com/office/drawing/2015/06/chart">
              <c:ext xmlns:c16="http://schemas.microsoft.com/office/drawing/2014/chart" uri="{C3380CC4-5D6E-409C-BE32-E72D297353CC}">
                <c16:uniqueId val="{0000000B-EF3A-416D-8718-0441FACE1CDA}"/>
              </c:ext>
            </c:extLst>
          </c:dPt>
          <c:dPt>
            <c:idx val="5"/>
            <c:invertIfNegative val="0"/>
            <c:bubble3D val="0"/>
            <c:extLst xmlns:c16r2="http://schemas.microsoft.com/office/drawing/2015/06/chart">
              <c:ext xmlns:c16="http://schemas.microsoft.com/office/drawing/2014/chart" uri="{C3380CC4-5D6E-409C-BE32-E72D297353CC}">
                <c16:uniqueId val="{0000000C-EF3A-416D-8718-0441FACE1CDA}"/>
              </c:ext>
            </c:extLst>
          </c:dPt>
          <c:dLbls>
            <c:dLbl>
              <c:idx val="0"/>
              <c:tx>
                <c:rich>
                  <a:bodyPr/>
                  <a:lstStyle/>
                  <a:p>
                    <a:fld id="{BB26C1A9-25A8-437B-BD58-A706C01AA58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EF3A-416D-8718-0441FACE1CDA}"/>
                </c:ext>
              </c:extLst>
            </c:dLbl>
            <c:dLbl>
              <c:idx val="1"/>
              <c:tx>
                <c:rich>
                  <a:bodyPr/>
                  <a:lstStyle/>
                  <a:p>
                    <a:fld id="{9009DC90-3955-4EEB-8C50-053BC25B4F4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EF3A-416D-8718-0441FACE1CDA}"/>
                </c:ext>
              </c:extLst>
            </c:dLbl>
            <c:dLbl>
              <c:idx val="2"/>
              <c:tx>
                <c:rich>
                  <a:bodyPr/>
                  <a:lstStyle/>
                  <a:p>
                    <a:fld id="{59FCCB0C-4BB3-46C8-9EE4-81B7E4C81C4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EF3A-416D-8718-0441FACE1CDA}"/>
                </c:ext>
              </c:extLst>
            </c:dLbl>
            <c:dLbl>
              <c:idx val="3"/>
              <c:tx>
                <c:rich>
                  <a:bodyPr/>
                  <a:lstStyle/>
                  <a:p>
                    <a:fld id="{51E4347F-01F1-4F54-9786-8B64A4A3540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EF3A-416D-8718-0441FACE1CDA}"/>
                </c:ext>
              </c:extLst>
            </c:dLbl>
            <c:dLbl>
              <c:idx val="4"/>
              <c:tx>
                <c:rich>
                  <a:bodyPr/>
                  <a:lstStyle/>
                  <a:p>
                    <a:fld id="{E3CDBCEB-78D4-42BB-AB6C-D9E3FB868B7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EF3A-416D-8718-0441FACE1CDA}"/>
                </c:ext>
              </c:extLst>
            </c:dLbl>
            <c:dLbl>
              <c:idx val="5"/>
              <c:tx>
                <c:rich>
                  <a:bodyPr/>
                  <a:lstStyle/>
                  <a:p>
                    <a:fld id="{2401E003-C9D3-4340-9546-09B1AEDA6C6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EF3A-416D-8718-0441FACE1C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Value_Avg'!$W$4:$W$10</c:f>
              <c:numCache>
                <c:formatCode>General</c:formatCode>
                <c:ptCount val="6"/>
                <c:pt idx="0">
                  <c:v>2.3333333333333335</c:v>
                </c:pt>
                <c:pt idx="1">
                  <c:v>1.6666666666666667</c:v>
                </c:pt>
                <c:pt idx="2">
                  <c:v>2.7777777777777777</c:v>
                </c:pt>
                <c:pt idx="3">
                  <c:v>1.5555555555555556</c:v>
                </c:pt>
                <c:pt idx="4">
                  <c:v>1.3333333333333333</c:v>
                </c:pt>
                <c:pt idx="5">
                  <c:v>1.7777777777777777</c:v>
                </c:pt>
              </c:numCache>
            </c:numRef>
          </c:val>
          <c:extLst xmlns:c16r2="http://schemas.microsoft.com/office/drawing/2015/06/chart">
            <c:ext xmlns:c15="http://schemas.microsoft.com/office/drawing/2012/chart" uri="{02D57815-91ED-43cb-92C2-25804820EDAC}">
              <c15:datalabelsRange>
                <c15:f>'EU Added Value_Avg'!$W$21:$W$26</c15:f>
                <c15:dlblRangeCache>
                  <c:ptCount val="6"/>
                  <c:pt idx="0">
                    <c:v>2.33 (9)</c:v>
                  </c:pt>
                  <c:pt idx="1">
                    <c:v>1.67 (9)</c:v>
                  </c:pt>
                  <c:pt idx="2">
                    <c:v>2.78 (9)</c:v>
                  </c:pt>
                  <c:pt idx="3">
                    <c:v>1.56 (9)</c:v>
                  </c:pt>
                  <c:pt idx="4">
                    <c:v>1.33 (9)</c:v>
                  </c:pt>
                  <c:pt idx="5">
                    <c:v>1.78 (9)</c:v>
                  </c:pt>
                </c15:dlblRangeCache>
              </c15:datalabelsRange>
            </c:ext>
            <c:ext xmlns:c16="http://schemas.microsoft.com/office/drawing/2014/chart" uri="{C3380CC4-5D6E-409C-BE32-E72D297353CC}">
              <c16:uniqueId val="{0000000D-EF3A-416D-8718-0441FACE1CDA}"/>
            </c:ext>
          </c:extLst>
        </c:ser>
        <c:ser>
          <c:idx val="2"/>
          <c:order val="2"/>
          <c:tx>
            <c:strRef>
              <c:f>'EU Added Value_Avg'!$X$2:$X$3</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E-EF3A-416D-8718-0441FACE1CDA}"/>
              </c:ext>
            </c:extLst>
          </c:dPt>
          <c:dPt>
            <c:idx val="1"/>
            <c:invertIfNegative val="0"/>
            <c:bubble3D val="0"/>
            <c:extLst xmlns:c16r2="http://schemas.microsoft.com/office/drawing/2015/06/chart">
              <c:ext xmlns:c16="http://schemas.microsoft.com/office/drawing/2014/chart" uri="{C3380CC4-5D6E-409C-BE32-E72D297353CC}">
                <c16:uniqueId val="{0000000F-EF3A-416D-8718-0441FACE1CDA}"/>
              </c:ext>
            </c:extLst>
          </c:dPt>
          <c:dPt>
            <c:idx val="2"/>
            <c:invertIfNegative val="0"/>
            <c:bubble3D val="0"/>
            <c:extLst xmlns:c16r2="http://schemas.microsoft.com/office/drawing/2015/06/chart">
              <c:ext xmlns:c16="http://schemas.microsoft.com/office/drawing/2014/chart" uri="{C3380CC4-5D6E-409C-BE32-E72D297353CC}">
                <c16:uniqueId val="{00000010-EF3A-416D-8718-0441FACE1CDA}"/>
              </c:ext>
            </c:extLst>
          </c:dPt>
          <c:dPt>
            <c:idx val="3"/>
            <c:invertIfNegative val="0"/>
            <c:bubble3D val="0"/>
            <c:extLst xmlns:c16r2="http://schemas.microsoft.com/office/drawing/2015/06/chart">
              <c:ext xmlns:c16="http://schemas.microsoft.com/office/drawing/2014/chart" uri="{C3380CC4-5D6E-409C-BE32-E72D297353CC}">
                <c16:uniqueId val="{00000011-EF3A-416D-8718-0441FACE1CDA}"/>
              </c:ext>
            </c:extLst>
          </c:dPt>
          <c:dPt>
            <c:idx val="4"/>
            <c:invertIfNegative val="0"/>
            <c:bubble3D val="0"/>
            <c:extLst xmlns:c16r2="http://schemas.microsoft.com/office/drawing/2015/06/chart">
              <c:ext xmlns:c16="http://schemas.microsoft.com/office/drawing/2014/chart" uri="{C3380CC4-5D6E-409C-BE32-E72D297353CC}">
                <c16:uniqueId val="{00000012-EF3A-416D-8718-0441FACE1CDA}"/>
              </c:ext>
            </c:extLst>
          </c:dPt>
          <c:dPt>
            <c:idx val="5"/>
            <c:invertIfNegative val="0"/>
            <c:bubble3D val="0"/>
            <c:extLst xmlns:c16r2="http://schemas.microsoft.com/office/drawing/2015/06/chart">
              <c:ext xmlns:c16="http://schemas.microsoft.com/office/drawing/2014/chart" uri="{C3380CC4-5D6E-409C-BE32-E72D297353CC}">
                <c16:uniqueId val="{00000013-EF3A-416D-8718-0441FACE1CDA}"/>
              </c:ext>
            </c:extLst>
          </c:dPt>
          <c:dLbls>
            <c:dLbl>
              <c:idx val="0"/>
              <c:tx>
                <c:rich>
                  <a:bodyPr/>
                  <a:lstStyle/>
                  <a:p>
                    <a:fld id="{6EB7BAD9-2CC2-4096-9871-08603A136B53}"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E-EF3A-416D-8718-0441FACE1CDA}"/>
                </c:ext>
              </c:extLst>
            </c:dLbl>
            <c:dLbl>
              <c:idx val="1"/>
              <c:tx>
                <c:rich>
                  <a:bodyPr/>
                  <a:lstStyle/>
                  <a:p>
                    <a:fld id="{99E9CF06-23B0-47DB-B0A5-317C2623F2C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EF3A-416D-8718-0441FACE1CDA}"/>
                </c:ext>
              </c:extLst>
            </c:dLbl>
            <c:dLbl>
              <c:idx val="2"/>
              <c:tx>
                <c:rich>
                  <a:bodyPr/>
                  <a:lstStyle/>
                  <a:p>
                    <a:fld id="{211191EA-B10C-4973-A55B-4C34F95A7A0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EF3A-416D-8718-0441FACE1CDA}"/>
                </c:ext>
              </c:extLst>
            </c:dLbl>
            <c:dLbl>
              <c:idx val="3"/>
              <c:tx>
                <c:rich>
                  <a:bodyPr/>
                  <a:lstStyle/>
                  <a:p>
                    <a:fld id="{CD0F8038-2BBA-48A9-ACA1-8D2A214FE84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EF3A-416D-8718-0441FACE1CDA}"/>
                </c:ext>
              </c:extLst>
            </c:dLbl>
            <c:dLbl>
              <c:idx val="4"/>
              <c:tx>
                <c:rich>
                  <a:bodyPr/>
                  <a:lstStyle/>
                  <a:p>
                    <a:fld id="{BD60D1D4-BAFA-496D-98D0-8A54A4F43C3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EF3A-416D-8718-0441FACE1CDA}"/>
                </c:ext>
              </c:extLst>
            </c:dLbl>
            <c:dLbl>
              <c:idx val="5"/>
              <c:tx>
                <c:rich>
                  <a:bodyPr/>
                  <a:lstStyle/>
                  <a:p>
                    <a:fld id="{94C99863-249A-4491-A5DF-6510EA72EF4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EF3A-416D-8718-0441FACE1C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Value_Avg'!$X$4:$X$10</c:f>
              <c:numCache>
                <c:formatCode>General</c:formatCode>
                <c:ptCount val="6"/>
                <c:pt idx="0">
                  <c:v>2.4</c:v>
                </c:pt>
                <c:pt idx="1">
                  <c:v>2.35</c:v>
                </c:pt>
                <c:pt idx="2">
                  <c:v>2.75</c:v>
                </c:pt>
                <c:pt idx="3">
                  <c:v>2.2564102564102564</c:v>
                </c:pt>
                <c:pt idx="4">
                  <c:v>1.8205128205128205</c:v>
                </c:pt>
                <c:pt idx="5">
                  <c:v>2.2894736842105261</c:v>
                </c:pt>
              </c:numCache>
            </c:numRef>
          </c:val>
          <c:extLst xmlns:c16r2="http://schemas.microsoft.com/office/drawing/2015/06/chart">
            <c:ext xmlns:c15="http://schemas.microsoft.com/office/drawing/2012/chart" uri="{02D57815-91ED-43cb-92C2-25804820EDAC}">
              <c15:datalabelsRange>
                <c15:f>'EU Added Value_Avg'!$X$21:$X$26</c15:f>
                <c15:dlblRangeCache>
                  <c:ptCount val="6"/>
                  <c:pt idx="0">
                    <c:v>2.40 (40)</c:v>
                  </c:pt>
                  <c:pt idx="1">
                    <c:v>2.35 (40)</c:v>
                  </c:pt>
                  <c:pt idx="2">
                    <c:v>2.75 (40)</c:v>
                  </c:pt>
                  <c:pt idx="3">
                    <c:v>2.26 (39)</c:v>
                  </c:pt>
                  <c:pt idx="4">
                    <c:v>1.82 (39)</c:v>
                  </c:pt>
                  <c:pt idx="5">
                    <c:v>2.29 (38)</c:v>
                  </c:pt>
                </c15:dlblRangeCache>
              </c15:datalabelsRange>
            </c:ext>
            <c:ext xmlns:c16="http://schemas.microsoft.com/office/drawing/2014/chart" uri="{C3380CC4-5D6E-409C-BE32-E72D297353CC}">
              <c16:uniqueId val="{00000014-EF3A-416D-8718-0441FACE1CDA}"/>
            </c:ext>
          </c:extLst>
        </c:ser>
        <c:ser>
          <c:idx val="3"/>
          <c:order val="3"/>
          <c:tx>
            <c:strRef>
              <c:f>'EU Added Value_Avg'!$Y$2:$Y$3</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5-EF3A-416D-8718-0441FACE1CDA}"/>
              </c:ext>
            </c:extLst>
          </c:dPt>
          <c:dPt>
            <c:idx val="1"/>
            <c:invertIfNegative val="0"/>
            <c:bubble3D val="0"/>
            <c:extLst xmlns:c16r2="http://schemas.microsoft.com/office/drawing/2015/06/chart">
              <c:ext xmlns:c16="http://schemas.microsoft.com/office/drawing/2014/chart" uri="{C3380CC4-5D6E-409C-BE32-E72D297353CC}">
                <c16:uniqueId val="{00000016-EF3A-416D-8718-0441FACE1CDA}"/>
              </c:ext>
            </c:extLst>
          </c:dPt>
          <c:dPt>
            <c:idx val="2"/>
            <c:invertIfNegative val="0"/>
            <c:bubble3D val="0"/>
            <c:extLst xmlns:c16r2="http://schemas.microsoft.com/office/drawing/2015/06/chart">
              <c:ext xmlns:c16="http://schemas.microsoft.com/office/drawing/2014/chart" uri="{C3380CC4-5D6E-409C-BE32-E72D297353CC}">
                <c16:uniqueId val="{00000017-EF3A-416D-8718-0441FACE1CDA}"/>
              </c:ext>
            </c:extLst>
          </c:dPt>
          <c:dPt>
            <c:idx val="3"/>
            <c:invertIfNegative val="0"/>
            <c:bubble3D val="0"/>
            <c:extLst xmlns:c16r2="http://schemas.microsoft.com/office/drawing/2015/06/chart">
              <c:ext xmlns:c16="http://schemas.microsoft.com/office/drawing/2014/chart" uri="{C3380CC4-5D6E-409C-BE32-E72D297353CC}">
                <c16:uniqueId val="{00000018-EF3A-416D-8718-0441FACE1CDA}"/>
              </c:ext>
            </c:extLst>
          </c:dPt>
          <c:dPt>
            <c:idx val="4"/>
            <c:invertIfNegative val="0"/>
            <c:bubble3D val="0"/>
            <c:extLst xmlns:c16r2="http://schemas.microsoft.com/office/drawing/2015/06/chart">
              <c:ext xmlns:c16="http://schemas.microsoft.com/office/drawing/2014/chart" uri="{C3380CC4-5D6E-409C-BE32-E72D297353CC}">
                <c16:uniqueId val="{00000019-EF3A-416D-8718-0441FACE1CDA}"/>
              </c:ext>
            </c:extLst>
          </c:dPt>
          <c:dPt>
            <c:idx val="5"/>
            <c:invertIfNegative val="0"/>
            <c:bubble3D val="0"/>
            <c:extLst xmlns:c16r2="http://schemas.microsoft.com/office/drawing/2015/06/chart">
              <c:ext xmlns:c16="http://schemas.microsoft.com/office/drawing/2014/chart" uri="{C3380CC4-5D6E-409C-BE32-E72D297353CC}">
                <c16:uniqueId val="{0000001A-EF3A-416D-8718-0441FACE1CDA}"/>
              </c:ext>
            </c:extLst>
          </c:dPt>
          <c:dLbls>
            <c:dLbl>
              <c:idx val="0"/>
              <c:tx>
                <c:rich>
                  <a:bodyPr/>
                  <a:lstStyle/>
                  <a:p>
                    <a:fld id="{810C829C-0FD4-4F40-B4E5-A825B7FA55B6}"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5-EF3A-416D-8718-0441FACE1CDA}"/>
                </c:ext>
              </c:extLst>
            </c:dLbl>
            <c:dLbl>
              <c:idx val="1"/>
              <c:tx>
                <c:rich>
                  <a:bodyPr/>
                  <a:lstStyle/>
                  <a:p>
                    <a:fld id="{8E113C5D-4559-47B5-8E9F-F9CA6C25964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EF3A-416D-8718-0441FACE1CDA}"/>
                </c:ext>
              </c:extLst>
            </c:dLbl>
            <c:dLbl>
              <c:idx val="2"/>
              <c:tx>
                <c:rich>
                  <a:bodyPr/>
                  <a:lstStyle/>
                  <a:p>
                    <a:fld id="{8F649B21-6FF8-4025-B809-59FFD93849C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EF3A-416D-8718-0441FACE1CDA}"/>
                </c:ext>
              </c:extLst>
            </c:dLbl>
            <c:dLbl>
              <c:idx val="3"/>
              <c:tx>
                <c:rich>
                  <a:bodyPr/>
                  <a:lstStyle/>
                  <a:p>
                    <a:fld id="{B21D0898-58E3-4425-8E80-B658511CED7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EF3A-416D-8718-0441FACE1CDA}"/>
                </c:ext>
              </c:extLst>
            </c:dLbl>
            <c:dLbl>
              <c:idx val="4"/>
              <c:tx>
                <c:rich>
                  <a:bodyPr/>
                  <a:lstStyle/>
                  <a:p>
                    <a:fld id="{A851755F-0933-4200-803A-5DCBE811C0D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EF3A-416D-8718-0441FACE1CDA}"/>
                </c:ext>
              </c:extLst>
            </c:dLbl>
            <c:dLbl>
              <c:idx val="5"/>
              <c:tx>
                <c:rich>
                  <a:bodyPr/>
                  <a:lstStyle/>
                  <a:p>
                    <a:fld id="{E60B7C6A-0F9E-4634-AE77-D15A7CA5B66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EF3A-416D-8718-0441FACE1C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Value_Avg'!$Y$4:$Y$10</c:f>
              <c:numCache>
                <c:formatCode>General</c:formatCode>
                <c:ptCount val="6"/>
                <c:pt idx="0">
                  <c:v>1.7222222222222223</c:v>
                </c:pt>
                <c:pt idx="1">
                  <c:v>2</c:v>
                </c:pt>
                <c:pt idx="2">
                  <c:v>2.7777777777777777</c:v>
                </c:pt>
                <c:pt idx="3">
                  <c:v>1.8888888888888888</c:v>
                </c:pt>
                <c:pt idx="4">
                  <c:v>1.5</c:v>
                </c:pt>
                <c:pt idx="5">
                  <c:v>2</c:v>
                </c:pt>
              </c:numCache>
            </c:numRef>
          </c:val>
          <c:extLst xmlns:c16r2="http://schemas.microsoft.com/office/drawing/2015/06/chart">
            <c:ext xmlns:c15="http://schemas.microsoft.com/office/drawing/2012/chart" uri="{02D57815-91ED-43cb-92C2-25804820EDAC}">
              <c15:datalabelsRange>
                <c15:f>'EU Added Value_Avg'!$Y$21:$Y$26</c15:f>
                <c15:dlblRangeCache>
                  <c:ptCount val="6"/>
                  <c:pt idx="0">
                    <c:v>1.72 (18)</c:v>
                  </c:pt>
                  <c:pt idx="1">
                    <c:v>2.00 (18)</c:v>
                  </c:pt>
                  <c:pt idx="2">
                    <c:v>2.78 (18)</c:v>
                  </c:pt>
                  <c:pt idx="3">
                    <c:v>1.89 (18)</c:v>
                  </c:pt>
                  <c:pt idx="4">
                    <c:v>1.50 (18)</c:v>
                  </c:pt>
                  <c:pt idx="5">
                    <c:v>2.00 (18)</c:v>
                  </c:pt>
                </c15:dlblRangeCache>
              </c15:datalabelsRange>
            </c:ext>
            <c:ext xmlns:c16="http://schemas.microsoft.com/office/drawing/2014/chart" uri="{C3380CC4-5D6E-409C-BE32-E72D297353CC}">
              <c16:uniqueId val="{0000001B-EF3A-416D-8718-0441FACE1CDA}"/>
            </c:ext>
          </c:extLst>
        </c:ser>
        <c:ser>
          <c:idx val="4"/>
          <c:order val="4"/>
          <c:tx>
            <c:strRef>
              <c:f>'EU Added Value_Avg'!$Z$2:$Z$3</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C-EF3A-416D-8718-0441FACE1CDA}"/>
              </c:ext>
            </c:extLst>
          </c:dPt>
          <c:dPt>
            <c:idx val="1"/>
            <c:invertIfNegative val="0"/>
            <c:bubble3D val="0"/>
            <c:extLst xmlns:c16r2="http://schemas.microsoft.com/office/drawing/2015/06/chart">
              <c:ext xmlns:c16="http://schemas.microsoft.com/office/drawing/2014/chart" uri="{C3380CC4-5D6E-409C-BE32-E72D297353CC}">
                <c16:uniqueId val="{0000001D-EF3A-416D-8718-0441FACE1CDA}"/>
              </c:ext>
            </c:extLst>
          </c:dPt>
          <c:dPt>
            <c:idx val="2"/>
            <c:invertIfNegative val="0"/>
            <c:bubble3D val="0"/>
            <c:extLst xmlns:c16r2="http://schemas.microsoft.com/office/drawing/2015/06/chart">
              <c:ext xmlns:c16="http://schemas.microsoft.com/office/drawing/2014/chart" uri="{C3380CC4-5D6E-409C-BE32-E72D297353CC}">
                <c16:uniqueId val="{0000001E-EF3A-416D-8718-0441FACE1CDA}"/>
              </c:ext>
            </c:extLst>
          </c:dPt>
          <c:dPt>
            <c:idx val="3"/>
            <c:invertIfNegative val="0"/>
            <c:bubble3D val="0"/>
            <c:extLst xmlns:c16r2="http://schemas.microsoft.com/office/drawing/2015/06/chart">
              <c:ext xmlns:c16="http://schemas.microsoft.com/office/drawing/2014/chart" uri="{C3380CC4-5D6E-409C-BE32-E72D297353CC}">
                <c16:uniqueId val="{0000001F-EF3A-416D-8718-0441FACE1CDA}"/>
              </c:ext>
            </c:extLst>
          </c:dPt>
          <c:dPt>
            <c:idx val="4"/>
            <c:invertIfNegative val="0"/>
            <c:bubble3D val="0"/>
            <c:extLst xmlns:c16r2="http://schemas.microsoft.com/office/drawing/2015/06/chart">
              <c:ext xmlns:c16="http://schemas.microsoft.com/office/drawing/2014/chart" uri="{C3380CC4-5D6E-409C-BE32-E72D297353CC}">
                <c16:uniqueId val="{00000020-EF3A-416D-8718-0441FACE1CDA}"/>
              </c:ext>
            </c:extLst>
          </c:dPt>
          <c:dPt>
            <c:idx val="5"/>
            <c:invertIfNegative val="0"/>
            <c:bubble3D val="0"/>
            <c:extLst xmlns:c16r2="http://schemas.microsoft.com/office/drawing/2015/06/chart">
              <c:ext xmlns:c16="http://schemas.microsoft.com/office/drawing/2014/chart" uri="{C3380CC4-5D6E-409C-BE32-E72D297353CC}">
                <c16:uniqueId val="{00000021-EF3A-416D-8718-0441FACE1CDA}"/>
              </c:ext>
            </c:extLst>
          </c:dPt>
          <c:dLbls>
            <c:dLbl>
              <c:idx val="0"/>
              <c:tx>
                <c:rich>
                  <a:bodyPr/>
                  <a:lstStyle/>
                  <a:p>
                    <a:fld id="{D8281B3F-E4DD-4B94-B85D-F1A13ECCDF5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C-EF3A-416D-8718-0441FACE1CDA}"/>
                </c:ext>
              </c:extLst>
            </c:dLbl>
            <c:dLbl>
              <c:idx val="1"/>
              <c:tx>
                <c:rich>
                  <a:bodyPr/>
                  <a:lstStyle/>
                  <a:p>
                    <a:fld id="{66A88DE5-FC00-42C4-B708-3312FC4A874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EF3A-416D-8718-0441FACE1CDA}"/>
                </c:ext>
              </c:extLst>
            </c:dLbl>
            <c:dLbl>
              <c:idx val="2"/>
              <c:tx>
                <c:rich>
                  <a:bodyPr/>
                  <a:lstStyle/>
                  <a:p>
                    <a:fld id="{3C1118BF-EAB2-486D-B906-1FC5A1F344B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EF3A-416D-8718-0441FACE1CDA}"/>
                </c:ext>
              </c:extLst>
            </c:dLbl>
            <c:dLbl>
              <c:idx val="3"/>
              <c:tx>
                <c:rich>
                  <a:bodyPr/>
                  <a:lstStyle/>
                  <a:p>
                    <a:fld id="{A4C91520-38B0-48C6-997F-BEA121A5F23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EF3A-416D-8718-0441FACE1CDA}"/>
                </c:ext>
              </c:extLst>
            </c:dLbl>
            <c:dLbl>
              <c:idx val="4"/>
              <c:tx>
                <c:rich>
                  <a:bodyPr/>
                  <a:lstStyle/>
                  <a:p>
                    <a:fld id="{7EEB8977-833B-42D4-88D8-181E0F5AB19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EF3A-416D-8718-0441FACE1CDA}"/>
                </c:ext>
              </c:extLst>
            </c:dLbl>
            <c:dLbl>
              <c:idx val="5"/>
              <c:tx>
                <c:rich>
                  <a:bodyPr/>
                  <a:lstStyle/>
                  <a:p>
                    <a:fld id="{35AB7DAB-BC99-4EAD-A67B-7FF68E6A643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EF3A-416D-8718-0441FACE1C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Value_Avg'!$Z$4:$Z$10</c:f>
              <c:numCache>
                <c:formatCode>General</c:formatCode>
                <c:ptCount val="6"/>
                <c:pt idx="0">
                  <c:v>2.2727272727272729</c:v>
                </c:pt>
                <c:pt idx="1">
                  <c:v>2.3636363636363638</c:v>
                </c:pt>
                <c:pt idx="2">
                  <c:v>3.0476190476190474</c:v>
                </c:pt>
                <c:pt idx="3">
                  <c:v>2.4090909090909092</c:v>
                </c:pt>
                <c:pt idx="4">
                  <c:v>2.0909090909090908</c:v>
                </c:pt>
                <c:pt idx="5">
                  <c:v>2.5909090909090908</c:v>
                </c:pt>
              </c:numCache>
            </c:numRef>
          </c:val>
          <c:extLst xmlns:c16r2="http://schemas.microsoft.com/office/drawing/2015/06/chart">
            <c:ext xmlns:c15="http://schemas.microsoft.com/office/drawing/2012/chart" uri="{02D57815-91ED-43cb-92C2-25804820EDAC}">
              <c15:datalabelsRange>
                <c15:f>'EU Added Value_Avg'!$Z$21:$Z$26</c15:f>
                <c15:dlblRangeCache>
                  <c:ptCount val="6"/>
                  <c:pt idx="0">
                    <c:v>2.27 (22)</c:v>
                  </c:pt>
                  <c:pt idx="1">
                    <c:v>2.36 (22)</c:v>
                  </c:pt>
                  <c:pt idx="2">
                    <c:v>3.05 (21)</c:v>
                  </c:pt>
                  <c:pt idx="3">
                    <c:v>2.41 (22)</c:v>
                  </c:pt>
                  <c:pt idx="4">
                    <c:v>2.09 (22)</c:v>
                  </c:pt>
                  <c:pt idx="5">
                    <c:v>2.59 (22)</c:v>
                  </c:pt>
                </c15:dlblRangeCache>
              </c15:datalabelsRange>
            </c:ext>
            <c:ext xmlns:c16="http://schemas.microsoft.com/office/drawing/2014/chart" uri="{C3380CC4-5D6E-409C-BE32-E72D297353CC}">
              <c16:uniqueId val="{00000022-EF3A-416D-8718-0441FACE1CDA}"/>
            </c:ext>
          </c:extLst>
        </c:ser>
        <c:dLbls>
          <c:dLblPos val="outEnd"/>
          <c:showLegendKey val="0"/>
          <c:showVal val="1"/>
          <c:showCatName val="0"/>
          <c:showSerName val="0"/>
          <c:showPercent val="0"/>
          <c:showBubbleSize val="0"/>
        </c:dLbls>
        <c:gapWidth val="182"/>
        <c:axId val="120744960"/>
        <c:axId val="120840960"/>
      </c:barChart>
      <c:catAx>
        <c:axId val="12074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40960"/>
        <c:crosses val="autoZero"/>
        <c:auto val="1"/>
        <c:lblAlgn val="ctr"/>
        <c:lblOffset val="100"/>
        <c:noMultiLvlLbl val="0"/>
      </c:catAx>
      <c:valAx>
        <c:axId val="12084096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449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Graphs_averages_final.xlsx]EU Added Value_Avg!Tableau croisé dynamique11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2A2C5B-48D7-42C2-A0B8-7D5B503EE0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CE4B58-2F69-4E83-87E3-F3C3758FD8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2F168B-511A-4369-BE53-9D46A83A5B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CB3B42-CA89-42FF-A4D6-4F8F213831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1CC930-5689-4439-A61A-5ED4E90249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FBA56E-00B9-4B98-A884-449C5389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2A2C5B-48D7-42C2-A0B8-7D5B503EE0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CE4B58-2F69-4E83-87E3-F3C3758FD8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2F168B-511A-4369-BE53-9D46A83A5B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CB3B42-CA89-42FF-A4D6-4F8F213831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1CC930-5689-4439-A61A-5ED4E90249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FBA56E-00B9-4B98-A884-449C5389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2A2C5B-48D7-42C2-A0B8-7D5B503EE0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CE4B58-2F69-4E83-87E3-F3C3758FD8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2F168B-511A-4369-BE53-9D46A83A5B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CB3B42-CA89-42FF-A4D6-4F8F213831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1CC930-5689-4439-A61A-5ED4E90249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FBA56E-00B9-4B98-A884-449C5389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2.9426102370928402E-2"/>
          <c:y val="4.7930283224400898E-2"/>
          <c:w val="0.6220695767781963"/>
          <c:h val="0.79343832020997362"/>
        </c:manualLayout>
      </c:layout>
      <c:barChart>
        <c:barDir val="bar"/>
        <c:grouping val="clustered"/>
        <c:varyColors val="0"/>
        <c:ser>
          <c:idx val="0"/>
          <c:order val="0"/>
          <c:tx>
            <c:strRef>
              <c:f>'EU Added Value_Avg'!$V$30:$V$31</c:f>
              <c:strCache>
                <c:ptCount val="1"/>
                <c:pt idx="0">
                  <c:v>Wider public</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F69E-405C-A95F-AFAC926B6DF6}"/>
              </c:ext>
            </c:extLst>
          </c:dPt>
          <c:dLbls>
            <c:dLbl>
              <c:idx val="0"/>
              <c:tx>
                <c:rich>
                  <a:bodyPr/>
                  <a:lstStyle/>
                  <a:p>
                    <a:fld id="{7C93965A-D442-4982-8684-42A2366C592F}"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F69E-405C-A95F-AFAC926B6D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Value_Avg'!$V$32</c:f>
              <c:numCache>
                <c:formatCode>General</c:formatCode>
                <c:ptCount val="1"/>
                <c:pt idx="0">
                  <c:v>3.2352941176470589</c:v>
                </c:pt>
              </c:numCache>
            </c:numRef>
          </c:val>
          <c:extLst xmlns:c16r2="http://schemas.microsoft.com/office/drawing/2015/06/chart">
            <c:ext xmlns:c15="http://schemas.microsoft.com/office/drawing/2012/chart" uri="{02D57815-91ED-43cb-92C2-25804820EDAC}">
              <c15:datalabelsRange>
                <c15:f>'EU Added Value_Avg'!$V$37</c15:f>
                <c15:dlblRangeCache>
                  <c:ptCount val="1"/>
                  <c:pt idx="0">
                    <c:v>3.24 (27)</c:v>
                  </c:pt>
                </c15:dlblRangeCache>
              </c15:datalabelsRange>
            </c:ext>
            <c:ext xmlns:c16="http://schemas.microsoft.com/office/drawing/2014/chart" uri="{C3380CC4-5D6E-409C-BE32-E72D297353CC}">
              <c16:uniqueId val="{00000001-F69E-405C-A95F-AFAC926B6DF6}"/>
            </c:ext>
          </c:extLst>
        </c:ser>
        <c:ser>
          <c:idx val="1"/>
          <c:order val="1"/>
          <c:tx>
            <c:strRef>
              <c:f>'EU Added Value_Avg'!$W$30:$W$31</c:f>
              <c:strCache>
                <c:ptCount val="1"/>
                <c:pt idx="0">
                  <c:v>Standardisation organisations</c:v>
                </c:pt>
              </c:strCache>
            </c:strRef>
          </c:tx>
          <c:spPr>
            <a:solidFill>
              <a:schemeClr val="accent2"/>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2-F69E-405C-A95F-AFAC926B6DF6}"/>
              </c:ext>
            </c:extLst>
          </c:dPt>
          <c:dLbls>
            <c:dLbl>
              <c:idx val="0"/>
              <c:tx>
                <c:rich>
                  <a:bodyPr/>
                  <a:lstStyle/>
                  <a:p>
                    <a:fld id="{7351D3D8-F773-4703-AF8D-FB48FE152FAD}"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F69E-405C-A95F-AFAC926B6D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Value_Avg'!$W$32</c:f>
              <c:numCache>
                <c:formatCode>General</c:formatCode>
                <c:ptCount val="1"/>
                <c:pt idx="0">
                  <c:v>3.6666666666666665</c:v>
                </c:pt>
              </c:numCache>
            </c:numRef>
          </c:val>
          <c:extLst xmlns:c16r2="http://schemas.microsoft.com/office/drawing/2015/06/chart">
            <c:ext xmlns:c15="http://schemas.microsoft.com/office/drawing/2012/chart" uri="{02D57815-91ED-43cb-92C2-25804820EDAC}">
              <c15:datalabelsRange>
                <c15:f>'EU Added Value_Avg'!$W$37</c15:f>
                <c15:dlblRangeCache>
                  <c:ptCount val="1"/>
                  <c:pt idx="0">
                    <c:v>3.67 (3)</c:v>
                  </c:pt>
                </c15:dlblRangeCache>
              </c15:datalabelsRange>
            </c:ext>
            <c:ext xmlns:c16="http://schemas.microsoft.com/office/drawing/2014/chart" uri="{C3380CC4-5D6E-409C-BE32-E72D297353CC}">
              <c16:uniqueId val="{00000003-F69E-405C-A95F-AFAC926B6DF6}"/>
            </c:ext>
          </c:extLst>
        </c:ser>
        <c:ser>
          <c:idx val="2"/>
          <c:order val="2"/>
          <c:tx>
            <c:strRef>
              <c:f>'EU Added Value_Avg'!$X$30:$X$31</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F69E-405C-A95F-AFAC926B6DF6}"/>
              </c:ext>
            </c:extLst>
          </c:dPt>
          <c:dLbls>
            <c:dLbl>
              <c:idx val="0"/>
              <c:tx>
                <c:rich>
                  <a:bodyPr/>
                  <a:lstStyle/>
                  <a:p>
                    <a:fld id="{5C9DE062-7E36-4E9F-8B62-6477EB6452F7}"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F69E-405C-A95F-AFAC926B6D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Value_Avg'!$X$32</c:f>
              <c:numCache>
                <c:formatCode>General</c:formatCode>
                <c:ptCount val="1"/>
                <c:pt idx="0">
                  <c:v>3.2222222222222223</c:v>
                </c:pt>
              </c:numCache>
            </c:numRef>
          </c:val>
          <c:extLst xmlns:c16r2="http://schemas.microsoft.com/office/drawing/2015/06/chart">
            <c:ext xmlns:c15="http://schemas.microsoft.com/office/drawing/2012/chart" uri="{02D57815-91ED-43cb-92C2-25804820EDAC}">
              <c15:datalabelsRange>
                <c15:f>'EU Added Value_Avg'!$X$37</c15:f>
                <c15:dlblRangeCache>
                  <c:ptCount val="1"/>
                  <c:pt idx="0">
                    <c:v>3.22 (9)</c:v>
                  </c:pt>
                </c15:dlblRangeCache>
              </c15:datalabelsRange>
            </c:ext>
            <c:ext xmlns:c16="http://schemas.microsoft.com/office/drawing/2014/chart" uri="{C3380CC4-5D6E-409C-BE32-E72D297353CC}">
              <c16:uniqueId val="{00000005-F69E-405C-A95F-AFAC926B6DF6}"/>
            </c:ext>
          </c:extLst>
        </c:ser>
        <c:ser>
          <c:idx val="3"/>
          <c:order val="3"/>
          <c:tx>
            <c:strRef>
              <c:f>'EU Added Value_Avg'!$Y$30:$Y$31</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6-F69E-405C-A95F-AFAC926B6DF6}"/>
              </c:ext>
            </c:extLst>
          </c:dPt>
          <c:dLbls>
            <c:dLbl>
              <c:idx val="0"/>
              <c:tx>
                <c:rich>
                  <a:bodyPr/>
                  <a:lstStyle/>
                  <a:p>
                    <a:fld id="{68038728-BA20-4527-A0FB-6C3977A6CA3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F69E-405C-A95F-AFAC926B6D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Value_Avg'!$Y$32</c:f>
              <c:numCache>
                <c:formatCode>General</c:formatCode>
                <c:ptCount val="1"/>
                <c:pt idx="0">
                  <c:v>3.2727272727272729</c:v>
                </c:pt>
              </c:numCache>
            </c:numRef>
          </c:val>
          <c:extLst xmlns:c16r2="http://schemas.microsoft.com/office/drawing/2015/06/chart">
            <c:ext xmlns:c15="http://schemas.microsoft.com/office/drawing/2012/chart" uri="{02D57815-91ED-43cb-92C2-25804820EDAC}">
              <c15:datalabelsRange>
                <c15:f>'EU Added Value_Avg'!$Y$37</c15:f>
                <c15:dlblRangeCache>
                  <c:ptCount val="1"/>
                  <c:pt idx="0">
                    <c:v>3.27 (33)</c:v>
                  </c:pt>
                </c15:dlblRangeCache>
              </c15:datalabelsRange>
            </c:ext>
            <c:ext xmlns:c16="http://schemas.microsoft.com/office/drawing/2014/chart" uri="{C3380CC4-5D6E-409C-BE32-E72D297353CC}">
              <c16:uniqueId val="{00000007-F69E-405C-A95F-AFAC926B6DF6}"/>
            </c:ext>
          </c:extLst>
        </c:ser>
        <c:ser>
          <c:idx val="4"/>
          <c:order val="4"/>
          <c:tx>
            <c:strRef>
              <c:f>'EU Added Value_Avg'!$Z$30:$Z$31</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8-F69E-405C-A95F-AFAC926B6DF6}"/>
              </c:ext>
            </c:extLst>
          </c:dPt>
          <c:dLbls>
            <c:dLbl>
              <c:idx val="0"/>
              <c:tx>
                <c:rich>
                  <a:bodyPr/>
                  <a:lstStyle/>
                  <a:p>
                    <a:fld id="{C89326A9-A59A-4BC0-BAC4-4ABE0216C1EA}"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F69E-405C-A95F-AFAC926B6D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Value_Avg'!$Z$32</c:f>
              <c:numCache>
                <c:formatCode>General</c:formatCode>
                <c:ptCount val="1"/>
                <c:pt idx="0">
                  <c:v>3.3333333333333335</c:v>
                </c:pt>
              </c:numCache>
            </c:numRef>
          </c:val>
          <c:extLst xmlns:c16r2="http://schemas.microsoft.com/office/drawing/2015/06/chart">
            <c:ext xmlns:c15="http://schemas.microsoft.com/office/drawing/2012/chart" uri="{02D57815-91ED-43cb-92C2-25804820EDAC}">
              <c15:datalabelsRange>
                <c15:f>'EU Added Value_Avg'!$Z$37</c15:f>
                <c15:dlblRangeCache>
                  <c:ptCount val="1"/>
                  <c:pt idx="0">
                    <c:v>3.33 (15)</c:v>
                  </c:pt>
                </c15:dlblRangeCache>
              </c15:datalabelsRange>
            </c:ext>
            <c:ext xmlns:c16="http://schemas.microsoft.com/office/drawing/2014/chart" uri="{C3380CC4-5D6E-409C-BE32-E72D297353CC}">
              <c16:uniqueId val="{00000009-F69E-405C-A95F-AFAC926B6DF6}"/>
            </c:ext>
          </c:extLst>
        </c:ser>
        <c:ser>
          <c:idx val="5"/>
          <c:order val="5"/>
          <c:tx>
            <c:strRef>
              <c:f>'EU Added Value_Avg'!$AA$30:$AA$31</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A-F69E-405C-A95F-AFAC926B6DF6}"/>
              </c:ext>
            </c:extLst>
          </c:dPt>
          <c:dLbls>
            <c:dLbl>
              <c:idx val="0"/>
              <c:tx>
                <c:rich>
                  <a:bodyPr/>
                  <a:lstStyle/>
                  <a:p>
                    <a:fld id="{D12F4919-8119-4139-9273-98452BBDF884}"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F69E-405C-A95F-AFAC926B6D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Value_Avg'!$AA$32</c:f>
              <c:numCache>
                <c:formatCode>General</c:formatCode>
                <c:ptCount val="1"/>
                <c:pt idx="0">
                  <c:v>3.3181818181818183</c:v>
                </c:pt>
              </c:numCache>
            </c:numRef>
          </c:val>
          <c:extLst xmlns:c16r2="http://schemas.microsoft.com/office/drawing/2015/06/chart">
            <c:ext xmlns:c15="http://schemas.microsoft.com/office/drawing/2012/chart" uri="{02D57815-91ED-43cb-92C2-25804820EDAC}">
              <c15:datalabelsRange>
                <c15:f>'EU Added Value_Avg'!$AA$37</c15:f>
                <c15:dlblRangeCache>
                  <c:ptCount val="1"/>
                  <c:pt idx="0">
                    <c:v>3.32 (22)</c:v>
                  </c:pt>
                </c15:dlblRangeCache>
              </c15:datalabelsRange>
            </c:ext>
            <c:ext xmlns:c16="http://schemas.microsoft.com/office/drawing/2014/chart" uri="{C3380CC4-5D6E-409C-BE32-E72D297353CC}">
              <c16:uniqueId val="{0000000B-F69E-405C-A95F-AFAC926B6DF6}"/>
            </c:ext>
          </c:extLst>
        </c:ser>
        <c:dLbls>
          <c:dLblPos val="outEnd"/>
          <c:showLegendKey val="0"/>
          <c:showVal val="1"/>
          <c:showCatName val="0"/>
          <c:showSerName val="0"/>
          <c:showPercent val="0"/>
          <c:showBubbleSize val="0"/>
        </c:dLbls>
        <c:gapWidth val="182"/>
        <c:axId val="121553280"/>
        <c:axId val="121554816"/>
      </c:barChart>
      <c:catAx>
        <c:axId val="121553280"/>
        <c:scaling>
          <c:orientation val="minMax"/>
        </c:scaling>
        <c:delete val="1"/>
        <c:axPos val="l"/>
        <c:numFmt formatCode="General" sourceLinked="1"/>
        <c:majorTickMark val="none"/>
        <c:minorTickMark val="none"/>
        <c:tickLblPos val="nextTo"/>
        <c:crossAx val="121554816"/>
        <c:crosses val="autoZero"/>
        <c:auto val="1"/>
        <c:lblAlgn val="ctr"/>
        <c:lblOffset val="100"/>
        <c:noMultiLvlLbl val="0"/>
      </c:catAx>
      <c:valAx>
        <c:axId val="121554816"/>
        <c:scaling>
          <c:orientation val="minMax"/>
          <c:max val="4"/>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21553280"/>
        <c:crosses val="autoZero"/>
        <c:crossBetween val="between"/>
        <c:majorUnit val="1"/>
      </c:valAx>
      <c:spPr>
        <a:noFill/>
        <a:ln>
          <a:noFill/>
        </a:ln>
        <a:effectLst/>
      </c:spPr>
    </c:plotArea>
    <c:legend>
      <c:legendPos val="r"/>
      <c:layout>
        <c:manualLayout>
          <c:xMode val="edge"/>
          <c:yMode val="edge"/>
          <c:x val="0.69105558570080139"/>
          <c:y val="6.9938908498506647E-2"/>
          <c:w val="0.29783599784350029"/>
          <c:h val="0.870877002443660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Graphs_averages_final.xlsx]EU Added Value_Avg!PivotTable1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marker>
          <c:symbol val="none"/>
        </c:marker>
        <c:dLbl>
          <c:idx val="0"/>
          <c:delete val="1"/>
          <c:extLst xmlns:c16r2="http://schemas.microsoft.com/office/drawing/2015/06/chart">
            <c:ext xmlns:c15="http://schemas.microsoft.com/office/drawing/2012/chart" uri="{CE6537A1-D6FC-4f65-9D91-7224C49458BB}"/>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7B080DE-6B97-4830-91C4-AFA38340509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3F74C83-4A5F-43B1-BEBB-F9585566B78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E76E7A0-75DE-4C9A-B3A4-14989091E3C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F17D229-906B-4A8A-A67F-E467AC5F6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18F3F51-25C3-47E7-B8A2-C1F419F3F1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7B080DE-6B97-4830-91C4-AFA38340509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3F74C83-4A5F-43B1-BEBB-F9585566B78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E76E7A0-75DE-4C9A-B3A4-14989091E3C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F17D229-906B-4A8A-A67F-E467AC5F6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18F3F51-25C3-47E7-B8A2-C1F419F3F1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37A0716-BF3B-4F17-A45B-4CBAB3800A3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A77F048-CF52-4C67-80AC-D7FFB64E03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DF0F26-E4D5-435F-B3CC-171F608F458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29F9A8E-E7E9-489C-BC4A-386166E3FEB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6A33ECC-8688-4C73-8F8E-C3173AE3828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37A0716-BF3B-4F17-A45B-4CBAB3800A3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A77F048-CF52-4C67-80AC-D7FFB64E03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DF0F26-E4D5-435F-B3CC-171F608F458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29F9A8E-E7E9-489C-BC4A-386166E3FEB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6A33ECC-8688-4C73-8F8E-C3173AE3828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4"/>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37A0716-BF3B-4F17-A45B-4CBAB3800A3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6"/>
        <c:marker>
          <c:symbol val="none"/>
        </c:marker>
        <c:dLbl>
          <c:idx val="0"/>
          <c:delete val="1"/>
          <c:extLst xmlns:c16r2="http://schemas.microsoft.com/office/drawing/2015/06/chart">
            <c:ext xmlns:c15="http://schemas.microsoft.com/office/drawing/2012/chart" uri="{CE6537A1-D6FC-4f65-9D91-7224C49458BB}"/>
          </c:extLst>
        </c:dLbl>
      </c:pivotFmt>
      <c:pivotFmt>
        <c:idx val="18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A77F048-CF52-4C67-80AC-D7FFB64E03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8"/>
        <c:marker>
          <c:symbol val="none"/>
        </c:marker>
        <c:dLbl>
          <c:idx val="0"/>
          <c:delete val="1"/>
          <c:extLst xmlns:c16r2="http://schemas.microsoft.com/office/drawing/2015/06/chart">
            <c:ext xmlns:c15="http://schemas.microsoft.com/office/drawing/2012/chart" uri="{CE6537A1-D6FC-4f65-9D91-7224C49458BB}"/>
          </c:extLst>
        </c:dLbl>
      </c:pivotFmt>
      <c:pivotFmt>
        <c:idx val="18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DF0F26-E4D5-435F-B3CC-171F608F458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0"/>
        <c:marker>
          <c:symbol val="none"/>
        </c:marker>
        <c:dLbl>
          <c:idx val="0"/>
          <c:delete val="1"/>
          <c:extLst xmlns:c16r2="http://schemas.microsoft.com/office/drawing/2015/06/chart">
            <c:ext xmlns:c15="http://schemas.microsoft.com/office/drawing/2012/chart" uri="{CE6537A1-D6FC-4f65-9D91-7224C49458BB}"/>
          </c:extLst>
        </c:dLbl>
      </c:pivotFmt>
      <c:pivotFmt>
        <c:idx val="19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29F9A8E-E7E9-489C-BC4A-386166E3FEB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2"/>
        <c:marker>
          <c:symbol val="none"/>
        </c:marker>
        <c:dLbl>
          <c:idx val="0"/>
          <c:delete val="1"/>
          <c:extLst xmlns:c16r2="http://schemas.microsoft.com/office/drawing/2015/06/chart">
            <c:ext xmlns:c15="http://schemas.microsoft.com/office/drawing/2012/chart" uri="{CE6537A1-D6FC-4f65-9D91-7224C49458BB}"/>
          </c:extLst>
        </c:dLbl>
      </c:pivotFmt>
      <c:pivotFmt>
        <c:idx val="19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6A33ECC-8688-4C73-8F8E-C3173AE3828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'EU Added Value_Avg'!$V$58:$V$59</c:f>
              <c:strCache>
                <c:ptCount val="1"/>
                <c:pt idx="0">
                  <c:v>Standardisation organisations</c:v>
                </c:pt>
              </c:strCache>
            </c:strRef>
          </c:tx>
          <c:spPr>
            <a:solidFill>
              <a:schemeClr val="accent2"/>
            </a:solidFill>
            <a:ln>
              <a:noFill/>
            </a:ln>
            <a:effectLst/>
          </c:spPr>
          <c:invertIfNegative val="0"/>
          <c:dLbls>
            <c:dLbl>
              <c:idx val="0"/>
              <c:tx>
                <c:rich>
                  <a:bodyPr/>
                  <a:lstStyle/>
                  <a:p>
                    <a:fld id="{1D3EEB93-CDFD-4C1D-BC00-235FF2621653}"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2860-4655-9F15-547A7E677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Value_Avg'!$V$60</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'EU Added Value_Avg'!$V$52:$Z$52</c15:f>
                <c15:dlblRangeCache>
                  <c:ptCount val="5"/>
                  <c:pt idx="0">
                    <c:v>3.00 (1)</c:v>
                  </c:pt>
                  <c:pt idx="1">
                    <c:v>3.38 (8)</c:v>
                  </c:pt>
                  <c:pt idx="2">
                    <c:v>3.52 (42)</c:v>
                  </c:pt>
                  <c:pt idx="3">
                    <c:v>3.58 (19)</c:v>
                  </c:pt>
                  <c:pt idx="4">
                    <c:v>3.48 (23)</c:v>
                  </c:pt>
                </c15:dlblRangeCache>
              </c15:datalabelsRange>
            </c:ext>
            <c:ext xmlns:c16="http://schemas.microsoft.com/office/drawing/2014/chart" uri="{C3380CC4-5D6E-409C-BE32-E72D297353CC}">
              <c16:uniqueId val="{00000001-2860-4655-9F15-547A7E677C6C}"/>
            </c:ext>
          </c:extLst>
        </c:ser>
        <c:ser>
          <c:idx val="1"/>
          <c:order val="1"/>
          <c:tx>
            <c:strRef>
              <c:f>'EU Added Value_Avg'!$W$58:$W$59</c:f>
              <c:strCache>
                <c:ptCount val="1"/>
                <c:pt idx="0">
                  <c:v>Stakeholders responsible for linked EU policies initiatives</c:v>
                </c:pt>
              </c:strCache>
            </c:strRef>
          </c:tx>
          <c:spPr>
            <a:solidFill>
              <a:schemeClr val="accent3"/>
            </a:solidFill>
            <a:ln>
              <a:noFill/>
            </a:ln>
            <a:effectLst/>
          </c:spPr>
          <c:invertIfNegative val="0"/>
          <c:dLbls>
            <c:dLbl>
              <c:idx val="0"/>
              <c:tx>
                <c:rich>
                  <a:bodyPr/>
                  <a:lstStyle/>
                  <a:p>
                    <a:fld id="{25AB3FA6-E03B-4143-B1E8-7ACDD6A4324E}"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2860-4655-9F15-547A7E677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Value_Avg'!$W$60</c:f>
              <c:numCache>
                <c:formatCode>General</c:formatCode>
                <c:ptCount val="1"/>
                <c:pt idx="0">
                  <c:v>3.375</c:v>
                </c:pt>
              </c:numCache>
            </c:numRef>
          </c:val>
          <c:extLst xmlns:c16r2="http://schemas.microsoft.com/office/drawing/2015/06/chart">
            <c:ext xmlns:c15="http://schemas.microsoft.com/office/drawing/2012/chart" uri="{02D57815-91ED-43cb-92C2-25804820EDAC}">
              <c15:datalabelsRange>
                <c15:f>'EU Added Value_Avg'!$W$52</c15:f>
                <c15:dlblRangeCache>
                  <c:ptCount val="1"/>
                  <c:pt idx="0">
                    <c:v>3.38 (8)</c:v>
                  </c:pt>
                </c15:dlblRangeCache>
              </c15:datalabelsRange>
            </c:ext>
            <c:ext xmlns:c16="http://schemas.microsoft.com/office/drawing/2014/chart" uri="{C3380CC4-5D6E-409C-BE32-E72D297353CC}">
              <c16:uniqueId val="{00000003-2860-4655-9F15-547A7E677C6C}"/>
            </c:ext>
          </c:extLst>
        </c:ser>
        <c:ser>
          <c:idx val="2"/>
          <c:order val="2"/>
          <c:tx>
            <c:strRef>
              <c:f>'EU Added Value_Avg'!$X$58:$X$59</c:f>
              <c:strCache>
                <c:ptCount val="1"/>
                <c:pt idx="0">
                  <c:v>Solution users</c:v>
                </c:pt>
              </c:strCache>
            </c:strRef>
          </c:tx>
          <c:spPr>
            <a:solidFill>
              <a:schemeClr val="accent4"/>
            </a:solidFill>
            <a:ln>
              <a:noFill/>
            </a:ln>
            <a:effectLst/>
          </c:spPr>
          <c:invertIfNegative val="0"/>
          <c:dLbls>
            <c:dLbl>
              <c:idx val="0"/>
              <c:tx>
                <c:rich>
                  <a:bodyPr/>
                  <a:lstStyle/>
                  <a:p>
                    <a:fld id="{F15A62D7-4C9C-4A30-97B9-F4D7B71E051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2860-4655-9F15-547A7E677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Value_Avg'!$X$60</c:f>
              <c:numCache>
                <c:formatCode>General</c:formatCode>
                <c:ptCount val="1"/>
                <c:pt idx="0">
                  <c:v>3.5238095238095237</c:v>
                </c:pt>
              </c:numCache>
            </c:numRef>
          </c:val>
          <c:extLst xmlns:c16r2="http://schemas.microsoft.com/office/drawing/2015/06/chart">
            <c:ext xmlns:c15="http://schemas.microsoft.com/office/drawing/2012/chart" uri="{02D57815-91ED-43cb-92C2-25804820EDAC}">
              <c15:datalabelsRange>
                <c15:f>'EU Added Value_Avg'!$X$52</c15:f>
                <c15:dlblRangeCache>
                  <c:ptCount val="1"/>
                  <c:pt idx="0">
                    <c:v>3.52 (42)</c:v>
                  </c:pt>
                </c15:dlblRangeCache>
              </c15:datalabelsRange>
            </c:ext>
            <c:ext xmlns:c16="http://schemas.microsoft.com/office/drawing/2014/chart" uri="{C3380CC4-5D6E-409C-BE32-E72D297353CC}">
              <c16:uniqueId val="{00000005-2860-4655-9F15-547A7E677C6C}"/>
            </c:ext>
          </c:extLst>
        </c:ser>
        <c:ser>
          <c:idx val="3"/>
          <c:order val="3"/>
          <c:tx>
            <c:strRef>
              <c:f>'EU Added Value_Avg'!$Y$58:$Y$59</c:f>
              <c:strCache>
                <c:ptCount val="1"/>
                <c:pt idx="0">
                  <c:v>Programme governance</c:v>
                </c:pt>
              </c:strCache>
            </c:strRef>
          </c:tx>
          <c:spPr>
            <a:solidFill>
              <a:schemeClr val="accent5"/>
            </a:solidFill>
            <a:ln>
              <a:noFill/>
            </a:ln>
            <a:effectLst/>
          </c:spPr>
          <c:invertIfNegative val="0"/>
          <c:dLbls>
            <c:dLbl>
              <c:idx val="0"/>
              <c:tx>
                <c:rich>
                  <a:bodyPr/>
                  <a:lstStyle/>
                  <a:p>
                    <a:fld id="{833F3F63-0273-4B9C-B36C-A718E7CE69EB}"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2860-4655-9F15-547A7E677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Value_Avg'!$Y$60</c:f>
              <c:numCache>
                <c:formatCode>General</c:formatCode>
                <c:ptCount val="1"/>
                <c:pt idx="0">
                  <c:v>3.5789473684210527</c:v>
                </c:pt>
              </c:numCache>
            </c:numRef>
          </c:val>
          <c:extLst xmlns:c16r2="http://schemas.microsoft.com/office/drawing/2015/06/chart">
            <c:ext xmlns:c15="http://schemas.microsoft.com/office/drawing/2012/chart" uri="{02D57815-91ED-43cb-92C2-25804820EDAC}">
              <c15:datalabelsRange>
                <c15:f>'EU Added Value_Avg'!$Y$52</c15:f>
                <c15:dlblRangeCache>
                  <c:ptCount val="1"/>
                  <c:pt idx="0">
                    <c:v>3.58 (19)</c:v>
                  </c:pt>
                </c15:dlblRangeCache>
              </c15:datalabelsRange>
            </c:ext>
            <c:ext xmlns:c16="http://schemas.microsoft.com/office/drawing/2014/chart" uri="{C3380CC4-5D6E-409C-BE32-E72D297353CC}">
              <c16:uniqueId val="{00000007-2860-4655-9F15-547A7E677C6C}"/>
            </c:ext>
          </c:extLst>
        </c:ser>
        <c:ser>
          <c:idx val="4"/>
          <c:order val="4"/>
          <c:tx>
            <c:strRef>
              <c:f>'EU Added Value_Avg'!$Z$58:$Z$59</c:f>
              <c:strCache>
                <c:ptCount val="1"/>
                <c:pt idx="0">
                  <c:v>Action owners</c:v>
                </c:pt>
              </c:strCache>
            </c:strRef>
          </c:tx>
          <c:spPr>
            <a:solidFill>
              <a:schemeClr val="accent6"/>
            </a:solidFill>
            <a:ln>
              <a:noFill/>
            </a:ln>
            <a:effectLst/>
          </c:spPr>
          <c:invertIfNegative val="0"/>
          <c:dLbls>
            <c:dLbl>
              <c:idx val="0"/>
              <c:tx>
                <c:rich>
                  <a:bodyPr/>
                  <a:lstStyle/>
                  <a:p>
                    <a:fld id="{E3E3B166-8E60-4918-B3D3-DB4E394664E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2860-4655-9F15-547A7E677C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Value_Avg'!$Z$60</c:f>
              <c:numCache>
                <c:formatCode>General</c:formatCode>
                <c:ptCount val="1"/>
                <c:pt idx="0">
                  <c:v>3.4782608695652173</c:v>
                </c:pt>
              </c:numCache>
            </c:numRef>
          </c:val>
          <c:extLst xmlns:c16r2="http://schemas.microsoft.com/office/drawing/2015/06/chart">
            <c:ext xmlns:c15="http://schemas.microsoft.com/office/drawing/2012/chart" uri="{02D57815-91ED-43cb-92C2-25804820EDAC}">
              <c15:datalabelsRange>
                <c15:f>'EU Added Value_Avg'!$Z$52</c15:f>
                <c15:dlblRangeCache>
                  <c:ptCount val="1"/>
                  <c:pt idx="0">
                    <c:v>3.48 (23)</c:v>
                  </c:pt>
                </c15:dlblRangeCache>
              </c15:datalabelsRange>
            </c:ext>
            <c:ext xmlns:c16="http://schemas.microsoft.com/office/drawing/2014/chart" uri="{C3380CC4-5D6E-409C-BE32-E72D297353CC}">
              <c16:uniqueId val="{00000009-2860-4655-9F15-547A7E677C6C}"/>
            </c:ext>
          </c:extLst>
        </c:ser>
        <c:dLbls>
          <c:showLegendKey val="0"/>
          <c:showVal val="1"/>
          <c:showCatName val="0"/>
          <c:showSerName val="0"/>
          <c:showPercent val="0"/>
          <c:showBubbleSize val="0"/>
        </c:dLbls>
        <c:gapWidth val="182"/>
        <c:axId val="123592704"/>
        <c:axId val="123594240"/>
      </c:barChart>
      <c:catAx>
        <c:axId val="123592704"/>
        <c:scaling>
          <c:orientation val="minMax"/>
        </c:scaling>
        <c:delete val="1"/>
        <c:axPos val="l"/>
        <c:numFmt formatCode="General" sourceLinked="1"/>
        <c:majorTickMark val="none"/>
        <c:minorTickMark val="none"/>
        <c:tickLblPos val="nextTo"/>
        <c:crossAx val="123594240"/>
        <c:crosses val="autoZero"/>
        <c:auto val="0"/>
        <c:lblAlgn val="ctr"/>
        <c:lblOffset val="100"/>
        <c:noMultiLvlLbl val="0"/>
      </c:catAx>
      <c:valAx>
        <c:axId val="123594240"/>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23592704"/>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Graphs_averages_final.xlsx]EU Added Value_Avg!PivotTable2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'EU Added Value_Avg'!$V$74:$V$75</c:f>
              <c:strCache>
                <c:ptCount val="1"/>
                <c:pt idx="0">
                  <c:v>Stakeholders responsible for linked EU policies initiatives</c:v>
                </c:pt>
              </c:strCache>
            </c:strRef>
          </c:tx>
          <c:spPr>
            <a:solidFill>
              <a:schemeClr val="accent3"/>
            </a:solidFill>
            <a:ln>
              <a:noFill/>
            </a:ln>
            <a:effectLst/>
          </c:spPr>
          <c:invertIfNegative val="0"/>
          <c:dLbls>
            <c:dLbl>
              <c:idx val="0"/>
              <c:tx>
                <c:rich>
                  <a:bodyPr/>
                  <a:lstStyle/>
                  <a:p>
                    <a:fld id="{B47388BA-C6ED-4CAC-9002-27DB4D93DD3C}"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FF99-41BE-968C-C53D52F78A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Value_Avg'!$U$76</c:f>
              <c:strCache>
                <c:ptCount val="1"/>
                <c:pt idx="0">
                  <c:v>Total</c:v>
                </c:pt>
              </c:strCache>
            </c:strRef>
          </c:cat>
          <c:val>
            <c:numRef>
              <c:f>'EU Added Value_Avg'!$V$76</c:f>
              <c:numCache>
                <c:formatCode>General</c:formatCode>
                <c:ptCount val="1"/>
                <c:pt idx="0">
                  <c:v>3.25</c:v>
                </c:pt>
              </c:numCache>
            </c:numRef>
          </c:val>
          <c:extLst xmlns:c16r2="http://schemas.microsoft.com/office/drawing/2015/06/chart">
            <c:ext xmlns:c15="http://schemas.microsoft.com/office/drawing/2012/chart" uri="{02D57815-91ED-43cb-92C2-25804820EDAC}">
              <c15:datalabelsRange>
                <c15:f>'EU Added Value_Avg'!$W$53</c15:f>
                <c15:dlblRangeCache>
                  <c:ptCount val="1"/>
                  <c:pt idx="0">
                    <c:v>3.25 (8)</c:v>
                  </c:pt>
                </c15:dlblRangeCache>
              </c15:datalabelsRange>
            </c:ext>
            <c:ext xmlns:c16="http://schemas.microsoft.com/office/drawing/2014/chart" uri="{C3380CC4-5D6E-409C-BE32-E72D297353CC}">
              <c16:uniqueId val="{00000001-FF99-41BE-968C-C53D52F78AB4}"/>
            </c:ext>
          </c:extLst>
        </c:ser>
        <c:ser>
          <c:idx val="1"/>
          <c:order val="1"/>
          <c:tx>
            <c:strRef>
              <c:f>'EU Added Value_Avg'!$W$74:$W$75</c:f>
              <c:strCache>
                <c:ptCount val="1"/>
                <c:pt idx="0">
                  <c:v>Solution users</c:v>
                </c:pt>
              </c:strCache>
            </c:strRef>
          </c:tx>
          <c:spPr>
            <a:solidFill>
              <a:schemeClr val="accent4"/>
            </a:solidFill>
            <a:ln>
              <a:noFill/>
            </a:ln>
            <a:effectLst/>
          </c:spPr>
          <c:invertIfNegative val="0"/>
          <c:dLbls>
            <c:dLbl>
              <c:idx val="0"/>
              <c:tx>
                <c:rich>
                  <a:bodyPr/>
                  <a:lstStyle/>
                  <a:p>
                    <a:fld id="{78B10D16-4CA6-40DF-8434-54BE14A6C37A}"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FF99-41BE-968C-C53D52F78A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Value_Avg'!$U$76</c:f>
              <c:strCache>
                <c:ptCount val="1"/>
                <c:pt idx="0">
                  <c:v>Total</c:v>
                </c:pt>
              </c:strCache>
            </c:strRef>
          </c:cat>
          <c:val>
            <c:numRef>
              <c:f>'EU Added Value_Avg'!$W$76</c:f>
              <c:numCache>
                <c:formatCode>General</c:formatCode>
                <c:ptCount val="1"/>
                <c:pt idx="0">
                  <c:v>3.4</c:v>
                </c:pt>
              </c:numCache>
            </c:numRef>
          </c:val>
          <c:extLst xmlns:c16r2="http://schemas.microsoft.com/office/drawing/2015/06/chart">
            <c:ext xmlns:c15="http://schemas.microsoft.com/office/drawing/2012/chart" uri="{02D57815-91ED-43cb-92C2-25804820EDAC}">
              <c15:datalabelsRange>
                <c15:f>'EU Added Value_Avg'!$X$53</c15:f>
                <c15:dlblRangeCache>
                  <c:ptCount val="1"/>
                  <c:pt idx="0">
                    <c:v>3.40 (35)</c:v>
                  </c:pt>
                </c15:dlblRangeCache>
              </c15:datalabelsRange>
            </c:ext>
            <c:ext xmlns:c16="http://schemas.microsoft.com/office/drawing/2014/chart" uri="{C3380CC4-5D6E-409C-BE32-E72D297353CC}">
              <c16:uniqueId val="{00000003-FF99-41BE-968C-C53D52F78AB4}"/>
            </c:ext>
          </c:extLst>
        </c:ser>
        <c:ser>
          <c:idx val="2"/>
          <c:order val="2"/>
          <c:tx>
            <c:strRef>
              <c:f>'EU Added Value_Avg'!$X$74:$X$75</c:f>
              <c:strCache>
                <c:ptCount val="1"/>
                <c:pt idx="0">
                  <c:v>Programme governance</c:v>
                </c:pt>
              </c:strCache>
            </c:strRef>
          </c:tx>
          <c:spPr>
            <a:solidFill>
              <a:schemeClr val="accent5"/>
            </a:solidFill>
            <a:ln>
              <a:noFill/>
            </a:ln>
            <a:effectLst/>
          </c:spPr>
          <c:invertIfNegative val="0"/>
          <c:dLbls>
            <c:dLbl>
              <c:idx val="0"/>
              <c:tx>
                <c:rich>
                  <a:bodyPr/>
                  <a:lstStyle/>
                  <a:p>
                    <a:fld id="{61C87A2F-62AB-468C-9FEF-55B0B798EC5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FF99-41BE-968C-C53D52F78A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Value_Avg'!$U$76</c:f>
              <c:strCache>
                <c:ptCount val="1"/>
                <c:pt idx="0">
                  <c:v>Total</c:v>
                </c:pt>
              </c:strCache>
            </c:strRef>
          </c:cat>
          <c:val>
            <c:numRef>
              <c:f>'EU Added Value_Avg'!$X$76</c:f>
              <c:numCache>
                <c:formatCode>General</c:formatCode>
                <c:ptCount val="1"/>
                <c:pt idx="0">
                  <c:v>3.736842105263158</c:v>
                </c:pt>
              </c:numCache>
            </c:numRef>
          </c:val>
          <c:extLst xmlns:c16r2="http://schemas.microsoft.com/office/drawing/2015/06/chart">
            <c:ext xmlns:c15="http://schemas.microsoft.com/office/drawing/2012/chart" uri="{02D57815-91ED-43cb-92C2-25804820EDAC}">
              <c15:datalabelsRange>
                <c15:f>'EU Added Value_Avg'!$Y$53</c15:f>
                <c15:dlblRangeCache>
                  <c:ptCount val="1"/>
                  <c:pt idx="0">
                    <c:v>3.74 (19)</c:v>
                  </c:pt>
                </c15:dlblRangeCache>
              </c15:datalabelsRange>
            </c:ext>
            <c:ext xmlns:c16="http://schemas.microsoft.com/office/drawing/2014/chart" uri="{C3380CC4-5D6E-409C-BE32-E72D297353CC}">
              <c16:uniqueId val="{00000005-FF99-41BE-968C-C53D52F78AB4}"/>
            </c:ext>
          </c:extLst>
        </c:ser>
        <c:ser>
          <c:idx val="3"/>
          <c:order val="3"/>
          <c:tx>
            <c:strRef>
              <c:f>'EU Added Value_Avg'!$Y$74:$Y$75</c:f>
              <c:strCache>
                <c:ptCount val="1"/>
                <c:pt idx="0">
                  <c:v>Action owners</c:v>
                </c:pt>
              </c:strCache>
            </c:strRef>
          </c:tx>
          <c:spPr>
            <a:solidFill>
              <a:schemeClr val="accent6"/>
            </a:solidFill>
            <a:ln>
              <a:noFill/>
            </a:ln>
            <a:effectLst/>
          </c:spPr>
          <c:invertIfNegative val="0"/>
          <c:dLbls>
            <c:dLbl>
              <c:idx val="0"/>
              <c:tx>
                <c:rich>
                  <a:bodyPr/>
                  <a:lstStyle/>
                  <a:p>
                    <a:fld id="{9A1353B7-F8F3-454A-B67C-C6D01B6E3DDC}"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FF99-41BE-968C-C53D52F78A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Value_Avg'!$U$76</c:f>
              <c:strCache>
                <c:ptCount val="1"/>
                <c:pt idx="0">
                  <c:v>Total</c:v>
                </c:pt>
              </c:strCache>
            </c:strRef>
          </c:cat>
          <c:val>
            <c:numRef>
              <c:f>'EU Added Value_Avg'!$Y$76</c:f>
              <c:numCache>
                <c:formatCode>General</c:formatCode>
                <c:ptCount val="1"/>
                <c:pt idx="0">
                  <c:v>3.3181818181818183</c:v>
                </c:pt>
              </c:numCache>
            </c:numRef>
          </c:val>
          <c:extLst xmlns:c16r2="http://schemas.microsoft.com/office/drawing/2015/06/chart">
            <c:ext xmlns:c15="http://schemas.microsoft.com/office/drawing/2012/chart" uri="{02D57815-91ED-43cb-92C2-25804820EDAC}">
              <c15:datalabelsRange>
                <c15:f>'EU Added Value_Avg'!$Z$53</c15:f>
                <c15:dlblRangeCache>
                  <c:ptCount val="1"/>
                  <c:pt idx="0">
                    <c:v>3.32 (22)</c:v>
                  </c:pt>
                </c15:dlblRangeCache>
              </c15:datalabelsRange>
            </c:ext>
            <c:ext xmlns:c16="http://schemas.microsoft.com/office/drawing/2014/chart" uri="{C3380CC4-5D6E-409C-BE32-E72D297353CC}">
              <c16:uniqueId val="{00000007-FF99-41BE-968C-C53D52F78AB4}"/>
            </c:ext>
          </c:extLst>
        </c:ser>
        <c:dLbls>
          <c:showLegendKey val="0"/>
          <c:showVal val="1"/>
          <c:showCatName val="0"/>
          <c:showSerName val="0"/>
          <c:showPercent val="0"/>
          <c:showBubbleSize val="0"/>
        </c:dLbls>
        <c:gapWidth val="182"/>
        <c:axId val="124292096"/>
        <c:axId val="124412672"/>
      </c:barChart>
      <c:catAx>
        <c:axId val="124292096"/>
        <c:scaling>
          <c:orientation val="minMax"/>
        </c:scaling>
        <c:delete val="1"/>
        <c:axPos val="l"/>
        <c:numFmt formatCode="General" sourceLinked="1"/>
        <c:majorTickMark val="none"/>
        <c:minorTickMark val="none"/>
        <c:tickLblPos val="nextTo"/>
        <c:crossAx val="124412672"/>
        <c:crosses val="autoZero"/>
        <c:auto val="0"/>
        <c:lblAlgn val="ctr"/>
        <c:lblOffset val="100"/>
        <c:noMultiLvlLbl val="0"/>
      </c:catAx>
      <c:valAx>
        <c:axId val="124412672"/>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24292096"/>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Graphs_averages_final.xlsx]Relevance_Avg!PivotTable1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65DC341-4681-4F5D-9170-0B48FACB66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9F1D9154-271A-484A-9DFB-A3287BBF6C6B}"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BF266CD-E199-43DD-9C98-F1D5ED79A89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95E6C492-E5E1-4C22-B472-03D7F040EE73}"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CF9CFFA-08A2-45DB-8A79-6A897C9E2CE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C6308FF4-441A-4A61-9943-4F74343778CA}"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45869C4-6F97-4161-9C64-B5006EC4738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66428514-546D-4A3A-B143-5D66AB26A759}"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AF17C03-9162-4E62-9FD5-D0B0B7D46BB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58E9FE30-6438-45C6-A3A7-EB2BDF8FF3A0}"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B9BCA0-163C-43B9-B5C9-7754F81ECF2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561AE793-C601-43FC-AD02-4C332008A35B}"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4206E89-9FE6-426F-B959-37CFBEB46B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C42F9515-A497-4BF7-B335-DFF500357C01}"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C50F31F-A607-430B-A2A6-EC5782D2807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163F7FDB-7EB9-43C2-A806-6B18FC881217}"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3B80188-4EFD-41E2-AF2C-819F08E990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198850CE-7F49-450E-AF58-3B8FB189CFB6}"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DEA1CEB-1353-48C9-86F5-299D44AA163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50867573-D7C5-4334-A567-FBA9BDCD9866}"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B78A1D6-C096-4E2B-A082-7AFD8E5AC5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210F6584-8237-40BE-9657-F312C99167A2}"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3A04D92-A539-4490-8F88-EE310EB9C3D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74125F7C-8805-4A4B-8182-6C173ADC14F9}"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62B71A0-69CC-4496-AF39-AE2EEE7D19B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02310F78-2720-43BF-A795-A7468C6D118D}"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0DB30AD-2960-4A99-A6EF-2B9C4938B08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27E4615C-FF1C-46E2-A458-1479400018E5}"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87D9D8D-688E-40C0-94CA-DC447932528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7ED3B512-9DA8-4985-BA1D-EFD07AA73170}"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68EBDAA-8E82-4554-8922-82EAE43C71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52C0BAC5-699E-4E2D-AC4B-9169DAE4E8AA}"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46193AC-9543-47AE-A010-47FBAF2309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94D19677-AA4F-4152-9588-76ABFB729924}"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2BCC1B8-1EB4-4D70-8745-E6BF69B47A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0E813007-1CB6-49ED-B9E1-03DFAA4A45E7}"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A5FD8DD-D165-46FC-A3BE-F478CAEF73D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F98648AC-0C77-4FE4-B806-A4D6818D1C6F}"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232797-8CD7-459A-BD89-5E1BD575419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3B7ADFED-2876-43B7-BB2A-23381F41C5E9}"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BFA9567-9496-4EF9-9579-A2148D7A677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E57821CF-DBC1-407B-B1C8-24C643D995B1}"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6F6189B-F073-4A98-BBE3-5D13D1DFED2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27DB8533-B4EE-4603-9706-D111A0698832}"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647FF7F-A763-4041-8609-DEEE3FF3E48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FE551651-E74C-4F01-A500-F67F604ED921}"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0953EE1-A1A6-460C-80BC-DD4A32ACD15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US" baseline="0"/>
                  <a:t> </a:t>
                </a:r>
                <a:fld id="{44B7D0BE-D575-47EE-A737-B6FB05BEC3F4}" type="VALUE">
                  <a:rPr lang="en-US"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US"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D847AF9-08B5-48F9-91D8-85D5AF40DFAE}"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BEFE789A-B708-4952-91F4-2F4254C5E761}"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5429C54-EF17-4B1A-B73F-97BAE5879550}"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8425EC17-0980-45A4-A66B-66ABB16EB976}"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DEAAD1-FDBA-4C3B-9C48-24B895116B00}"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C48BA810-83CD-475D-9353-3A99CC6C2AB8}"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745F48-E3D5-4152-8A03-A617F3598CB6}"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0D57B531-333B-406A-A11A-6775A08D365D}"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089F9BF-B39F-4948-B0A2-0681F9755FBE}"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1F9A8429-1103-45C8-87A9-B89C0A963D8A}"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9B93BD4-8200-4BA6-A983-F35BA339D72E}"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451C13F0-BBA0-424D-9976-61545CC9DBC7}"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2AA73F2-A492-4580-BEE2-99D913704F80}"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76AA1D68-32EC-481D-BD79-A94C10065C57}"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4CE6460-F215-42FE-9009-DF967E1CAA6A}"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AE35147B-BF25-44E6-8291-5827B76B66C7}"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5340572-B285-4C99-8882-2A789EFABC9B}"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416D9254-AC8A-47AF-A0B9-588CA51AC4C2}"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8EFC62F-37FD-4378-A59A-D02540F9A5FE}"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ECDC91D6-9F59-4C32-847D-4AF946A6B953}"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BA0EA1D-2276-4D8B-9B74-23CB5AA7C942}"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68BCA715-1F1D-4BB9-9E1D-934005C01519}"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7EA78AC-0486-46C3-9F83-75018AA0E813}"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F0896B3D-802B-4CB7-A6E4-4366B1937A71}"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FC04BF6-D86E-4A24-9B4E-A565ED41B714}"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CD2F07C1-13A5-4117-8353-C1DBC2EFD748}"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38197F6-6C33-44AF-BD76-D10C91BEA51C}"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42887E1A-11B7-4F94-A01E-48D0755911E1}"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0C6E8F9-198D-4D89-B833-C8BBEE767630}"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E266B648-1C44-4A3E-B71C-C5C2164744EA}"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5081E77-48F2-4B53-A9AC-C4C238CFC502}"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2EC0BC1F-12D9-4BD6-B81D-7A1D13A1A04A}"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FD8D5EF-5EAE-467E-B82B-8F0A0EFB3278}"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BF6E0899-DBF4-4BC8-B77B-9AF0F86F72BC}"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28E0F81-ADC3-46FE-89BC-7218564A222F}"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6279F6A7-2E9E-45DC-A531-E62C5530FD71}"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2F2D977-091C-47C7-997C-AC531296DA3B}"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CED5FFAA-0C17-439C-B15E-2771EC87E5D1}"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2D82BF6-AB95-414B-8E14-E7E29D3D16BB}"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ACDBD626-2E26-4854-9802-83A8991718C5}"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C208FB3-DC20-43FF-A581-EF9B54172504}"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31DFA77F-8ED9-4D6D-A445-A514021C662B}"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7BD9FAF-3BCF-4302-BEFA-382235D9918D}"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A04F57CA-00EA-49A8-AFDE-784DDDF8DB15}"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7A041FD-954B-49AC-9B81-31CE30E21EDE}"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B9384746-88EF-499D-BEDD-88DD04D61B89}"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5A077C6-8E3D-4AE5-855E-3B543DAC32C7}"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r>
                  <a:rPr lang="en-GB" baseline="0"/>
                  <a:t> </a:t>
                </a:r>
                <a:fld id="{1934D6DD-17DA-4E52-8165-33B60AE49AE0}" type="VALUE">
                  <a:rPr lang="en-GB" baseline="0"/>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[VALUE]</a:t>
                </a:fld>
                <a:endParaRPr lang="en-GB" baseline="0"/>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dlblFieldTable/>
              <c15:xForSave val="1"/>
              <c15:showDataLabelsRange val="1"/>
            </c:ext>
          </c:extLst>
        </c:dLbl>
      </c:pivotFmt>
      <c:pivotFmt>
        <c:idx val="84"/>
        <c:marker>
          <c:symbol val="none"/>
        </c:marker>
        <c:dLbl>
          <c:idx val="0"/>
          <c:delete val="1"/>
          <c:extLst xmlns:c16r2="http://schemas.microsoft.com/office/drawing/2015/06/chart">
            <c:ext xmlns:c15="http://schemas.microsoft.com/office/drawing/2012/chart" uri="{CE6537A1-D6FC-4f65-9D91-7224C49458BB}"/>
          </c:extLst>
        </c:dLbl>
      </c:pivotFmt>
      <c:pivotFmt>
        <c:idx val="85"/>
        <c:marker>
          <c:symbol val="none"/>
        </c:marker>
        <c:dLbl>
          <c:idx val="0"/>
          <c:delete val="1"/>
          <c:extLst xmlns:c16r2="http://schemas.microsoft.com/office/drawing/2015/06/chart">
            <c:ext xmlns:c15="http://schemas.microsoft.com/office/drawing/2012/chart" uri="{CE6537A1-D6FC-4f65-9D91-7224C49458BB}"/>
          </c:extLst>
        </c:dLbl>
      </c:pivotFmt>
      <c:pivotFmt>
        <c:idx val="86"/>
        <c:marker>
          <c:symbol val="none"/>
        </c:marker>
        <c:dLbl>
          <c:idx val="0"/>
          <c:delete val="1"/>
          <c:extLst xmlns:c16r2="http://schemas.microsoft.com/office/drawing/2015/06/chart">
            <c:ext xmlns:c15="http://schemas.microsoft.com/office/drawing/2012/chart" uri="{CE6537A1-D6FC-4f65-9D91-7224C49458BB}"/>
          </c:extLst>
        </c:dLbl>
      </c:pivotFmt>
      <c:pivotFmt>
        <c:idx val="87"/>
        <c:marker>
          <c:symbol val="none"/>
        </c:marker>
        <c:dLbl>
          <c:idx val="0"/>
          <c:delete val="1"/>
          <c:extLst xmlns:c16r2="http://schemas.microsoft.com/office/drawing/2015/06/chart">
            <c:ext xmlns:c15="http://schemas.microsoft.com/office/drawing/2012/chart" uri="{CE6537A1-D6FC-4f65-9D91-7224C49458BB}"/>
          </c:extLst>
        </c:dLbl>
      </c:pivotFmt>
      <c:pivotFmt>
        <c:idx val="88"/>
        <c:marker>
          <c:symbol val="none"/>
        </c:marker>
        <c:dLbl>
          <c:idx val="0"/>
          <c:delete val="1"/>
          <c:extLst xmlns:c16r2="http://schemas.microsoft.com/office/drawing/2015/06/chart">
            <c:ext xmlns:c15="http://schemas.microsoft.com/office/drawing/2012/chart" uri="{CE6537A1-D6FC-4f65-9D91-7224C49458BB}"/>
          </c:extLst>
        </c:dLbl>
      </c:pivotFmt>
      <c:pivotFmt>
        <c:idx val="89"/>
        <c:marker>
          <c:symbol val="none"/>
        </c:marker>
        <c:dLbl>
          <c:idx val="0"/>
          <c:delete val="1"/>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364C6E7-69A0-462D-8180-AD9331093CF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159C3F1-1133-4A4B-B0A9-974F5E57C82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2DBCB2C-6725-433F-8D57-003396DB950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87B43C3-C6B0-45E7-B219-144C8B0DA03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0BBEA7-23BA-4CF4-A8B9-A77742200EE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853970A-AC63-4F6A-8FA2-E48E51A30E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0702885-AF04-485B-B7BB-4AA1D81555C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99CE75-DF47-4219-BC20-B95E46D43F4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80F4EAB-81A9-4F58-95E9-60F903F9228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B421B06-B951-4C77-9446-C0EEFFA7E67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6307E46-A47B-43FB-AC87-3DD07D7618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CE9FD8D-FA70-4C15-9775-7130BC50ADF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F732D-3118-4C51-B859-AA9A9D2629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FA101DF-0C30-43F2-BD28-53B4DCECE20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B41B89D-F7E5-4CEF-932A-330EC0F147F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998AB1-02A0-40DE-886F-B995CF4BDB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71862FF-ADF5-4E82-A03B-2F2BE49ED71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03E8FB4-C9EE-478B-918C-2B9B066AEB6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877E57-8F10-4BE3-B7C4-434C0461410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EEEF442-BE45-4D8E-8D74-B1E324A1C90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D01FB42-3A1F-4D16-92FC-B50E2820D1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A230DC9-4632-46E4-89AA-11393332325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3BDB36C-B8CD-4F6C-B82B-5C991060939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0B2537B-3268-4D54-B3E1-5FDEC299650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4"/>
        <c:marker>
          <c:symbol val="none"/>
        </c:marker>
        <c:dLbl>
          <c:idx val="0"/>
          <c:delete val="1"/>
          <c:extLst xmlns:c16r2="http://schemas.microsoft.com/office/drawing/2015/06/chart">
            <c:ext xmlns:c15="http://schemas.microsoft.com/office/drawing/2012/chart" uri="{CE6537A1-D6FC-4f65-9D91-7224C49458BB}"/>
          </c:extLst>
        </c:dLbl>
      </c:pivotFmt>
      <c:pivotFmt>
        <c:idx val="11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364C6E7-69A0-462D-8180-AD9331093CF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159C3F1-1133-4A4B-B0A9-974F5E57C82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2DBCB2C-6725-433F-8D57-003396DB950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87B43C3-C6B0-45E7-B219-144C8B0DA03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9"/>
        <c:marker>
          <c:symbol val="none"/>
        </c:marker>
        <c:dLbl>
          <c:idx val="0"/>
          <c:delete val="1"/>
          <c:extLst xmlns:c16r2="http://schemas.microsoft.com/office/drawing/2015/06/chart">
            <c:ext xmlns:c15="http://schemas.microsoft.com/office/drawing/2012/chart" uri="{CE6537A1-D6FC-4f65-9D91-7224C49458BB}"/>
          </c:extLst>
        </c:dLbl>
      </c:pivotFmt>
      <c:pivotFmt>
        <c:idx val="12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0BBEA7-23BA-4CF4-A8B9-A77742200EE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853970A-AC63-4F6A-8FA2-E48E51A30E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0702885-AF04-485B-B7BB-4AA1D81555C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99CE75-DF47-4219-BC20-B95E46D43F4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4"/>
        <c:marker>
          <c:symbol val="none"/>
        </c:marker>
        <c:dLbl>
          <c:idx val="0"/>
          <c:delete val="1"/>
          <c:extLst xmlns:c16r2="http://schemas.microsoft.com/office/drawing/2015/06/chart">
            <c:ext xmlns:c15="http://schemas.microsoft.com/office/drawing/2012/chart" uri="{CE6537A1-D6FC-4f65-9D91-7224C49458BB}"/>
          </c:extLst>
        </c:dLbl>
      </c:pivotFmt>
      <c:pivotFmt>
        <c:idx val="12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80F4EAB-81A9-4F58-95E9-60F903F9228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B421B06-B951-4C77-9446-C0EEFFA7E67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6307E46-A47B-43FB-AC87-3DD07D7618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CE9FD8D-FA70-4C15-9775-7130BC50ADF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9"/>
        <c:marker>
          <c:symbol val="none"/>
        </c:marker>
        <c:dLbl>
          <c:idx val="0"/>
          <c:delete val="1"/>
          <c:extLst xmlns:c16r2="http://schemas.microsoft.com/office/drawing/2015/06/chart">
            <c:ext xmlns:c15="http://schemas.microsoft.com/office/drawing/2012/chart" uri="{CE6537A1-D6FC-4f65-9D91-7224C49458BB}"/>
          </c:extLst>
        </c:dLbl>
      </c:pivotFmt>
      <c:pivotFmt>
        <c:idx val="13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F732D-3118-4C51-B859-AA9A9D2629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FA101DF-0C30-43F2-BD28-53B4DCECE20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B41B89D-F7E5-4CEF-932A-330EC0F147F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998AB1-02A0-40DE-886F-B995CF4BDB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4"/>
        <c:marker>
          <c:symbol val="none"/>
        </c:marker>
        <c:dLbl>
          <c:idx val="0"/>
          <c:delete val="1"/>
          <c:extLst xmlns:c16r2="http://schemas.microsoft.com/office/drawing/2015/06/chart">
            <c:ext xmlns:c15="http://schemas.microsoft.com/office/drawing/2012/chart" uri="{CE6537A1-D6FC-4f65-9D91-7224C49458BB}"/>
          </c:extLst>
        </c:dLbl>
      </c:pivotFmt>
      <c:pivotFmt>
        <c:idx val="13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71862FF-ADF5-4E82-A03B-2F2BE49ED71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03E8FB4-C9EE-478B-918C-2B9B066AEB6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877E57-8F10-4BE3-B7C4-434C0461410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EEEF442-BE45-4D8E-8D74-B1E324A1C90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9"/>
        <c:marker>
          <c:symbol val="none"/>
        </c:marker>
        <c:dLbl>
          <c:idx val="0"/>
          <c:delete val="1"/>
          <c:extLst xmlns:c16r2="http://schemas.microsoft.com/office/drawing/2015/06/chart">
            <c:ext xmlns:c15="http://schemas.microsoft.com/office/drawing/2012/chart" uri="{CE6537A1-D6FC-4f65-9D91-7224C49458BB}"/>
          </c:extLst>
        </c:dLbl>
      </c:pivotFmt>
      <c:pivotFmt>
        <c:idx val="14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D01FB42-3A1F-4D16-92FC-B50E2820D1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A230DC9-4632-46E4-89AA-11393332325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3BDB36C-B8CD-4F6C-B82B-5C991060939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0B2537B-3268-4D54-B3E1-5FDEC299650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364C6E7-69A0-462D-8180-AD9331093CF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159C3F1-1133-4A4B-B0A9-974F5E57C82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2DBCB2C-6725-433F-8D57-003396DB950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87B43C3-C6B0-45E7-B219-144C8B0DA03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9"/>
        <c:marker>
          <c:symbol val="none"/>
        </c:marker>
        <c:dLbl>
          <c:idx val="0"/>
          <c:delete val="1"/>
          <c:extLst xmlns:c16r2="http://schemas.microsoft.com/office/drawing/2015/06/chart">
            <c:ext xmlns:c15="http://schemas.microsoft.com/office/drawing/2012/chart" uri="{CE6537A1-D6FC-4f65-9D91-7224C49458BB}"/>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0BBEA7-23BA-4CF4-A8B9-A77742200EE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853970A-AC63-4F6A-8FA2-E48E51A30E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0702885-AF04-485B-B7BB-4AA1D81555C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99CE75-DF47-4219-BC20-B95E46D43F4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80F4EAB-81A9-4F58-95E9-60F903F9228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B421B06-B951-4C77-9446-C0EEFFA7E67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6307E46-A47B-43FB-AC87-3DD07D7618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CE9FD8D-FA70-4C15-9775-7130BC50ADF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9"/>
        <c:marker>
          <c:symbol val="none"/>
        </c:marker>
        <c:dLbl>
          <c:idx val="0"/>
          <c:delete val="1"/>
          <c:extLst xmlns:c16r2="http://schemas.microsoft.com/office/drawing/2015/06/chart">
            <c:ext xmlns:c15="http://schemas.microsoft.com/office/drawing/2012/chart" uri="{CE6537A1-D6FC-4f65-9D91-7224C49458BB}"/>
          </c:extLst>
        </c:dLbl>
      </c:pivotFmt>
      <c:pivotFmt>
        <c:idx val="1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F732D-3118-4C51-B859-AA9A9D2629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FA101DF-0C30-43F2-BD28-53B4DCECE20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B41B89D-F7E5-4CEF-932A-330EC0F147F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998AB1-02A0-40DE-886F-B995CF4BDB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71862FF-ADF5-4E82-A03B-2F2BE49ED71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03E8FB4-C9EE-478B-918C-2B9B066AEB6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877E57-8F10-4BE3-B7C4-434C0461410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EEEF442-BE45-4D8E-8D74-B1E324A1C90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9"/>
        <c:marker>
          <c:symbol val="none"/>
        </c:marker>
        <c:dLbl>
          <c:idx val="0"/>
          <c:delete val="1"/>
          <c:extLst xmlns:c16r2="http://schemas.microsoft.com/office/drawing/2015/06/chart">
            <c:ext xmlns:c15="http://schemas.microsoft.com/office/drawing/2012/chart" uri="{CE6537A1-D6FC-4f65-9D91-7224C49458BB}"/>
          </c:extLst>
        </c:dLbl>
      </c:pivotFmt>
      <c:pivotFmt>
        <c:idx val="17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D01FB42-3A1F-4D16-92FC-B50E2820D1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A230DC9-4632-46E4-89AA-11393332325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3BDB36C-B8CD-4F6C-B82B-5C991060939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0B2537B-3268-4D54-B3E1-5FDEC299650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0.48193163756148"/>
          <c:y val="2.9142932838786599E-2"/>
          <c:w val="0.47356909435733302"/>
          <c:h val="0.73544934251081895"/>
        </c:manualLayout>
      </c:layout>
      <c:barChart>
        <c:barDir val="bar"/>
        <c:grouping val="clustered"/>
        <c:varyColors val="0"/>
        <c:ser>
          <c:idx val="0"/>
          <c:order val="0"/>
          <c:tx>
            <c:strRef>
              <c:f>Relevance_Avg!$Q$34:$Q$35</c:f>
              <c:strCache>
                <c:ptCount val="1"/>
                <c:pt idx="0">
                  <c:v>Wider public</c:v>
                </c:pt>
              </c:strCache>
            </c:strRef>
          </c:tx>
          <c:spPr>
            <a:solidFill>
              <a:schemeClr val="accent1"/>
            </a:solidFill>
            <a:ln>
              <a:noFill/>
            </a:ln>
            <a:effectLst/>
          </c:spPr>
          <c:invertIfNegative val="0"/>
          <c:dLbls>
            <c:dLbl>
              <c:idx val="0"/>
              <c:tx>
                <c:rich>
                  <a:bodyPr/>
                  <a:lstStyle/>
                  <a:p>
                    <a:fld id="{F9C9A8C1-0E1A-4D70-A728-286E3C877CCD}"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4DB0-41A1-B890-605A1DC243E7}"/>
                </c:ext>
              </c:extLst>
            </c:dLbl>
            <c:dLbl>
              <c:idx val="1"/>
              <c:tx>
                <c:rich>
                  <a:bodyPr/>
                  <a:lstStyle/>
                  <a:p>
                    <a:fld id="{51415D36-DAAD-4B9E-AAA6-8C515B3D130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4DB0-41A1-B890-605A1DC243E7}"/>
                </c:ext>
              </c:extLst>
            </c:dLbl>
            <c:dLbl>
              <c:idx val="2"/>
              <c:tx>
                <c:rich>
                  <a:bodyPr/>
                  <a:lstStyle/>
                  <a:p>
                    <a:fld id="{08D5F131-7724-4FC1-B2B5-306DA2BBA9C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4DB0-41A1-B890-605A1DC243E7}"/>
                </c:ext>
              </c:extLst>
            </c:dLbl>
            <c:dLbl>
              <c:idx val="3"/>
              <c:tx>
                <c:rich>
                  <a:bodyPr/>
                  <a:lstStyle/>
                  <a:p>
                    <a:fld id="{0A06A046-93D9-4470-82CA-4CE723159A8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4DB0-41A1-B890-605A1DC243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Relevance_Avg!$Q$36:$Q$40</c:f>
              <c:numCache>
                <c:formatCode>General</c:formatCode>
                <c:ptCount val="4"/>
                <c:pt idx="0">
                  <c:v>3.5384615384615383</c:v>
                </c:pt>
                <c:pt idx="1">
                  <c:v>4.2592592592592595</c:v>
                </c:pt>
                <c:pt idx="2">
                  <c:v>4.0344827586206895</c:v>
                </c:pt>
                <c:pt idx="3">
                  <c:v>3.9310344827586206</c:v>
                </c:pt>
              </c:numCache>
            </c:numRef>
          </c:val>
          <c:extLst xmlns:c16r2="http://schemas.microsoft.com/office/drawing/2015/06/chart">
            <c:ext xmlns:c15="http://schemas.microsoft.com/office/drawing/2012/chart" uri="{02D57815-91ED-43cb-92C2-25804820EDAC}">
              <c15:datalabelsRange>
                <c15:f>Relevance_Avg!$Q$23:$Q$26</c15:f>
                <c15:dlblRangeCache>
                  <c:ptCount val="4"/>
                  <c:pt idx="0">
                    <c:v>3.87 (26)</c:v>
                  </c:pt>
                  <c:pt idx="1">
                    <c:v>4.13 (27)</c:v>
                  </c:pt>
                  <c:pt idx="2">
                    <c:v>3.78 (28)</c:v>
                  </c:pt>
                  <c:pt idx="3">
                    <c:v>3.81 (28)</c:v>
                  </c:pt>
                </c15:dlblRangeCache>
              </c15:datalabelsRange>
            </c:ext>
            <c:ext xmlns:c16="http://schemas.microsoft.com/office/drawing/2014/chart" uri="{C3380CC4-5D6E-409C-BE32-E72D297353CC}">
              <c16:uniqueId val="{00000004-4DB0-41A1-B890-605A1DC243E7}"/>
            </c:ext>
          </c:extLst>
        </c:ser>
        <c:ser>
          <c:idx val="1"/>
          <c:order val="1"/>
          <c:tx>
            <c:strRef>
              <c:f>Relevance_Avg!$R$34:$R$35</c:f>
              <c:strCache>
                <c:ptCount val="1"/>
                <c:pt idx="0">
                  <c:v>Standardisation organisations</c:v>
                </c:pt>
              </c:strCache>
            </c:strRef>
          </c:tx>
          <c:spPr>
            <a:solidFill>
              <a:schemeClr val="accent2"/>
            </a:solidFill>
            <a:ln>
              <a:noFill/>
            </a:ln>
            <a:effectLst/>
          </c:spPr>
          <c:invertIfNegative val="0"/>
          <c:dLbls>
            <c:dLbl>
              <c:idx val="0"/>
              <c:tx>
                <c:rich>
                  <a:bodyPr/>
                  <a:lstStyle/>
                  <a:p>
                    <a:fld id="{9AAEBD78-7FCF-48C2-AC6C-3AF04288C1D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4DB0-41A1-B890-605A1DC243E7}"/>
                </c:ext>
              </c:extLst>
            </c:dLbl>
            <c:dLbl>
              <c:idx val="1"/>
              <c:tx>
                <c:rich>
                  <a:bodyPr/>
                  <a:lstStyle/>
                  <a:p>
                    <a:fld id="{D68DE85C-F0DC-4112-931C-72CF213798B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4DB0-41A1-B890-605A1DC243E7}"/>
                </c:ext>
              </c:extLst>
            </c:dLbl>
            <c:dLbl>
              <c:idx val="2"/>
              <c:tx>
                <c:rich>
                  <a:bodyPr/>
                  <a:lstStyle/>
                  <a:p>
                    <a:fld id="{27D0E870-882D-4541-8F93-9967201A9F9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4DB0-41A1-B890-605A1DC243E7}"/>
                </c:ext>
              </c:extLst>
            </c:dLbl>
            <c:dLbl>
              <c:idx val="3"/>
              <c:tx>
                <c:rich>
                  <a:bodyPr/>
                  <a:lstStyle/>
                  <a:p>
                    <a:fld id="{6DD2BA73-E480-4FF9-A15C-18C05169E22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4DB0-41A1-B890-605A1DC243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Relevance_Avg!$R$36:$R$40</c:f>
              <c:numCache>
                <c:formatCode>General</c:formatCode>
                <c:ptCount val="4"/>
                <c:pt idx="0">
                  <c:v>4.25</c:v>
                </c:pt>
                <c:pt idx="1">
                  <c:v>4.25</c:v>
                </c:pt>
                <c:pt idx="2">
                  <c:v>4.5</c:v>
                </c:pt>
                <c:pt idx="3">
                  <c:v>2.6</c:v>
                </c:pt>
              </c:numCache>
            </c:numRef>
          </c:val>
          <c:extLst xmlns:c16r2="http://schemas.microsoft.com/office/drawing/2015/06/chart">
            <c:ext xmlns:c15="http://schemas.microsoft.com/office/drawing/2012/chart" uri="{02D57815-91ED-43cb-92C2-25804820EDAC}">
              <c15:datalabelsRange>
                <c15:f>Relevance_Avg!$R$23:$R$26</c15:f>
                <c15:dlblRangeCache>
                  <c:ptCount val="4"/>
                  <c:pt idx="0">
                    <c:v>3.75 (4)</c:v>
                  </c:pt>
                  <c:pt idx="1">
                    <c:v>4.25 (4)</c:v>
                  </c:pt>
                  <c:pt idx="2">
                    <c:v>4.25 (4)</c:v>
                  </c:pt>
                  <c:pt idx="3">
                    <c:v>4.25 (4)</c:v>
                  </c:pt>
                </c15:dlblRangeCache>
              </c15:datalabelsRange>
            </c:ext>
            <c:ext xmlns:c16="http://schemas.microsoft.com/office/drawing/2014/chart" uri="{C3380CC4-5D6E-409C-BE32-E72D297353CC}">
              <c16:uniqueId val="{00000009-4DB0-41A1-B890-605A1DC243E7}"/>
            </c:ext>
          </c:extLst>
        </c:ser>
        <c:ser>
          <c:idx val="2"/>
          <c:order val="2"/>
          <c:tx>
            <c:strRef>
              <c:f>Relevance_Avg!$S$34:$S$35</c:f>
              <c:strCache>
                <c:ptCount val="1"/>
                <c:pt idx="0">
                  <c:v>Stakeholders responsible for linked EU initiatives</c:v>
                </c:pt>
              </c:strCache>
            </c:strRef>
          </c:tx>
          <c:spPr>
            <a:solidFill>
              <a:schemeClr val="accent3"/>
            </a:solidFill>
            <a:ln>
              <a:noFill/>
            </a:ln>
            <a:effectLst/>
          </c:spPr>
          <c:invertIfNegative val="0"/>
          <c:dLbls>
            <c:dLbl>
              <c:idx val="0"/>
              <c:tx>
                <c:rich>
                  <a:bodyPr/>
                  <a:lstStyle/>
                  <a:p>
                    <a:fld id="{AF3B3B49-CEAA-4428-8357-6B64D5A61E99}"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4DB0-41A1-B890-605A1DC243E7}"/>
                </c:ext>
              </c:extLst>
            </c:dLbl>
            <c:dLbl>
              <c:idx val="1"/>
              <c:tx>
                <c:rich>
                  <a:bodyPr/>
                  <a:lstStyle/>
                  <a:p>
                    <a:fld id="{9FF672BB-1512-421A-81E3-CCFE7E261B0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4DB0-41A1-B890-605A1DC243E7}"/>
                </c:ext>
              </c:extLst>
            </c:dLbl>
            <c:dLbl>
              <c:idx val="2"/>
              <c:tx>
                <c:rich>
                  <a:bodyPr/>
                  <a:lstStyle/>
                  <a:p>
                    <a:fld id="{7AE066C0-1C3E-4732-8882-4D9C5B2486A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4DB0-41A1-B890-605A1DC243E7}"/>
                </c:ext>
              </c:extLst>
            </c:dLbl>
            <c:dLbl>
              <c:idx val="3"/>
              <c:tx>
                <c:rich>
                  <a:bodyPr/>
                  <a:lstStyle/>
                  <a:p>
                    <a:fld id="{40DA5932-AA0F-44D6-842A-1CB270C26BF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4DB0-41A1-B890-605A1DC243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Relevance_Avg!$S$36:$S$40</c:f>
              <c:numCache>
                <c:formatCode>General</c:formatCode>
                <c:ptCount val="4"/>
                <c:pt idx="0">
                  <c:v>4.1111111111111107</c:v>
                </c:pt>
                <c:pt idx="1">
                  <c:v>4.5</c:v>
                </c:pt>
                <c:pt idx="2">
                  <c:v>4.3</c:v>
                </c:pt>
                <c:pt idx="3">
                  <c:v>4.5</c:v>
                </c:pt>
              </c:numCache>
            </c:numRef>
          </c:val>
          <c:extLst xmlns:c16r2="http://schemas.microsoft.com/office/drawing/2015/06/chart">
            <c:ext xmlns:c15="http://schemas.microsoft.com/office/drawing/2012/chart" uri="{02D57815-91ED-43cb-92C2-25804820EDAC}">
              <c15:datalabelsRange>
                <c15:f>Relevance_Avg!$S$23:$S$26</c15:f>
                <c15:dlblRangeCache>
                  <c:ptCount val="4"/>
                  <c:pt idx="0">
                    <c:v>3.67 (9)</c:v>
                  </c:pt>
                  <c:pt idx="1">
                    <c:v>4.50 (10)</c:v>
                  </c:pt>
                  <c:pt idx="2">
                    <c:v>4.22 (9)</c:v>
                  </c:pt>
                  <c:pt idx="3">
                    <c:v>4.20 (10)</c:v>
                  </c:pt>
                </c15:dlblRangeCache>
              </c15:datalabelsRange>
            </c:ext>
            <c:ext xmlns:c16="http://schemas.microsoft.com/office/drawing/2014/chart" uri="{C3380CC4-5D6E-409C-BE32-E72D297353CC}">
              <c16:uniqueId val="{0000000E-4DB0-41A1-B890-605A1DC243E7}"/>
            </c:ext>
          </c:extLst>
        </c:ser>
        <c:ser>
          <c:idx val="3"/>
          <c:order val="3"/>
          <c:tx>
            <c:strRef>
              <c:f>Relevance_Avg!$T$34:$T$35</c:f>
              <c:strCache>
                <c:ptCount val="1"/>
                <c:pt idx="0">
                  <c:v>Solution users</c:v>
                </c:pt>
              </c:strCache>
            </c:strRef>
          </c:tx>
          <c:spPr>
            <a:solidFill>
              <a:schemeClr val="accent4"/>
            </a:solidFill>
            <a:ln>
              <a:noFill/>
            </a:ln>
            <a:effectLst/>
          </c:spPr>
          <c:invertIfNegative val="0"/>
          <c:dLbls>
            <c:dLbl>
              <c:idx val="0"/>
              <c:tx>
                <c:rich>
                  <a:bodyPr/>
                  <a:lstStyle/>
                  <a:p>
                    <a:fld id="{07398C30-00A5-469A-BB31-494DB9F3DA4B}"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F-4DB0-41A1-B890-605A1DC243E7}"/>
                </c:ext>
              </c:extLst>
            </c:dLbl>
            <c:dLbl>
              <c:idx val="1"/>
              <c:tx>
                <c:rich>
                  <a:bodyPr/>
                  <a:lstStyle/>
                  <a:p>
                    <a:fld id="{593E4A92-17F7-4C36-AF64-9373EB2822D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4DB0-41A1-B890-605A1DC243E7}"/>
                </c:ext>
              </c:extLst>
            </c:dLbl>
            <c:dLbl>
              <c:idx val="2"/>
              <c:tx>
                <c:rich>
                  <a:bodyPr/>
                  <a:lstStyle/>
                  <a:p>
                    <a:fld id="{1104DC72-1AA0-4845-84B1-47BC287F228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4DB0-41A1-B890-605A1DC243E7}"/>
                </c:ext>
              </c:extLst>
            </c:dLbl>
            <c:dLbl>
              <c:idx val="3"/>
              <c:tx>
                <c:rich>
                  <a:bodyPr/>
                  <a:lstStyle/>
                  <a:p>
                    <a:fld id="{37AE742F-C50A-4F44-AF7C-18CB0AA0E25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4DB0-41A1-B890-605A1DC243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Relevance_Avg!$T$36:$T$40</c:f>
              <c:numCache>
                <c:formatCode>General</c:formatCode>
                <c:ptCount val="4"/>
                <c:pt idx="0">
                  <c:v>3.641025641025641</c:v>
                </c:pt>
                <c:pt idx="1">
                  <c:v>4.1428571428571432</c:v>
                </c:pt>
                <c:pt idx="2">
                  <c:v>4.0476190476190474</c:v>
                </c:pt>
                <c:pt idx="3">
                  <c:v>4.1190476190476186</c:v>
                </c:pt>
              </c:numCache>
            </c:numRef>
          </c:val>
          <c:extLst xmlns:c16r2="http://schemas.microsoft.com/office/drawing/2015/06/chart">
            <c:ext xmlns:c15="http://schemas.microsoft.com/office/drawing/2012/chart" uri="{02D57815-91ED-43cb-92C2-25804820EDAC}">
              <c15:datalabelsRange>
                <c15:f>Relevance_Avg!$T$23:$T$26</c15:f>
                <c15:dlblRangeCache>
                  <c:ptCount val="4"/>
                  <c:pt idx="0">
                    <c:v>3.66 (38)</c:v>
                  </c:pt>
                  <c:pt idx="1">
                    <c:v>4.34 (41)</c:v>
                  </c:pt>
                  <c:pt idx="2">
                    <c:v>4.40 (40)</c:v>
                  </c:pt>
                  <c:pt idx="3">
                    <c:v>4.32 (41)</c:v>
                  </c:pt>
                </c15:dlblRangeCache>
              </c15:datalabelsRange>
            </c:ext>
            <c:ext xmlns:c16="http://schemas.microsoft.com/office/drawing/2014/chart" uri="{C3380CC4-5D6E-409C-BE32-E72D297353CC}">
              <c16:uniqueId val="{00000013-4DB0-41A1-B890-605A1DC243E7}"/>
            </c:ext>
          </c:extLst>
        </c:ser>
        <c:ser>
          <c:idx val="4"/>
          <c:order val="4"/>
          <c:tx>
            <c:strRef>
              <c:f>Relevance_Avg!$U$34:$U$35</c:f>
              <c:strCache>
                <c:ptCount val="1"/>
                <c:pt idx="0">
                  <c:v>Programme governance</c:v>
                </c:pt>
              </c:strCache>
            </c:strRef>
          </c:tx>
          <c:spPr>
            <a:solidFill>
              <a:schemeClr val="accent5"/>
            </a:solidFill>
            <a:ln>
              <a:noFill/>
            </a:ln>
            <a:effectLst/>
          </c:spPr>
          <c:invertIfNegative val="0"/>
          <c:dLbls>
            <c:dLbl>
              <c:idx val="0"/>
              <c:tx>
                <c:rich>
                  <a:bodyPr/>
                  <a:lstStyle/>
                  <a:p>
                    <a:fld id="{2F565A3B-36D2-45FE-A170-BFB09CE91F3E}"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4-4DB0-41A1-B890-605A1DC243E7}"/>
                </c:ext>
              </c:extLst>
            </c:dLbl>
            <c:dLbl>
              <c:idx val="1"/>
              <c:tx>
                <c:rich>
                  <a:bodyPr/>
                  <a:lstStyle/>
                  <a:p>
                    <a:fld id="{E01D7439-29B0-4EE8-A394-8540C3D9FAE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4DB0-41A1-B890-605A1DC243E7}"/>
                </c:ext>
              </c:extLst>
            </c:dLbl>
            <c:dLbl>
              <c:idx val="2"/>
              <c:tx>
                <c:rich>
                  <a:bodyPr/>
                  <a:lstStyle/>
                  <a:p>
                    <a:fld id="{4272BD9C-AAAD-4DBF-8624-3553BB69852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4DB0-41A1-B890-605A1DC243E7}"/>
                </c:ext>
              </c:extLst>
            </c:dLbl>
            <c:dLbl>
              <c:idx val="3"/>
              <c:tx>
                <c:rich>
                  <a:bodyPr/>
                  <a:lstStyle/>
                  <a:p>
                    <a:fld id="{11F8ADEA-E196-4EEC-8E9A-5DDBCA08012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4DB0-41A1-B890-605A1DC243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Relevance_Avg!$U$36:$U$40</c:f>
              <c:numCache>
                <c:formatCode>General</c:formatCode>
                <c:ptCount val="4"/>
                <c:pt idx="0">
                  <c:v>3.8421052631578947</c:v>
                </c:pt>
                <c:pt idx="1">
                  <c:v>3.8421052631578947</c:v>
                </c:pt>
                <c:pt idx="2">
                  <c:v>4.3157894736842106</c:v>
                </c:pt>
                <c:pt idx="3">
                  <c:v>3.9473684210526314</c:v>
                </c:pt>
              </c:numCache>
            </c:numRef>
          </c:val>
          <c:extLst xmlns:c16r2="http://schemas.microsoft.com/office/drawing/2015/06/chart">
            <c:ext xmlns:c15="http://schemas.microsoft.com/office/drawing/2012/chart" uri="{02D57815-91ED-43cb-92C2-25804820EDAC}">
              <c15:datalabelsRange>
                <c15:f>Relevance_Avg!$U$23:$U$26</c15:f>
                <c15:dlblRangeCache>
                  <c:ptCount val="4"/>
                  <c:pt idx="0">
                    <c:v>3.78 (18)</c:v>
                  </c:pt>
                  <c:pt idx="1">
                    <c:v>4.11 (19)</c:v>
                  </c:pt>
                  <c:pt idx="2">
                    <c:v>4.21 (19)</c:v>
                  </c:pt>
                  <c:pt idx="3">
                    <c:v>4.11 (19)</c:v>
                  </c:pt>
                </c15:dlblRangeCache>
              </c15:datalabelsRange>
            </c:ext>
            <c:ext xmlns:c16="http://schemas.microsoft.com/office/drawing/2014/chart" uri="{C3380CC4-5D6E-409C-BE32-E72D297353CC}">
              <c16:uniqueId val="{00000018-4DB0-41A1-B890-605A1DC243E7}"/>
            </c:ext>
          </c:extLst>
        </c:ser>
        <c:ser>
          <c:idx val="5"/>
          <c:order val="5"/>
          <c:tx>
            <c:strRef>
              <c:f>Relevance_Avg!$V$34:$V$35</c:f>
              <c:strCache>
                <c:ptCount val="1"/>
                <c:pt idx="0">
                  <c:v>Action owners</c:v>
                </c:pt>
              </c:strCache>
            </c:strRef>
          </c:tx>
          <c:spPr>
            <a:solidFill>
              <a:schemeClr val="accent6"/>
            </a:solidFill>
            <a:ln>
              <a:noFill/>
            </a:ln>
            <a:effectLst/>
          </c:spPr>
          <c:invertIfNegative val="0"/>
          <c:dLbls>
            <c:dLbl>
              <c:idx val="0"/>
              <c:tx>
                <c:rich>
                  <a:bodyPr/>
                  <a:lstStyle/>
                  <a:p>
                    <a:fld id="{DC990914-A85B-477F-814D-B95341AA03BE}"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9-4DB0-41A1-B890-605A1DC243E7}"/>
                </c:ext>
              </c:extLst>
            </c:dLbl>
            <c:dLbl>
              <c:idx val="1"/>
              <c:tx>
                <c:rich>
                  <a:bodyPr/>
                  <a:lstStyle/>
                  <a:p>
                    <a:fld id="{3C0CB600-1C33-4355-976F-93093B2FEA8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4DB0-41A1-B890-605A1DC243E7}"/>
                </c:ext>
              </c:extLst>
            </c:dLbl>
            <c:dLbl>
              <c:idx val="2"/>
              <c:tx>
                <c:rich>
                  <a:bodyPr/>
                  <a:lstStyle/>
                  <a:p>
                    <a:fld id="{DDF67EAA-A930-4571-8F28-F0B01078849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4DB0-41A1-B890-605A1DC243E7}"/>
                </c:ext>
              </c:extLst>
            </c:dLbl>
            <c:dLbl>
              <c:idx val="3"/>
              <c:tx>
                <c:rich>
                  <a:bodyPr/>
                  <a:lstStyle/>
                  <a:p>
                    <a:fld id="{2A5368FC-C2C0-4200-AB49-A77678ABF02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4DB0-41A1-B890-605A1DC243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Relevance_Avg!$V$36:$V$40</c:f>
              <c:numCache>
                <c:formatCode>General</c:formatCode>
                <c:ptCount val="4"/>
                <c:pt idx="0">
                  <c:v>4.1904761904761907</c:v>
                </c:pt>
                <c:pt idx="1">
                  <c:v>4.1304347826086953</c:v>
                </c:pt>
                <c:pt idx="2">
                  <c:v>4.2608695652173916</c:v>
                </c:pt>
                <c:pt idx="3">
                  <c:v>4.0434782608695654</c:v>
                </c:pt>
              </c:numCache>
            </c:numRef>
          </c:val>
          <c:extLst xmlns:c16r2="http://schemas.microsoft.com/office/drawing/2015/06/chart">
            <c:ext xmlns:c15="http://schemas.microsoft.com/office/drawing/2012/chart" uri="{02D57815-91ED-43cb-92C2-25804820EDAC}">
              <c15:datalabelsRange>
                <c15:f>Relevance_Avg!$V$23:$V$26</c15:f>
                <c15:dlblRangeCache>
                  <c:ptCount val="4"/>
                  <c:pt idx="0">
                    <c:v>3.81 (21)</c:v>
                  </c:pt>
                  <c:pt idx="1">
                    <c:v>3.78 (23)</c:v>
                  </c:pt>
                  <c:pt idx="2">
                    <c:v>4.13 (23)</c:v>
                  </c:pt>
                  <c:pt idx="3">
                    <c:v>3.87 (23)</c:v>
                  </c:pt>
                </c15:dlblRangeCache>
              </c15:datalabelsRange>
            </c:ext>
            <c:ext xmlns:c16="http://schemas.microsoft.com/office/drawing/2014/chart" uri="{C3380CC4-5D6E-409C-BE32-E72D297353CC}">
              <c16:uniqueId val="{0000001D-4DB0-41A1-B890-605A1DC243E7}"/>
            </c:ext>
          </c:extLst>
        </c:ser>
        <c:dLbls>
          <c:dLblPos val="outEnd"/>
          <c:showLegendKey val="0"/>
          <c:showVal val="1"/>
          <c:showCatName val="0"/>
          <c:showSerName val="0"/>
          <c:showPercent val="0"/>
          <c:showBubbleSize val="0"/>
        </c:dLbls>
        <c:gapWidth val="150"/>
        <c:axId val="91837568"/>
        <c:axId val="91839104"/>
      </c:barChart>
      <c:catAx>
        <c:axId val="91837568"/>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839104"/>
        <c:crosses val="autoZero"/>
        <c:auto val="0"/>
        <c:lblAlgn val="ctr"/>
        <c:lblOffset val="100"/>
        <c:noMultiLvlLbl val="0"/>
      </c:catAx>
      <c:valAx>
        <c:axId val="9183910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837568"/>
        <c:crosses val="autoZero"/>
        <c:crossBetween val="between"/>
        <c:majorUnit val="1"/>
      </c:valAx>
      <c:spPr>
        <a:solidFill>
          <a:schemeClr val="bg1"/>
        </a:solidFill>
        <a:ln>
          <a:noFill/>
        </a:ln>
        <a:effectLst/>
      </c:spPr>
    </c:plotArea>
    <c:legend>
      <c:legendPos val="b"/>
      <c:layout>
        <c:manualLayout>
          <c:xMode val="edge"/>
          <c:yMode val="edge"/>
          <c:x val="8.8310061397432697E-3"/>
          <c:y val="0.81648880855054096"/>
          <c:w val="0.98233798772051295"/>
          <c:h val="0.167615046264667"/>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Graphs_averages_final.xlsx]Utility_Avg!Tableau croisé dynamique1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marker>
          <c:symbol val="none"/>
        </c:marker>
        <c:dLbl>
          <c:idx val="0"/>
          <c:delete val="1"/>
          <c:extLst xmlns:c16r2="http://schemas.microsoft.com/office/drawing/2015/06/chart">
            <c:ext xmlns:c15="http://schemas.microsoft.com/office/drawing/2012/chart" uri="{CE6537A1-D6FC-4f65-9D91-7224C49458BB}"/>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349ED84-5186-440B-80F7-E9419DF47DA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595358-1A0A-4368-B6FF-6E2DA2503A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2DFA6BC-9518-4467-8683-B60DB1E34F2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5CDA232-4F33-4143-9265-F496966CC67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A9C8690-3977-4934-9D7E-B434884DEF4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349ED84-5186-440B-80F7-E9419DF47DA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595358-1A0A-4368-B6FF-6E2DA2503A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2DFA6BC-9518-4467-8683-B60DB1E34F2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5CDA232-4F33-4143-9265-F496966CC67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A9C8690-3977-4934-9D7E-B434884DEF4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834FD62-C180-41A5-B787-B4C344DAE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CB07401-A5F7-4663-B572-C930A2FF879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097E410-8D42-4519-8F85-A9A9B4FE36B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3F8314F-6871-49BC-88B2-9C3AA267D02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81FE18E-2111-4BF6-8433-6560B46BA13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834FD62-C180-41A5-B787-B4C344DAE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CB07401-A5F7-4663-B572-C930A2FF879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097E410-8D42-4519-8F85-A9A9B4FE36B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3F8314F-6871-49BC-88B2-9C3AA267D02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81FE18E-2111-4BF6-8433-6560B46BA13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4"/>
        <c:marker>
          <c:symbol val="none"/>
        </c:marker>
        <c:dLbl>
          <c:idx val="0"/>
          <c:delete val="1"/>
          <c:extLst xmlns:c16r2="http://schemas.microsoft.com/office/drawing/2015/06/chart">
            <c:ext xmlns:c15="http://schemas.microsoft.com/office/drawing/2012/chart" uri="{CE6537A1-D6FC-4f65-9D91-7224C49458BB}"/>
          </c:extLst>
        </c:dLbl>
      </c:pivotFmt>
      <c:pivotFmt>
        <c:idx val="18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834FD62-C180-41A5-B787-B4C344DAE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6"/>
        <c:marker>
          <c:symbol val="none"/>
        </c:marker>
        <c:dLbl>
          <c:idx val="0"/>
          <c:delete val="1"/>
          <c:extLst xmlns:c16r2="http://schemas.microsoft.com/office/drawing/2015/06/chart">
            <c:ext xmlns:c15="http://schemas.microsoft.com/office/drawing/2012/chart" uri="{CE6537A1-D6FC-4f65-9D91-7224C49458BB}"/>
          </c:extLst>
        </c:dLbl>
      </c:pivotFmt>
      <c:pivotFmt>
        <c:idx val="18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CB07401-A5F7-4663-B572-C930A2FF879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8"/>
        <c:marker>
          <c:symbol val="none"/>
        </c:marker>
        <c:dLbl>
          <c:idx val="0"/>
          <c:delete val="1"/>
          <c:extLst xmlns:c16r2="http://schemas.microsoft.com/office/drawing/2015/06/chart">
            <c:ext xmlns:c15="http://schemas.microsoft.com/office/drawing/2012/chart" uri="{CE6537A1-D6FC-4f65-9D91-7224C49458BB}"/>
          </c:extLst>
        </c:dLbl>
      </c:pivotFmt>
      <c:pivotFmt>
        <c:idx val="18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097E410-8D42-4519-8F85-A9A9B4FE36B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0"/>
        <c:marker>
          <c:symbol val="none"/>
        </c:marker>
        <c:dLbl>
          <c:idx val="0"/>
          <c:delete val="1"/>
          <c:extLst xmlns:c16r2="http://schemas.microsoft.com/office/drawing/2015/06/chart">
            <c:ext xmlns:c15="http://schemas.microsoft.com/office/drawing/2012/chart" uri="{CE6537A1-D6FC-4f65-9D91-7224C49458BB}"/>
          </c:extLst>
        </c:dLbl>
      </c:pivotFmt>
      <c:pivotFmt>
        <c:idx val="1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3F8314F-6871-49BC-88B2-9C3AA267D02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2"/>
        <c:marker>
          <c:symbol val="none"/>
        </c:marker>
        <c:dLbl>
          <c:idx val="0"/>
          <c:delete val="1"/>
          <c:extLst xmlns:c16r2="http://schemas.microsoft.com/office/drawing/2015/06/chart">
            <c:ext xmlns:c15="http://schemas.microsoft.com/office/drawing/2012/chart" uri="{CE6537A1-D6FC-4f65-9D91-7224C49458BB}"/>
          </c:extLst>
        </c:dLbl>
      </c:pivotFmt>
      <c:pivotFmt>
        <c:idx val="1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81FE18E-2111-4BF6-8433-6560B46BA13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Utility_Avg!$R$2:$R$3</c:f>
              <c:strCache>
                <c:ptCount val="1"/>
                <c:pt idx="0">
                  <c:v>Standardisation organisations</c:v>
                </c:pt>
              </c:strCache>
            </c:strRef>
          </c:tx>
          <c:spPr>
            <a:solidFill>
              <a:schemeClr val="accent2"/>
            </a:solidFill>
            <a:ln>
              <a:noFill/>
            </a:ln>
            <a:effectLst/>
          </c:spPr>
          <c:invertIfNegative val="0"/>
          <c:dLbls>
            <c:dLbl>
              <c:idx val="0"/>
              <c:tx>
                <c:rich>
                  <a:bodyPr/>
                  <a:lstStyle/>
                  <a:p>
                    <a:fld id="{AA85ABAC-8E17-4D83-B630-F5D3BCA9A12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78FA-4BE0-B67E-1F29258081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Utility_Avg!$R$4</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Utility_Avg!$R$11</c15:f>
                <c15:dlblRangeCache>
                  <c:ptCount val="1"/>
                  <c:pt idx="0">
                    <c:v>3.00 (2)</c:v>
                  </c:pt>
                </c15:dlblRangeCache>
              </c15:datalabelsRange>
            </c:ext>
            <c:ext xmlns:c16="http://schemas.microsoft.com/office/drawing/2014/chart" uri="{C3380CC4-5D6E-409C-BE32-E72D297353CC}">
              <c16:uniqueId val="{00000001-78FA-4BE0-B67E-1F29258081EF}"/>
            </c:ext>
          </c:extLst>
        </c:ser>
        <c:ser>
          <c:idx val="1"/>
          <c:order val="1"/>
          <c:tx>
            <c:strRef>
              <c:f>Utility_Avg!$S$2:$S$3</c:f>
              <c:strCache>
                <c:ptCount val="1"/>
                <c:pt idx="0">
                  <c:v>Stakeholders responsible for linked EU policies initiatives (with the exception of CIOs)</c:v>
                </c:pt>
              </c:strCache>
            </c:strRef>
          </c:tx>
          <c:spPr>
            <a:solidFill>
              <a:schemeClr val="accent3"/>
            </a:solidFill>
            <a:ln>
              <a:noFill/>
            </a:ln>
            <a:effectLst/>
          </c:spPr>
          <c:invertIfNegative val="0"/>
          <c:dLbls>
            <c:dLbl>
              <c:idx val="0"/>
              <c:tx>
                <c:rich>
                  <a:bodyPr/>
                  <a:lstStyle/>
                  <a:p>
                    <a:fld id="{379CC5BC-B0A1-4CBF-879F-57843F47268F}"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78FA-4BE0-B67E-1F29258081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Utility_Avg!$S$4</c:f>
              <c:numCache>
                <c:formatCode>General</c:formatCode>
                <c:ptCount val="1"/>
                <c:pt idx="0">
                  <c:v>3.4285714285714284</c:v>
                </c:pt>
              </c:numCache>
            </c:numRef>
          </c:val>
          <c:extLst xmlns:c16r2="http://schemas.microsoft.com/office/drawing/2015/06/chart">
            <c:ext xmlns:c15="http://schemas.microsoft.com/office/drawing/2012/chart" uri="{02D57815-91ED-43cb-92C2-25804820EDAC}">
              <c15:datalabelsRange>
                <c15:f>Utility_Avg!$S$11</c15:f>
                <c15:dlblRangeCache>
                  <c:ptCount val="1"/>
                  <c:pt idx="0">
                    <c:v>3.43 (7)</c:v>
                  </c:pt>
                </c15:dlblRangeCache>
              </c15:datalabelsRange>
            </c:ext>
            <c:ext xmlns:c16="http://schemas.microsoft.com/office/drawing/2014/chart" uri="{C3380CC4-5D6E-409C-BE32-E72D297353CC}">
              <c16:uniqueId val="{00000003-78FA-4BE0-B67E-1F29258081EF}"/>
            </c:ext>
          </c:extLst>
        </c:ser>
        <c:ser>
          <c:idx val="2"/>
          <c:order val="2"/>
          <c:tx>
            <c:strRef>
              <c:f>Utility_Avg!$T$2:$T$3</c:f>
              <c:strCache>
                <c:ptCount val="1"/>
                <c:pt idx="0">
                  <c:v>Solution users (from EC)</c:v>
                </c:pt>
              </c:strCache>
            </c:strRef>
          </c:tx>
          <c:spPr>
            <a:solidFill>
              <a:schemeClr val="accent4"/>
            </a:solidFill>
            <a:ln>
              <a:noFill/>
            </a:ln>
            <a:effectLst/>
          </c:spPr>
          <c:invertIfNegative val="0"/>
          <c:dLbls>
            <c:dLbl>
              <c:idx val="0"/>
              <c:tx>
                <c:rich>
                  <a:bodyPr/>
                  <a:lstStyle/>
                  <a:p>
                    <a:fld id="{8E6FCF3F-C399-4D00-BCED-74DDC24A303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78FA-4BE0-B67E-1F29258081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Utility_Avg!$T$4</c:f>
              <c:numCache>
                <c:formatCode>General</c:formatCode>
                <c:ptCount val="1"/>
                <c:pt idx="0">
                  <c:v>3.3333333333333335</c:v>
                </c:pt>
              </c:numCache>
            </c:numRef>
          </c:val>
          <c:extLst xmlns:c16r2="http://schemas.microsoft.com/office/drawing/2015/06/chart">
            <c:ext xmlns:c15="http://schemas.microsoft.com/office/drawing/2012/chart" uri="{02D57815-91ED-43cb-92C2-25804820EDAC}">
              <c15:datalabelsRange>
                <c15:f>Utility_Avg!$T$11</c15:f>
                <c15:dlblRangeCache>
                  <c:ptCount val="1"/>
                  <c:pt idx="0">
                    <c:v>3.33 (15)</c:v>
                  </c:pt>
                </c15:dlblRangeCache>
              </c15:datalabelsRange>
            </c:ext>
            <c:ext xmlns:c16="http://schemas.microsoft.com/office/drawing/2014/chart" uri="{C3380CC4-5D6E-409C-BE32-E72D297353CC}">
              <c16:uniqueId val="{00000005-78FA-4BE0-B67E-1F29258081EF}"/>
            </c:ext>
          </c:extLst>
        </c:ser>
        <c:ser>
          <c:idx val="3"/>
          <c:order val="3"/>
          <c:tx>
            <c:strRef>
              <c:f>Utility_Avg!$U$2:$U$3</c:f>
              <c:strCache>
                <c:ptCount val="1"/>
                <c:pt idx="0">
                  <c:v>Programme governance (from DIGIT)</c:v>
                </c:pt>
              </c:strCache>
            </c:strRef>
          </c:tx>
          <c:spPr>
            <a:solidFill>
              <a:schemeClr val="accent5"/>
            </a:solidFill>
            <a:ln>
              <a:noFill/>
            </a:ln>
            <a:effectLst/>
          </c:spPr>
          <c:invertIfNegative val="0"/>
          <c:dLbls>
            <c:dLbl>
              <c:idx val="0"/>
              <c:tx>
                <c:rich>
                  <a:bodyPr/>
                  <a:lstStyle/>
                  <a:p>
                    <a:fld id="{B818E5B3-B300-4CF2-9490-F96C4BDBB7DB}"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78FA-4BE0-B67E-1F29258081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Utility_Avg!$U$4</c:f>
              <c:numCache>
                <c:formatCode>General</c:formatCode>
                <c:ptCount val="1"/>
                <c:pt idx="0">
                  <c:v>3.375</c:v>
                </c:pt>
              </c:numCache>
            </c:numRef>
          </c:val>
          <c:extLst xmlns:c16r2="http://schemas.microsoft.com/office/drawing/2015/06/chart">
            <c:ext xmlns:c15="http://schemas.microsoft.com/office/drawing/2012/chart" uri="{02D57815-91ED-43cb-92C2-25804820EDAC}">
              <c15:datalabelsRange>
                <c15:f>Utility_Avg!$U$11</c15:f>
                <c15:dlblRangeCache>
                  <c:ptCount val="1"/>
                  <c:pt idx="0">
                    <c:v>3.38 (16)</c:v>
                  </c:pt>
                </c15:dlblRangeCache>
              </c15:datalabelsRange>
            </c:ext>
            <c:ext xmlns:c16="http://schemas.microsoft.com/office/drawing/2014/chart" uri="{C3380CC4-5D6E-409C-BE32-E72D297353CC}">
              <c16:uniqueId val="{00000007-78FA-4BE0-B67E-1F29258081EF}"/>
            </c:ext>
          </c:extLst>
        </c:ser>
        <c:ser>
          <c:idx val="4"/>
          <c:order val="4"/>
          <c:tx>
            <c:strRef>
              <c:f>Utility_Avg!$V$2:$V$3</c:f>
              <c:strCache>
                <c:ptCount val="1"/>
                <c:pt idx="0">
                  <c:v>Action owners</c:v>
                </c:pt>
              </c:strCache>
            </c:strRef>
          </c:tx>
          <c:spPr>
            <a:solidFill>
              <a:schemeClr val="accent6"/>
            </a:solidFill>
            <a:ln>
              <a:noFill/>
            </a:ln>
            <a:effectLst/>
          </c:spPr>
          <c:invertIfNegative val="0"/>
          <c:dLbls>
            <c:dLbl>
              <c:idx val="0"/>
              <c:tx>
                <c:rich>
                  <a:bodyPr/>
                  <a:lstStyle/>
                  <a:p>
                    <a:fld id="{3B2E625F-698F-4BC5-8022-730A35D7D63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78FA-4BE0-B67E-1F29258081E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Utility_Avg!$V$4</c:f>
              <c:numCache>
                <c:formatCode>General</c:formatCode>
                <c:ptCount val="1"/>
                <c:pt idx="0">
                  <c:v>3.4347826086956523</c:v>
                </c:pt>
              </c:numCache>
            </c:numRef>
          </c:val>
          <c:extLst xmlns:c16r2="http://schemas.microsoft.com/office/drawing/2015/06/chart">
            <c:ext xmlns:c15="http://schemas.microsoft.com/office/drawing/2012/chart" uri="{02D57815-91ED-43cb-92C2-25804820EDAC}">
              <c15:datalabelsRange>
                <c15:f>Utility_Avg!$V$11</c15:f>
                <c15:dlblRangeCache>
                  <c:ptCount val="1"/>
                  <c:pt idx="0">
                    <c:v>3.43 (23)</c:v>
                  </c:pt>
                </c15:dlblRangeCache>
              </c15:datalabelsRange>
            </c:ext>
            <c:ext xmlns:c16="http://schemas.microsoft.com/office/drawing/2014/chart" uri="{C3380CC4-5D6E-409C-BE32-E72D297353CC}">
              <c16:uniqueId val="{00000009-78FA-4BE0-B67E-1F29258081EF}"/>
            </c:ext>
          </c:extLst>
        </c:ser>
        <c:dLbls>
          <c:showLegendKey val="0"/>
          <c:showVal val="1"/>
          <c:showCatName val="0"/>
          <c:showSerName val="0"/>
          <c:showPercent val="0"/>
          <c:showBubbleSize val="0"/>
        </c:dLbls>
        <c:gapWidth val="182"/>
        <c:axId val="125579264"/>
        <c:axId val="125580800"/>
      </c:barChart>
      <c:catAx>
        <c:axId val="125579264"/>
        <c:scaling>
          <c:orientation val="minMax"/>
        </c:scaling>
        <c:delete val="1"/>
        <c:axPos val="l"/>
        <c:numFmt formatCode="General" sourceLinked="1"/>
        <c:majorTickMark val="none"/>
        <c:minorTickMark val="none"/>
        <c:tickLblPos val="nextTo"/>
        <c:crossAx val="125580800"/>
        <c:crosses val="autoZero"/>
        <c:auto val="0"/>
        <c:lblAlgn val="ctr"/>
        <c:lblOffset val="100"/>
        <c:noMultiLvlLbl val="0"/>
      </c:catAx>
      <c:valAx>
        <c:axId val="125580800"/>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25579264"/>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Graphs_averages_final.xlsx]Utility_Avg!PivotTable7</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E0C427E-909F-4AC5-87AA-34D926A76E9B}"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8"/>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E0F1C85-0D5A-46AF-BC6F-A3462A21650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F7484F1-F5AB-4EC6-8652-DD7E0AA8C9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marker>
          <c:symbol val="none"/>
        </c:marker>
        <c:dLbl>
          <c:idx val="0"/>
          <c:delete val="1"/>
          <c:extLst xmlns:c16r2="http://schemas.microsoft.com/office/drawing/2015/06/chart">
            <c:ext xmlns:c15="http://schemas.microsoft.com/office/drawing/2012/chart" uri="{CE6537A1-D6FC-4f65-9D91-7224C49458BB}"/>
          </c:extLst>
        </c:dLbl>
      </c:pivotFmt>
      <c:pivotFmt>
        <c:idx val="151"/>
        <c:marker>
          <c:symbol val="none"/>
        </c:marker>
        <c:dLbl>
          <c:idx val="0"/>
          <c:delete val="1"/>
          <c:extLst xmlns:c16r2="http://schemas.microsoft.com/office/drawing/2015/06/chart">
            <c:ext xmlns:c15="http://schemas.microsoft.com/office/drawing/2012/chart" uri="{CE6537A1-D6FC-4f65-9D91-7224C49458BB}"/>
          </c:extLst>
        </c:dLbl>
      </c:pivotFmt>
      <c:pivotFmt>
        <c:idx val="152"/>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E0F1C85-0D5A-46AF-BC6F-A3462A21650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3"/>
        <c:marker>
          <c:symbol val="none"/>
        </c:marker>
        <c:dLbl>
          <c:idx val="0"/>
          <c:delete val="1"/>
          <c:extLst xmlns:c16r2="http://schemas.microsoft.com/office/drawing/2015/06/chart">
            <c:ext xmlns:c15="http://schemas.microsoft.com/office/drawing/2012/chart" uri="{CE6537A1-D6FC-4f65-9D91-7224C49458BB}"/>
          </c:extLst>
        </c:dLbl>
      </c:pivotFmt>
      <c:pivotFmt>
        <c:idx val="154"/>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F7484F1-F5AB-4EC6-8652-DD7E0AA8C9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7276CB64-1941-47BD-9A57-4ACFCDE8D79C}"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marker>
          <c:symbol val="none"/>
        </c:marker>
        <c:dLbl>
          <c:idx val="0"/>
          <c:delete val="1"/>
          <c:extLst xmlns:c16r2="http://schemas.microsoft.com/office/drawing/2015/06/chart">
            <c:ext xmlns:c15="http://schemas.microsoft.com/office/drawing/2012/chart" uri="{CE6537A1-D6FC-4f65-9D91-7224C49458BB}"/>
          </c:extLst>
        </c:dLbl>
      </c:pivotFmt>
      <c:pivotFmt>
        <c:idx val="158"/>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7A28EB3-2F32-4F32-92F8-94793BF8BAB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9"/>
        <c:marker>
          <c:symbol val="none"/>
        </c:marker>
        <c:dLbl>
          <c:idx val="0"/>
          <c:delete val="1"/>
          <c:extLst xmlns:c16r2="http://schemas.microsoft.com/office/drawing/2015/06/chart">
            <c:ext xmlns:c15="http://schemas.microsoft.com/office/drawing/2012/chart" uri="{CE6537A1-D6FC-4f65-9D91-7224C49458BB}"/>
          </c:extLst>
        </c:dLbl>
      </c:pivotFmt>
      <c:pivotFmt>
        <c:idx val="160"/>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0748ABA-BA4C-4005-B056-B5E1E213CE9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1E4562D-E7FE-4236-A91D-8837EC6C109A}"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marker>
          <c:symbol val="none"/>
        </c:marker>
        <c:dLbl>
          <c:idx val="0"/>
          <c:delete val="1"/>
          <c:extLst xmlns:c16r2="http://schemas.microsoft.com/office/drawing/2015/06/chart">
            <c:ext xmlns:c15="http://schemas.microsoft.com/office/drawing/2012/chart" uri="{CE6537A1-D6FC-4f65-9D91-7224C49458BB}"/>
          </c:extLst>
        </c:dLbl>
      </c:pivotFmt>
      <c:pivotFmt>
        <c:idx val="164"/>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7A28EB3-2F32-4F32-92F8-94793BF8BAB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5"/>
        <c:marker>
          <c:symbol val="none"/>
        </c:marker>
        <c:dLbl>
          <c:idx val="0"/>
          <c:delete val="1"/>
          <c:extLst xmlns:c16r2="http://schemas.microsoft.com/office/drawing/2015/06/chart">
            <c:ext xmlns:c15="http://schemas.microsoft.com/office/drawing/2012/chart" uri="{CE6537A1-D6FC-4f65-9D91-7224C49458BB}"/>
          </c:extLst>
        </c:dLbl>
      </c:pivotFmt>
      <c:pivotFmt>
        <c:idx val="166"/>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0748ABA-BA4C-4005-B056-B5E1E213CE9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6AD7FB8B-3B56-4259-A234-6377389237B7}"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marker>
          <c:symbol val="none"/>
        </c:marker>
        <c:dLbl>
          <c:idx val="0"/>
          <c:delete val="1"/>
          <c:extLst xmlns:c16r2="http://schemas.microsoft.com/office/drawing/2015/06/chart">
            <c:ext xmlns:c15="http://schemas.microsoft.com/office/drawing/2012/chart" uri="{CE6537A1-D6FC-4f65-9D91-7224C49458BB}"/>
          </c:extLst>
        </c:dLbl>
      </c:pivotFmt>
      <c:pivotFmt>
        <c:idx val="170"/>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7A28EB3-2F32-4F32-92F8-94793BF8BAB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1"/>
        <c:marker>
          <c:symbol val="none"/>
        </c:marker>
        <c:dLbl>
          <c:idx val="0"/>
          <c:delete val="1"/>
          <c:extLst xmlns:c16r2="http://schemas.microsoft.com/office/drawing/2015/06/chart">
            <c:ext xmlns:c15="http://schemas.microsoft.com/office/drawing/2012/chart" uri="{CE6537A1-D6FC-4f65-9D91-7224C49458BB}"/>
          </c:extLst>
        </c:dLbl>
      </c:pivotFmt>
      <c:pivotFmt>
        <c:idx val="172"/>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0748ABA-BA4C-4005-B056-B5E1E213CE9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B552139-F73B-4446-9440-AEADAA347423}"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Utility_Avg!$R$16:$R$17</c:f>
              <c:strCache>
                <c:ptCount val="1"/>
                <c:pt idx="0">
                  <c:v>Stakeholders responsible for linked EU policies initiatives (CIOs)</c:v>
                </c:pt>
              </c:strCache>
            </c:strRef>
          </c:tx>
          <c:spPr>
            <a:solidFill>
              <a:schemeClr val="accent3"/>
            </a:solidFill>
            <a:ln>
              <a:noFill/>
            </a:ln>
            <a:effectLst/>
          </c:spPr>
          <c:invertIfNegative val="0"/>
          <c:dLbls>
            <c:dLbl>
              <c:idx val="0"/>
              <c:tx>
                <c:rich>
                  <a:bodyPr/>
                  <a:lstStyle/>
                  <a:p>
                    <a:fld id="{CBB39224-BE40-4CF6-82EE-C1F17629D89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C9A3-41D9-A29A-7D2B1F7949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Utility_Avg!$Q$18</c:f>
              <c:strCache>
                <c:ptCount val="1"/>
                <c:pt idx="0">
                  <c:v>Total</c:v>
                </c:pt>
              </c:strCache>
            </c:strRef>
          </c:cat>
          <c:val>
            <c:numRef>
              <c:f>Utility_Avg!$R$18</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Utility_Avg!$R$25</c15:f>
                <c15:dlblRangeCache>
                  <c:ptCount val="1"/>
                  <c:pt idx="0">
                    <c:v>3.00 (1)</c:v>
                  </c:pt>
                </c15:dlblRangeCache>
              </c15:datalabelsRange>
            </c:ext>
            <c:ext xmlns:c16="http://schemas.microsoft.com/office/drawing/2014/chart" uri="{C3380CC4-5D6E-409C-BE32-E72D297353CC}">
              <c16:uniqueId val="{00000001-C9A3-41D9-A29A-7D2B1F794914}"/>
            </c:ext>
          </c:extLst>
        </c:ser>
        <c:ser>
          <c:idx val="1"/>
          <c:order val="1"/>
          <c:tx>
            <c:strRef>
              <c:f>Utility_Avg!$S$16:$S$17</c:f>
              <c:strCache>
                <c:ptCount val="1"/>
                <c:pt idx="0">
                  <c:v>Solution users (except from EC)</c:v>
                </c:pt>
              </c:strCache>
            </c:strRef>
          </c:tx>
          <c:spPr>
            <a:solidFill>
              <a:schemeClr val="accent4"/>
            </a:solidFill>
            <a:ln>
              <a:noFill/>
            </a:ln>
            <a:effectLst/>
          </c:spPr>
          <c:invertIfNegative val="0"/>
          <c:dLbls>
            <c:dLbl>
              <c:idx val="0"/>
              <c:tx>
                <c:rich>
                  <a:bodyPr/>
                  <a:lstStyle/>
                  <a:p>
                    <a:fld id="{B6386FE4-353E-43A1-A1A7-7EF933106213}"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C9A3-41D9-A29A-7D2B1F7949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Utility_Avg!$Q$18</c:f>
              <c:strCache>
                <c:ptCount val="1"/>
                <c:pt idx="0">
                  <c:v>Total</c:v>
                </c:pt>
              </c:strCache>
            </c:strRef>
          </c:cat>
          <c:val>
            <c:numRef>
              <c:f>Utility_Avg!$S$18</c:f>
              <c:numCache>
                <c:formatCode>General</c:formatCode>
                <c:ptCount val="1"/>
                <c:pt idx="0">
                  <c:v>3.4583333333333335</c:v>
                </c:pt>
              </c:numCache>
            </c:numRef>
          </c:val>
          <c:extLst xmlns:c16r2="http://schemas.microsoft.com/office/drawing/2015/06/chart">
            <c:ext xmlns:c15="http://schemas.microsoft.com/office/drawing/2012/chart" uri="{02D57815-91ED-43cb-92C2-25804820EDAC}">
              <c15:datalabelsRange>
                <c15:f>Utility_Avg!$S$25</c15:f>
                <c15:dlblRangeCache>
                  <c:ptCount val="1"/>
                  <c:pt idx="0">
                    <c:v>3.46 (24)</c:v>
                  </c:pt>
                </c15:dlblRangeCache>
              </c15:datalabelsRange>
            </c:ext>
            <c:ext xmlns:c16="http://schemas.microsoft.com/office/drawing/2014/chart" uri="{C3380CC4-5D6E-409C-BE32-E72D297353CC}">
              <c16:uniqueId val="{00000003-C9A3-41D9-A29A-7D2B1F794914}"/>
            </c:ext>
          </c:extLst>
        </c:ser>
        <c:ser>
          <c:idx val="2"/>
          <c:order val="2"/>
          <c:tx>
            <c:strRef>
              <c:f>Utility_Avg!$T$16:$T$17</c:f>
              <c:strCache>
                <c:ptCount val="1"/>
                <c:pt idx="0">
                  <c:v>Programme governance (Committee members and Coordination group members)</c:v>
                </c:pt>
              </c:strCache>
            </c:strRef>
          </c:tx>
          <c:spPr>
            <a:solidFill>
              <a:schemeClr val="accent5"/>
            </a:solidFill>
            <a:ln>
              <a:noFill/>
            </a:ln>
            <a:effectLst/>
          </c:spPr>
          <c:invertIfNegative val="0"/>
          <c:dLbls>
            <c:dLbl>
              <c:idx val="0"/>
              <c:tx>
                <c:rich>
                  <a:bodyPr/>
                  <a:lstStyle/>
                  <a:p>
                    <a:fld id="{C04777A3-6787-405D-800C-4E46A5016A9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C9A3-41D9-A29A-7D2B1F7949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Utility_Avg!$Q$18</c:f>
              <c:strCache>
                <c:ptCount val="1"/>
                <c:pt idx="0">
                  <c:v>Total</c:v>
                </c:pt>
              </c:strCache>
            </c:strRef>
          </c:cat>
          <c:val>
            <c:numRef>
              <c:f>Utility_Avg!$T$18</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Utility_Avg!$T$25</c15:f>
                <c15:dlblRangeCache>
                  <c:ptCount val="1"/>
                  <c:pt idx="0">
                    <c:v>3.00 (3)</c:v>
                  </c:pt>
                </c15:dlblRangeCache>
              </c15:datalabelsRange>
            </c:ext>
            <c:ext xmlns:c16="http://schemas.microsoft.com/office/drawing/2014/chart" uri="{C3380CC4-5D6E-409C-BE32-E72D297353CC}">
              <c16:uniqueId val="{00000005-C9A3-41D9-A29A-7D2B1F794914}"/>
            </c:ext>
          </c:extLst>
        </c:ser>
        <c:dLbls>
          <c:showLegendKey val="0"/>
          <c:showVal val="0"/>
          <c:showCatName val="0"/>
          <c:showSerName val="0"/>
          <c:showPercent val="0"/>
          <c:showBubbleSize val="0"/>
        </c:dLbls>
        <c:gapWidth val="182"/>
        <c:axId val="127041536"/>
        <c:axId val="127043072"/>
      </c:barChart>
      <c:catAx>
        <c:axId val="127041536"/>
        <c:scaling>
          <c:orientation val="minMax"/>
        </c:scaling>
        <c:delete val="1"/>
        <c:axPos val="l"/>
        <c:numFmt formatCode="General" sourceLinked="1"/>
        <c:majorTickMark val="none"/>
        <c:minorTickMark val="none"/>
        <c:tickLblPos val="nextTo"/>
        <c:crossAx val="127043072"/>
        <c:crosses val="autoZero"/>
        <c:auto val="0"/>
        <c:lblAlgn val="ctr"/>
        <c:lblOffset val="100"/>
        <c:noMultiLvlLbl val="0"/>
      </c:catAx>
      <c:valAx>
        <c:axId val="127043072"/>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27041536"/>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Graphs_averages_final.xlsx]Utility_Avg!Tableau croisé dynamique2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7BEE203-B13A-40FE-AFC1-782A6E7D33D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64D9EEB3-E65A-4749-B5BC-4FA0AE5D579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976D96-07B1-4ABB-B004-33FC57DDEB4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5A212F3-7CF4-4DC1-864B-C8E8E8B8841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7BEE203-B13A-40FE-AFC1-782A6E7D33D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64D9EEB3-E65A-4749-B5BC-4FA0AE5D579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976D96-07B1-4ABB-B004-33FC57DDEB4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5A212F3-7CF4-4DC1-864B-C8E8E8B8841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09ACC5D-6D14-4E60-A0B9-AE265DC2BD9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5A7103D-432B-4E12-AC75-52FA9D0DA78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7755084-E0E3-4286-AD01-A32E132A72E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C4446B5-4B43-457B-98D0-3C8C96D376F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09ACC5D-6D14-4E60-A0B9-AE265DC2BD9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5A7103D-432B-4E12-AC75-52FA9D0DA78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7755084-E0E3-4286-AD01-A32E132A72E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C4446B5-4B43-457B-98D0-3C8C96D376F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09ACC5D-6D14-4E60-A0B9-AE265DC2BD9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5A7103D-432B-4E12-AC75-52FA9D0DA78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7755084-E0E3-4286-AD01-A32E132A72E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C4446B5-4B43-457B-98D0-3C8C96D376F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Utility_Avg!$R$30:$R$31</c:f>
              <c:strCache>
                <c:ptCount val="1"/>
                <c:pt idx="0">
                  <c:v>Stakeholders responsible for linked EU policies initiatives (with the exception of CIOs)</c:v>
                </c:pt>
              </c:strCache>
            </c:strRef>
          </c:tx>
          <c:spPr>
            <a:solidFill>
              <a:schemeClr val="accent3"/>
            </a:solidFill>
            <a:ln>
              <a:noFill/>
            </a:ln>
            <a:effectLst/>
          </c:spPr>
          <c:invertIfNegative val="0"/>
          <c:dLbls>
            <c:dLbl>
              <c:idx val="0"/>
              <c:tx>
                <c:rich>
                  <a:bodyPr/>
                  <a:lstStyle/>
                  <a:p>
                    <a:fld id="{FA5711DD-FEFE-4564-9882-67FAC3CC40A3}"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C7BC-4EA1-873B-54CD88BBAC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Utility_Avg!$Q$32</c:f>
              <c:strCache>
                <c:ptCount val="1"/>
                <c:pt idx="0">
                  <c:v>Total</c:v>
                </c:pt>
              </c:strCache>
            </c:strRef>
          </c:cat>
          <c:val>
            <c:numRef>
              <c:f>Utility_Avg!$R$32</c:f>
              <c:numCache>
                <c:formatCode>General</c:formatCode>
                <c:ptCount val="1"/>
                <c:pt idx="0">
                  <c:v>2.2000000000000002</c:v>
                </c:pt>
              </c:numCache>
            </c:numRef>
          </c:val>
          <c:extLst xmlns:c16r2="http://schemas.microsoft.com/office/drawing/2015/06/chart">
            <c:ext xmlns:c15="http://schemas.microsoft.com/office/drawing/2012/chart" uri="{02D57815-91ED-43cb-92C2-25804820EDAC}">
              <c15:datalabelsRange>
                <c15:f>Utility_Avg!$R$40</c15:f>
                <c15:dlblRangeCache>
                  <c:ptCount val="1"/>
                  <c:pt idx="0">
                    <c:v>2.20 (5)</c:v>
                  </c:pt>
                </c15:dlblRangeCache>
              </c15:datalabelsRange>
            </c:ext>
            <c:ext xmlns:c16="http://schemas.microsoft.com/office/drawing/2014/chart" uri="{C3380CC4-5D6E-409C-BE32-E72D297353CC}">
              <c16:uniqueId val="{00000001-C7BC-4EA1-873B-54CD88BBACF6}"/>
            </c:ext>
          </c:extLst>
        </c:ser>
        <c:ser>
          <c:idx val="1"/>
          <c:order val="1"/>
          <c:tx>
            <c:strRef>
              <c:f>Utility_Avg!$S$30:$S$31</c:f>
              <c:strCache>
                <c:ptCount val="1"/>
                <c:pt idx="0">
                  <c:v>Solution users (from EC)</c:v>
                </c:pt>
              </c:strCache>
            </c:strRef>
          </c:tx>
          <c:spPr>
            <a:solidFill>
              <a:schemeClr val="accent4"/>
            </a:solidFill>
            <a:ln>
              <a:noFill/>
            </a:ln>
            <a:effectLst/>
          </c:spPr>
          <c:invertIfNegative val="0"/>
          <c:dLbls>
            <c:dLbl>
              <c:idx val="0"/>
              <c:tx>
                <c:rich>
                  <a:bodyPr/>
                  <a:lstStyle/>
                  <a:p>
                    <a:fld id="{14A5BE74-60C4-4BD1-B1F0-3208926B4D7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C7BC-4EA1-873B-54CD88BBAC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Utility_Avg!$Q$32</c:f>
              <c:strCache>
                <c:ptCount val="1"/>
                <c:pt idx="0">
                  <c:v>Total</c:v>
                </c:pt>
              </c:strCache>
            </c:strRef>
          </c:cat>
          <c:val>
            <c:numRef>
              <c:f>Utility_Avg!$S$32</c:f>
              <c:numCache>
                <c:formatCode>General</c:formatCode>
                <c:ptCount val="1"/>
                <c:pt idx="0">
                  <c:v>2.75</c:v>
                </c:pt>
              </c:numCache>
            </c:numRef>
          </c:val>
          <c:extLst xmlns:c16r2="http://schemas.microsoft.com/office/drawing/2015/06/chart">
            <c:ext xmlns:c15="http://schemas.microsoft.com/office/drawing/2012/chart" uri="{02D57815-91ED-43cb-92C2-25804820EDAC}">
              <c15:datalabelsRange>
                <c15:f>Utility_Avg!$S$40</c15:f>
                <c15:dlblRangeCache>
                  <c:ptCount val="1"/>
                  <c:pt idx="0">
                    <c:v>2.75 (4)</c:v>
                  </c:pt>
                </c15:dlblRangeCache>
              </c15:datalabelsRange>
            </c:ext>
            <c:ext xmlns:c16="http://schemas.microsoft.com/office/drawing/2014/chart" uri="{C3380CC4-5D6E-409C-BE32-E72D297353CC}">
              <c16:uniqueId val="{00000003-C7BC-4EA1-873B-54CD88BBACF6}"/>
            </c:ext>
          </c:extLst>
        </c:ser>
        <c:ser>
          <c:idx val="2"/>
          <c:order val="2"/>
          <c:tx>
            <c:strRef>
              <c:f>Utility_Avg!$T$30:$T$31</c:f>
              <c:strCache>
                <c:ptCount val="1"/>
                <c:pt idx="0">
                  <c:v>Programme governance (from DIGIT)</c:v>
                </c:pt>
              </c:strCache>
            </c:strRef>
          </c:tx>
          <c:spPr>
            <a:solidFill>
              <a:schemeClr val="accent5"/>
            </a:solidFill>
            <a:ln>
              <a:noFill/>
            </a:ln>
            <a:effectLst/>
          </c:spPr>
          <c:invertIfNegative val="0"/>
          <c:dLbls>
            <c:dLbl>
              <c:idx val="0"/>
              <c:tx>
                <c:rich>
                  <a:bodyPr/>
                  <a:lstStyle/>
                  <a:p>
                    <a:fld id="{7FBC1916-E2F6-4BB4-91DC-19488BB7E63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C7BC-4EA1-873B-54CD88BBAC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Utility_Avg!$Q$32</c:f>
              <c:strCache>
                <c:ptCount val="1"/>
                <c:pt idx="0">
                  <c:v>Total</c:v>
                </c:pt>
              </c:strCache>
            </c:strRef>
          </c:cat>
          <c:val>
            <c:numRef>
              <c:f>Utility_Avg!$T$32</c:f>
              <c:numCache>
                <c:formatCode>General</c:formatCode>
                <c:ptCount val="1"/>
                <c:pt idx="0">
                  <c:v>3.125</c:v>
                </c:pt>
              </c:numCache>
            </c:numRef>
          </c:val>
          <c:extLst xmlns:c16r2="http://schemas.microsoft.com/office/drawing/2015/06/chart">
            <c:ext xmlns:c15="http://schemas.microsoft.com/office/drawing/2012/chart" uri="{02D57815-91ED-43cb-92C2-25804820EDAC}">
              <c15:datalabelsRange>
                <c15:f>Utility_Avg!$T$40</c15:f>
                <c15:dlblRangeCache>
                  <c:ptCount val="1"/>
                  <c:pt idx="0">
                    <c:v>3.13 (8)</c:v>
                  </c:pt>
                </c15:dlblRangeCache>
              </c15:datalabelsRange>
            </c:ext>
            <c:ext xmlns:c16="http://schemas.microsoft.com/office/drawing/2014/chart" uri="{C3380CC4-5D6E-409C-BE32-E72D297353CC}">
              <c16:uniqueId val="{00000005-C7BC-4EA1-873B-54CD88BBACF6}"/>
            </c:ext>
          </c:extLst>
        </c:ser>
        <c:ser>
          <c:idx val="3"/>
          <c:order val="3"/>
          <c:tx>
            <c:strRef>
              <c:f>Utility_Avg!$U$30:$U$31</c:f>
              <c:strCache>
                <c:ptCount val="1"/>
                <c:pt idx="0">
                  <c:v>Action owners</c:v>
                </c:pt>
              </c:strCache>
            </c:strRef>
          </c:tx>
          <c:spPr>
            <a:solidFill>
              <a:schemeClr val="accent6"/>
            </a:solidFill>
            <a:ln>
              <a:noFill/>
            </a:ln>
            <a:effectLst/>
          </c:spPr>
          <c:invertIfNegative val="0"/>
          <c:dLbls>
            <c:dLbl>
              <c:idx val="0"/>
              <c:tx>
                <c:rich>
                  <a:bodyPr/>
                  <a:lstStyle/>
                  <a:p>
                    <a:fld id="{88CD75C5-F464-48DD-B144-9A6A226D192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C7BC-4EA1-873B-54CD88BBAC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Utility_Avg!$Q$32</c:f>
              <c:strCache>
                <c:ptCount val="1"/>
                <c:pt idx="0">
                  <c:v>Total</c:v>
                </c:pt>
              </c:strCache>
            </c:strRef>
          </c:cat>
          <c:val>
            <c:numRef>
              <c:f>Utility_Avg!$U$32</c:f>
              <c:numCache>
                <c:formatCode>General</c:formatCode>
                <c:ptCount val="1"/>
                <c:pt idx="0">
                  <c:v>3.0833333333333335</c:v>
                </c:pt>
              </c:numCache>
            </c:numRef>
          </c:val>
          <c:extLst xmlns:c16r2="http://schemas.microsoft.com/office/drawing/2015/06/chart">
            <c:ext xmlns:c15="http://schemas.microsoft.com/office/drawing/2012/chart" uri="{02D57815-91ED-43cb-92C2-25804820EDAC}">
              <c15:datalabelsRange>
                <c15:f>Utility_Avg!$U$40</c15:f>
                <c15:dlblRangeCache>
                  <c:ptCount val="1"/>
                  <c:pt idx="0">
                    <c:v>3.08 (12)</c:v>
                  </c:pt>
                </c15:dlblRangeCache>
              </c15:datalabelsRange>
            </c:ext>
            <c:ext xmlns:c16="http://schemas.microsoft.com/office/drawing/2014/chart" uri="{C3380CC4-5D6E-409C-BE32-E72D297353CC}">
              <c16:uniqueId val="{00000007-C7BC-4EA1-873B-54CD88BBACF6}"/>
            </c:ext>
          </c:extLst>
        </c:ser>
        <c:dLbls>
          <c:showLegendKey val="0"/>
          <c:showVal val="1"/>
          <c:showCatName val="0"/>
          <c:showSerName val="0"/>
          <c:showPercent val="0"/>
          <c:showBubbleSize val="0"/>
        </c:dLbls>
        <c:gapWidth val="182"/>
        <c:axId val="145529856"/>
        <c:axId val="145572608"/>
      </c:barChart>
      <c:catAx>
        <c:axId val="145529856"/>
        <c:scaling>
          <c:orientation val="minMax"/>
        </c:scaling>
        <c:delete val="1"/>
        <c:axPos val="l"/>
        <c:numFmt formatCode="General" sourceLinked="1"/>
        <c:majorTickMark val="none"/>
        <c:minorTickMark val="none"/>
        <c:tickLblPos val="nextTo"/>
        <c:crossAx val="145572608"/>
        <c:crosses val="autoZero"/>
        <c:auto val="0"/>
        <c:lblAlgn val="ctr"/>
        <c:lblOffset val="100"/>
        <c:noMultiLvlLbl val="0"/>
      </c:catAx>
      <c:valAx>
        <c:axId val="145572608"/>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5529856"/>
        <c:crosses val="autoZero"/>
        <c:crossBetween val="between"/>
        <c:majorUnit val="1"/>
      </c:valAx>
      <c:spPr>
        <a:noFill/>
        <a:ln>
          <a:noFill/>
        </a:ln>
        <a:effectLst/>
      </c:spPr>
    </c:plotArea>
    <c:legend>
      <c:legendPos val="r"/>
      <c:layout>
        <c:manualLayout>
          <c:xMode val="edge"/>
          <c:yMode val="edge"/>
          <c:x val="0.62992740717972817"/>
          <c:y val="9.2426628489620619E-2"/>
          <c:w val="0.34022184655161503"/>
          <c:h val="0.906055833929849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Graphs_averages_final.xlsx]Utility_Avg!PivotTable8</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6242A8C-F663-4BED-8E64-5BECA1532AE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4F349E6-A665-4DAC-BE2A-9F808C07150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949ACAF-D271-4EC5-BC14-17951CCEF5E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marker>
          <c:symbol val="none"/>
        </c:marker>
        <c:dLbl>
          <c:idx val="0"/>
          <c:delete val="1"/>
          <c:extLst xmlns:c16r2="http://schemas.microsoft.com/office/drawing/2015/06/chart">
            <c:ext xmlns:c15="http://schemas.microsoft.com/office/drawing/2012/chart" uri="{CE6537A1-D6FC-4f65-9D91-7224C49458BB}"/>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6242A8C-F663-4BED-8E64-5BECA1532AE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4F349E6-A665-4DAC-BE2A-9F808C07150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949ACAF-D271-4EC5-BC14-17951CCEF5E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9C473B5-BE83-42EF-9767-C895558BAAF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DC31D69-965D-4F85-B7D5-2D6122D1300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69ED89-464B-44AB-AD55-284D6CE21C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9C473B5-BE83-42EF-9767-C895558BAAF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DC31D69-965D-4F85-B7D5-2D6122D1300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69ED89-464B-44AB-AD55-284D6CE21C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9C473B5-BE83-42EF-9767-C895558BAAF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DC31D69-965D-4F85-B7D5-2D6122D1300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69ED89-464B-44AB-AD55-284D6CE21C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4.1348150879133419E-2"/>
          <c:y val="0.14004067372373155"/>
          <c:w val="0.57016494175686239"/>
          <c:h val="0.75010279965004378"/>
        </c:manualLayout>
      </c:layout>
      <c:barChart>
        <c:barDir val="bar"/>
        <c:grouping val="clustered"/>
        <c:varyColors val="0"/>
        <c:ser>
          <c:idx val="0"/>
          <c:order val="0"/>
          <c:tx>
            <c:strRef>
              <c:f>Utility_Avg!$R$44:$R$45</c:f>
              <c:strCache>
                <c:ptCount val="1"/>
                <c:pt idx="0">
                  <c:v>Stakeholders responsible for linked EU policies initiatives (CIOs)</c:v>
                </c:pt>
              </c:strCache>
            </c:strRef>
          </c:tx>
          <c:spPr>
            <a:solidFill>
              <a:schemeClr val="accent3"/>
            </a:solidFill>
            <a:ln>
              <a:noFill/>
            </a:ln>
            <a:effectLst/>
          </c:spPr>
          <c:invertIfNegative val="0"/>
          <c:dLbls>
            <c:dLbl>
              <c:idx val="0"/>
              <c:tx>
                <c:rich>
                  <a:bodyPr/>
                  <a:lstStyle/>
                  <a:p>
                    <a:fld id="{FC9BED66-DA84-481B-8592-B4892ACD588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F88C-4C3D-96DA-C80BFB4311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Utility_Avg!$Q$46</c:f>
              <c:strCache>
                <c:ptCount val="1"/>
                <c:pt idx="0">
                  <c:v>Total</c:v>
                </c:pt>
              </c:strCache>
            </c:strRef>
          </c:cat>
          <c:val>
            <c:numRef>
              <c:f>Utility_Avg!$R$46</c:f>
              <c:numCache>
                <c:formatCode>General</c:formatCode>
                <c:ptCount val="1"/>
                <c:pt idx="0">
                  <c:v>1</c:v>
                </c:pt>
              </c:numCache>
            </c:numRef>
          </c:val>
          <c:extLst xmlns:c16r2="http://schemas.microsoft.com/office/drawing/2015/06/chart">
            <c:ext xmlns:c15="http://schemas.microsoft.com/office/drawing/2012/chart" uri="{02D57815-91ED-43cb-92C2-25804820EDAC}">
              <c15:datalabelsRange>
                <c15:f>Utility_Avg!$R$54</c15:f>
                <c15:dlblRangeCache>
                  <c:ptCount val="1"/>
                  <c:pt idx="0">
                    <c:v>1.00 (1)</c:v>
                  </c:pt>
                </c15:dlblRangeCache>
              </c15:datalabelsRange>
            </c:ext>
            <c:ext xmlns:c16="http://schemas.microsoft.com/office/drawing/2014/chart" uri="{C3380CC4-5D6E-409C-BE32-E72D297353CC}">
              <c16:uniqueId val="{00000001-F88C-4C3D-96DA-C80BFB4311AE}"/>
            </c:ext>
          </c:extLst>
        </c:ser>
        <c:ser>
          <c:idx val="1"/>
          <c:order val="1"/>
          <c:tx>
            <c:strRef>
              <c:f>Utility_Avg!$S$44:$S$45</c:f>
              <c:strCache>
                <c:ptCount val="1"/>
                <c:pt idx="0">
                  <c:v>Solution users (except from EC)</c:v>
                </c:pt>
              </c:strCache>
            </c:strRef>
          </c:tx>
          <c:spPr>
            <a:solidFill>
              <a:schemeClr val="accent4"/>
            </a:solidFill>
            <a:ln>
              <a:noFill/>
            </a:ln>
            <a:effectLst/>
          </c:spPr>
          <c:invertIfNegative val="0"/>
          <c:dLbls>
            <c:dLbl>
              <c:idx val="0"/>
              <c:tx>
                <c:rich>
                  <a:bodyPr/>
                  <a:lstStyle/>
                  <a:p>
                    <a:fld id="{F04CAE80-A059-4EB0-A676-CB8F3F82468D}"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F88C-4C3D-96DA-C80BFB4311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Utility_Avg!$Q$46</c:f>
              <c:strCache>
                <c:ptCount val="1"/>
                <c:pt idx="0">
                  <c:v>Total</c:v>
                </c:pt>
              </c:strCache>
            </c:strRef>
          </c:cat>
          <c:val>
            <c:numRef>
              <c:f>Utility_Avg!$S$46</c:f>
              <c:numCache>
                <c:formatCode>General</c:formatCode>
                <c:ptCount val="1"/>
                <c:pt idx="0">
                  <c:v>3.4</c:v>
                </c:pt>
              </c:numCache>
            </c:numRef>
          </c:val>
          <c:extLst xmlns:c16r2="http://schemas.microsoft.com/office/drawing/2015/06/chart">
            <c:ext xmlns:c15="http://schemas.microsoft.com/office/drawing/2012/chart" uri="{02D57815-91ED-43cb-92C2-25804820EDAC}">
              <c15:datalabelsRange>
                <c15:f>Utility_Avg!$S$54</c15:f>
                <c15:dlblRangeCache>
                  <c:ptCount val="1"/>
                  <c:pt idx="0">
                    <c:v>3.40 (11)</c:v>
                  </c:pt>
                </c15:dlblRangeCache>
              </c15:datalabelsRange>
            </c:ext>
            <c:ext xmlns:c16="http://schemas.microsoft.com/office/drawing/2014/chart" uri="{C3380CC4-5D6E-409C-BE32-E72D297353CC}">
              <c16:uniqueId val="{00000003-F88C-4C3D-96DA-C80BFB4311AE}"/>
            </c:ext>
          </c:extLst>
        </c:ser>
        <c:ser>
          <c:idx val="2"/>
          <c:order val="2"/>
          <c:tx>
            <c:strRef>
              <c:f>Utility_Avg!$T$44:$T$45</c:f>
              <c:strCache>
                <c:ptCount val="1"/>
                <c:pt idx="0">
                  <c:v>Programme governance (Committee members and Coordination group members)</c:v>
                </c:pt>
              </c:strCache>
            </c:strRef>
          </c:tx>
          <c:spPr>
            <a:solidFill>
              <a:schemeClr val="accent5"/>
            </a:solidFill>
            <a:ln>
              <a:noFill/>
            </a:ln>
            <a:effectLst/>
          </c:spPr>
          <c:invertIfNegative val="0"/>
          <c:dLbls>
            <c:dLbl>
              <c:idx val="0"/>
              <c:tx>
                <c:rich>
                  <a:bodyPr/>
                  <a:lstStyle/>
                  <a:p>
                    <a:fld id="{AD5E1853-835E-4EFC-A364-703C958F4C3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F88C-4C3D-96DA-C80BFB4311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Utility_Avg!$Q$46</c:f>
              <c:strCache>
                <c:ptCount val="1"/>
                <c:pt idx="0">
                  <c:v>Total</c:v>
                </c:pt>
              </c:strCache>
            </c:strRef>
          </c:cat>
          <c:val>
            <c:numRef>
              <c:f>Utility_Avg!$T$46</c:f>
              <c:numCache>
                <c:formatCode>General</c:formatCode>
                <c:ptCount val="1"/>
                <c:pt idx="0">
                  <c:v>2</c:v>
                </c:pt>
              </c:numCache>
            </c:numRef>
          </c:val>
          <c:extLst xmlns:c16r2="http://schemas.microsoft.com/office/drawing/2015/06/chart">
            <c:ext xmlns:c15="http://schemas.microsoft.com/office/drawing/2012/chart" uri="{02D57815-91ED-43cb-92C2-25804820EDAC}">
              <c15:datalabelsRange>
                <c15:f>Utility_Avg!$T$54</c15:f>
                <c15:dlblRangeCache>
                  <c:ptCount val="1"/>
                  <c:pt idx="0">
                    <c:v>2.00 (1)</c:v>
                  </c:pt>
                </c15:dlblRangeCache>
              </c15:datalabelsRange>
            </c:ext>
            <c:ext xmlns:c16="http://schemas.microsoft.com/office/drawing/2014/chart" uri="{C3380CC4-5D6E-409C-BE32-E72D297353CC}">
              <c16:uniqueId val="{00000005-F88C-4C3D-96DA-C80BFB4311AE}"/>
            </c:ext>
          </c:extLst>
        </c:ser>
        <c:dLbls>
          <c:showLegendKey val="0"/>
          <c:showVal val="0"/>
          <c:showCatName val="0"/>
          <c:showSerName val="0"/>
          <c:showPercent val="0"/>
          <c:showBubbleSize val="0"/>
        </c:dLbls>
        <c:gapWidth val="182"/>
        <c:axId val="146871040"/>
        <c:axId val="146872576"/>
      </c:barChart>
      <c:catAx>
        <c:axId val="146871040"/>
        <c:scaling>
          <c:orientation val="minMax"/>
        </c:scaling>
        <c:delete val="1"/>
        <c:axPos val="l"/>
        <c:numFmt formatCode="General" sourceLinked="1"/>
        <c:majorTickMark val="none"/>
        <c:minorTickMark val="none"/>
        <c:tickLblPos val="nextTo"/>
        <c:crossAx val="146872576"/>
        <c:crosses val="autoZero"/>
        <c:auto val="0"/>
        <c:lblAlgn val="ctr"/>
        <c:lblOffset val="100"/>
        <c:noMultiLvlLbl val="0"/>
      </c:catAx>
      <c:valAx>
        <c:axId val="14687257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46871040"/>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Graphs_averages_final.xlsx]Utility_Avg!Tableau croisé dynamique3</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BC7280-C410-4E7A-9D12-492644A821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1D4D48-BC6F-4517-97DB-34E11574FA2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3"/>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5C93F3-D652-4724-9199-078158E281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
        <c:spPr>
          <a:solidFill>
            <a:schemeClr val="accent4"/>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79A85E-22A2-48F5-9CAB-D757E36117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5"/>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A2ED46-CBFC-477A-A95B-CB44E4B81A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EEA2E0-E058-43B6-BD11-4DF062BEDF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BC7280-C410-4E7A-9D12-492644A821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1D4D48-BC6F-4517-97DB-34E11574FA2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3"/>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5C93F3-D652-4724-9199-078158E281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4"/>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79A85E-22A2-48F5-9CAB-D757E36117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3"/>
        <c:spPr>
          <a:solidFill>
            <a:schemeClr val="accent5"/>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A2ED46-CBFC-477A-A95B-CB44E4B81A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5"/>
        <c:spPr>
          <a:solidFill>
            <a:schemeClr val="accent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EEA2E0-E058-43B6-BD11-4DF062BEDF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BC7280-C410-4E7A-9D12-492644A821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1D4D48-BC6F-4517-97DB-34E11574FA2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3"/>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5C93F3-D652-4724-9199-078158E281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3"/>
        <c:spPr>
          <a:solidFill>
            <a:schemeClr val="accent4"/>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79A85E-22A2-48F5-9CAB-D757E36117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5"/>
        <c:spPr>
          <a:solidFill>
            <a:schemeClr val="accent5"/>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A2ED46-CBFC-477A-A95B-CB44E4B81A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7"/>
        <c:spPr>
          <a:solidFill>
            <a:schemeClr val="accent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EEA2E0-E058-43B6-BD11-4DF062BEDF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Utility_Avg!$R$61:$R$62</c:f>
              <c:strCache>
                <c:ptCount val="1"/>
                <c:pt idx="0">
                  <c:v>Wider public</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90BB-4A82-BB82-98A0E38F3FC4}"/>
              </c:ext>
            </c:extLst>
          </c:dPt>
          <c:dLbls>
            <c:dLbl>
              <c:idx val="0"/>
              <c:tx>
                <c:rich>
                  <a:bodyPr/>
                  <a:lstStyle/>
                  <a:p>
                    <a:fld id="{A3D241D0-62C0-4EBB-B7ED-8E7AB7893276}"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1-90BB-4A82-BB82-98A0E38F3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Utility_Avg!$R$63</c:f>
              <c:numCache>
                <c:formatCode>General</c:formatCode>
                <c:ptCount val="1"/>
                <c:pt idx="0">
                  <c:v>3.5</c:v>
                </c:pt>
              </c:numCache>
            </c:numRef>
          </c:val>
          <c:extLst xmlns:c16r2="http://schemas.microsoft.com/office/drawing/2015/06/chart">
            <c:ext xmlns:c15="http://schemas.microsoft.com/office/drawing/2012/chart" uri="{02D57815-91ED-43cb-92C2-25804820EDAC}">
              <c15:datalabelsRange>
                <c15:f>Utility_Avg!$R$68</c15:f>
                <c15:dlblRangeCache>
                  <c:ptCount val="1"/>
                  <c:pt idx="0">
                    <c:v>3.50 (22)</c:v>
                  </c:pt>
                </c15:dlblRangeCache>
              </c15:datalabelsRange>
            </c:ext>
            <c:ext xmlns:c16="http://schemas.microsoft.com/office/drawing/2014/chart" uri="{C3380CC4-5D6E-409C-BE32-E72D297353CC}">
              <c16:uniqueId val="{00000002-90BB-4A82-BB82-98A0E38F3FC4}"/>
            </c:ext>
          </c:extLst>
        </c:ser>
        <c:ser>
          <c:idx val="1"/>
          <c:order val="1"/>
          <c:tx>
            <c:strRef>
              <c:f>Utility_Avg!$S$61:$S$62</c:f>
              <c:strCache>
                <c:ptCount val="1"/>
                <c:pt idx="0">
                  <c:v>Standardisation organisations</c:v>
                </c:pt>
              </c:strCache>
            </c:strRef>
          </c:tx>
          <c:spPr>
            <a:solidFill>
              <a:schemeClr val="accent2"/>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90BB-4A82-BB82-98A0E38F3FC4}"/>
              </c:ext>
            </c:extLst>
          </c:dPt>
          <c:dLbls>
            <c:dLbl>
              <c:idx val="0"/>
              <c:tx>
                <c:rich>
                  <a:bodyPr/>
                  <a:lstStyle/>
                  <a:p>
                    <a:fld id="{E3B6D853-7A75-47CE-9B98-F6928B332FE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90BB-4A82-BB82-98A0E38F3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Utility_Avg!$S$63</c:f>
              <c:numCache>
                <c:formatCode>General</c:formatCode>
                <c:ptCount val="1"/>
                <c:pt idx="0">
                  <c:v>3.3333333333333335</c:v>
                </c:pt>
              </c:numCache>
            </c:numRef>
          </c:val>
          <c:extLst xmlns:c16r2="http://schemas.microsoft.com/office/drawing/2015/06/chart">
            <c:ext xmlns:c15="http://schemas.microsoft.com/office/drawing/2012/chart" uri="{02D57815-91ED-43cb-92C2-25804820EDAC}">
              <c15:datalabelsRange>
                <c15:f>Utility_Avg!$S$68</c15:f>
                <c15:dlblRangeCache>
                  <c:ptCount val="1"/>
                  <c:pt idx="0">
                    <c:v>3.33 (3)</c:v>
                  </c:pt>
                </c15:dlblRangeCache>
              </c15:datalabelsRange>
            </c:ext>
            <c:ext xmlns:c16="http://schemas.microsoft.com/office/drawing/2014/chart" uri="{C3380CC4-5D6E-409C-BE32-E72D297353CC}">
              <c16:uniqueId val="{00000005-90BB-4A82-BB82-98A0E38F3FC4}"/>
            </c:ext>
          </c:extLst>
        </c:ser>
        <c:ser>
          <c:idx val="2"/>
          <c:order val="2"/>
          <c:tx>
            <c:strRef>
              <c:f>Utility_Avg!$T$61:$T$62</c:f>
              <c:strCache>
                <c:ptCount val="1"/>
                <c:pt idx="0">
                  <c:v>Stakeholders responsible for linked EU policies initiatives </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7-90BB-4A82-BB82-98A0E38F3FC4}"/>
              </c:ext>
            </c:extLst>
          </c:dPt>
          <c:dLbls>
            <c:dLbl>
              <c:idx val="0"/>
              <c:tx>
                <c:rich>
                  <a:bodyPr/>
                  <a:lstStyle/>
                  <a:p>
                    <a:fld id="{C1696BF7-6CC2-4F1B-B22B-29364AB345CB}"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90BB-4A82-BB82-98A0E38F3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Utility_Avg!$T$63</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Utility_Avg!$T$68</c15:f>
                <c15:dlblRangeCache>
                  <c:ptCount val="1"/>
                  <c:pt idx="0">
                    <c:v>3.00 (6)</c:v>
                  </c:pt>
                </c15:dlblRangeCache>
              </c15:datalabelsRange>
            </c:ext>
            <c:ext xmlns:c16="http://schemas.microsoft.com/office/drawing/2014/chart" uri="{C3380CC4-5D6E-409C-BE32-E72D297353CC}">
              <c16:uniqueId val="{00000008-90BB-4A82-BB82-98A0E38F3FC4}"/>
            </c:ext>
          </c:extLst>
        </c:ser>
        <c:ser>
          <c:idx val="3"/>
          <c:order val="3"/>
          <c:tx>
            <c:strRef>
              <c:f>Utility_Avg!$U$61:$U$62</c:f>
              <c:strCache>
                <c:ptCount val="1"/>
                <c:pt idx="0">
                  <c:v>Solution users </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A-90BB-4A82-BB82-98A0E38F3FC4}"/>
              </c:ext>
            </c:extLst>
          </c:dPt>
          <c:dLbls>
            <c:dLbl>
              <c:idx val="0"/>
              <c:tx>
                <c:rich>
                  <a:bodyPr/>
                  <a:lstStyle/>
                  <a:p>
                    <a:fld id="{8F0B54AC-9888-49F3-93C9-A95D5EEC8387}"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90BB-4A82-BB82-98A0E38F3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Utility_Avg!$U$63</c:f>
              <c:numCache>
                <c:formatCode>General</c:formatCode>
                <c:ptCount val="1"/>
                <c:pt idx="0">
                  <c:v>3.5128205128205128</c:v>
                </c:pt>
              </c:numCache>
            </c:numRef>
          </c:val>
          <c:extLst xmlns:c16r2="http://schemas.microsoft.com/office/drawing/2015/06/chart">
            <c:ext xmlns:c15="http://schemas.microsoft.com/office/drawing/2012/chart" uri="{02D57815-91ED-43cb-92C2-25804820EDAC}">
              <c15:datalabelsRange>
                <c15:f>Utility_Avg!$U$68</c15:f>
                <c15:dlblRangeCache>
                  <c:ptCount val="1"/>
                  <c:pt idx="0">
                    <c:v>3.51 (39)</c:v>
                  </c:pt>
                </c15:dlblRangeCache>
              </c15:datalabelsRange>
            </c:ext>
            <c:ext xmlns:c16="http://schemas.microsoft.com/office/drawing/2014/chart" uri="{C3380CC4-5D6E-409C-BE32-E72D297353CC}">
              <c16:uniqueId val="{0000000B-90BB-4A82-BB82-98A0E38F3FC4}"/>
            </c:ext>
          </c:extLst>
        </c:ser>
        <c:ser>
          <c:idx val="4"/>
          <c:order val="4"/>
          <c:tx>
            <c:strRef>
              <c:f>Utility_Avg!$V$61:$V$62</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D-90BB-4A82-BB82-98A0E38F3FC4}"/>
              </c:ext>
            </c:extLst>
          </c:dPt>
          <c:dLbls>
            <c:dLbl>
              <c:idx val="0"/>
              <c:tx>
                <c:rich>
                  <a:bodyPr/>
                  <a:lstStyle/>
                  <a:p>
                    <a:fld id="{EEF71536-718E-4D38-9C8E-7007E031C58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90BB-4A82-BB82-98A0E38F3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Utility_Avg!$V$63</c:f>
              <c:numCache>
                <c:formatCode>General</c:formatCode>
                <c:ptCount val="1"/>
                <c:pt idx="0">
                  <c:v>3.4210526315789473</c:v>
                </c:pt>
              </c:numCache>
            </c:numRef>
          </c:val>
          <c:extLst xmlns:c16r2="http://schemas.microsoft.com/office/drawing/2015/06/chart">
            <c:ext xmlns:c15="http://schemas.microsoft.com/office/drawing/2012/chart" uri="{02D57815-91ED-43cb-92C2-25804820EDAC}">
              <c15:datalabelsRange>
                <c15:f>Utility_Avg!$V$68</c15:f>
                <c15:dlblRangeCache>
                  <c:ptCount val="1"/>
                  <c:pt idx="0">
                    <c:v>3.42 (19)</c:v>
                  </c:pt>
                </c15:dlblRangeCache>
              </c15:datalabelsRange>
            </c:ext>
            <c:ext xmlns:c16="http://schemas.microsoft.com/office/drawing/2014/chart" uri="{C3380CC4-5D6E-409C-BE32-E72D297353CC}">
              <c16:uniqueId val="{0000000E-90BB-4A82-BB82-98A0E38F3FC4}"/>
            </c:ext>
          </c:extLst>
        </c:ser>
        <c:ser>
          <c:idx val="5"/>
          <c:order val="5"/>
          <c:tx>
            <c:strRef>
              <c:f>Utility_Avg!$W$61:$W$62</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0-90BB-4A82-BB82-98A0E38F3FC4}"/>
              </c:ext>
            </c:extLst>
          </c:dPt>
          <c:dLbls>
            <c:dLbl>
              <c:idx val="0"/>
              <c:tx>
                <c:rich>
                  <a:bodyPr/>
                  <a:lstStyle/>
                  <a:p>
                    <a:fld id="{E91A2DA8-DB4D-4423-88DB-C7E2F8F7543A}"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0-90BB-4A82-BB82-98A0E38F3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Utility_Avg!$W$63</c:f>
              <c:numCache>
                <c:formatCode>General</c:formatCode>
                <c:ptCount val="1"/>
                <c:pt idx="0">
                  <c:v>3.5714285714285716</c:v>
                </c:pt>
              </c:numCache>
            </c:numRef>
          </c:val>
          <c:extLst xmlns:c16r2="http://schemas.microsoft.com/office/drawing/2015/06/chart">
            <c:ext xmlns:c15="http://schemas.microsoft.com/office/drawing/2012/chart" uri="{02D57815-91ED-43cb-92C2-25804820EDAC}">
              <c15:datalabelsRange>
                <c15:f>Utility_Avg!$W$68</c15:f>
                <c15:dlblRangeCache>
                  <c:ptCount val="1"/>
                  <c:pt idx="0">
                    <c:v>3.57 (21)</c:v>
                  </c:pt>
                </c15:dlblRangeCache>
              </c15:datalabelsRange>
            </c:ext>
            <c:ext xmlns:c16="http://schemas.microsoft.com/office/drawing/2014/chart" uri="{C3380CC4-5D6E-409C-BE32-E72D297353CC}">
              <c16:uniqueId val="{00000011-90BB-4A82-BB82-98A0E38F3FC4}"/>
            </c:ext>
          </c:extLst>
        </c:ser>
        <c:dLbls>
          <c:dLblPos val="outEnd"/>
          <c:showLegendKey val="0"/>
          <c:showVal val="1"/>
          <c:showCatName val="0"/>
          <c:showSerName val="0"/>
          <c:showPercent val="0"/>
          <c:showBubbleSize val="0"/>
        </c:dLbls>
        <c:gapWidth val="182"/>
        <c:axId val="147634816"/>
        <c:axId val="147652992"/>
      </c:barChart>
      <c:catAx>
        <c:axId val="147634816"/>
        <c:scaling>
          <c:orientation val="minMax"/>
        </c:scaling>
        <c:delete val="1"/>
        <c:axPos val="l"/>
        <c:numFmt formatCode="General" sourceLinked="1"/>
        <c:majorTickMark val="none"/>
        <c:minorTickMark val="none"/>
        <c:tickLblPos val="nextTo"/>
        <c:crossAx val="147652992"/>
        <c:crosses val="autoZero"/>
        <c:auto val="1"/>
        <c:lblAlgn val="ctr"/>
        <c:lblOffset val="100"/>
        <c:noMultiLvlLbl val="0"/>
      </c:catAx>
      <c:valAx>
        <c:axId val="147652992"/>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34816"/>
        <c:crosses val="autoZero"/>
        <c:crossBetween val="between"/>
        <c:majorUnit val="1"/>
      </c:valAx>
      <c:spPr>
        <a:noFill/>
        <a:ln>
          <a:noFill/>
        </a:ln>
        <a:effectLst/>
      </c:spPr>
    </c:plotArea>
    <c:legend>
      <c:legendPos val="r"/>
      <c:layout>
        <c:manualLayout>
          <c:xMode val="edge"/>
          <c:yMode val="edge"/>
          <c:x val="0.68886907638650197"/>
          <c:y val="3.5628046494188229E-2"/>
          <c:w val="0.29783599784350023"/>
          <c:h val="0.960489938757655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Graphs_averages_final.xlsx]Sustainability_Avg!Tableau croisé dynamique4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8FD5BB-ADE7-4290-B23D-869A4B07F90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48FC43-A569-4E98-ACA5-E299EFAF77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C9E0B2-96DA-40E5-AE04-89835BAAA2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BA208-2980-488D-95C9-EE4D585497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8FD5BB-ADE7-4290-B23D-869A4B07F90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48FC43-A569-4E98-ACA5-E299EFAF77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C9E0B2-96DA-40E5-AE04-89835BAAA2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BA208-2980-488D-95C9-EE4D585497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8FD5BB-ADE7-4290-B23D-869A4B07F90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48FC43-A569-4E98-ACA5-E299EFAF77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C9E0B2-96DA-40E5-AE04-89835BAAA2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BA208-2980-488D-95C9-EE4D585497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Sustainability_Avg!$V$2:$V$3</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68DA-423F-904F-E1178E8B1986}"/>
              </c:ext>
            </c:extLst>
          </c:dPt>
          <c:dLbls>
            <c:dLbl>
              <c:idx val="0"/>
              <c:tx>
                <c:rich>
                  <a:bodyPr/>
                  <a:lstStyle/>
                  <a:p>
                    <a:fld id="{ADC1721B-9345-48B5-9EBB-D167990938F8}"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68DA-423F-904F-E1178E8B198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c:f>
              <c:strCache>
                <c:ptCount val="1"/>
                <c:pt idx="0">
                  <c:v>Total</c:v>
                </c:pt>
              </c:strCache>
            </c:strRef>
          </c:cat>
          <c:val>
            <c:numRef>
              <c:f>Sustainability_Avg!$V$4</c:f>
              <c:numCache>
                <c:formatCode>General</c:formatCode>
                <c:ptCount val="1"/>
                <c:pt idx="0">
                  <c:v>2.4444444444444446</c:v>
                </c:pt>
              </c:numCache>
            </c:numRef>
          </c:val>
          <c:extLst xmlns:c16r2="http://schemas.microsoft.com/office/drawing/2015/06/chart">
            <c:ext xmlns:c15="http://schemas.microsoft.com/office/drawing/2012/chart" uri="{02D57815-91ED-43cb-92C2-25804820EDAC}">
              <c15:datalabelsRange>
                <c15:f>Sustainability_Avg!$V$9</c15:f>
                <c15:dlblRangeCache>
                  <c:ptCount val="1"/>
                  <c:pt idx="0">
                    <c:v>2.44 (9)</c:v>
                  </c:pt>
                </c15:dlblRangeCache>
              </c15:datalabelsRange>
            </c:ext>
            <c:ext xmlns:c16="http://schemas.microsoft.com/office/drawing/2014/chart" uri="{C3380CC4-5D6E-409C-BE32-E72D297353CC}">
              <c16:uniqueId val="{00000001-68DA-423F-904F-E1178E8B1986}"/>
            </c:ext>
          </c:extLst>
        </c:ser>
        <c:ser>
          <c:idx val="1"/>
          <c:order val="1"/>
          <c:tx>
            <c:strRef>
              <c:f>Sustainability_Avg!$W$2:$W$3</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2-68DA-423F-904F-E1178E8B1986}"/>
              </c:ext>
            </c:extLst>
          </c:dPt>
          <c:dLbls>
            <c:dLbl>
              <c:idx val="0"/>
              <c:tx>
                <c:rich>
                  <a:bodyPr/>
                  <a:lstStyle/>
                  <a:p>
                    <a:fld id="{D390DF86-27B9-4E42-A63F-C97486140A1D}"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68DA-423F-904F-E1178E8B198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c:f>
              <c:strCache>
                <c:ptCount val="1"/>
                <c:pt idx="0">
                  <c:v>Total</c:v>
                </c:pt>
              </c:strCache>
            </c:strRef>
          </c:cat>
          <c:val>
            <c:numRef>
              <c:f>Sustainability_Avg!$W$4</c:f>
              <c:numCache>
                <c:formatCode>General</c:formatCode>
                <c:ptCount val="1"/>
                <c:pt idx="0">
                  <c:v>3.0857142857142859</c:v>
                </c:pt>
              </c:numCache>
            </c:numRef>
          </c:val>
          <c:extLst xmlns:c16r2="http://schemas.microsoft.com/office/drawing/2015/06/chart">
            <c:ext xmlns:c15="http://schemas.microsoft.com/office/drawing/2012/chart" uri="{02D57815-91ED-43cb-92C2-25804820EDAC}">
              <c15:datalabelsRange>
                <c15:f>Sustainability_Avg!$W$9</c15:f>
                <c15:dlblRangeCache>
                  <c:ptCount val="1"/>
                  <c:pt idx="0">
                    <c:v>3.09 (35)</c:v>
                  </c:pt>
                </c15:dlblRangeCache>
              </c15:datalabelsRange>
            </c:ext>
            <c:ext xmlns:c16="http://schemas.microsoft.com/office/drawing/2014/chart" uri="{C3380CC4-5D6E-409C-BE32-E72D297353CC}">
              <c16:uniqueId val="{00000003-68DA-423F-904F-E1178E8B1986}"/>
            </c:ext>
          </c:extLst>
        </c:ser>
        <c:ser>
          <c:idx val="2"/>
          <c:order val="2"/>
          <c:tx>
            <c:strRef>
              <c:f>Sustainability_Avg!$X$2:$X$3</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68DA-423F-904F-E1178E8B1986}"/>
              </c:ext>
            </c:extLst>
          </c:dPt>
          <c:dLbls>
            <c:dLbl>
              <c:idx val="0"/>
              <c:tx>
                <c:rich>
                  <a:bodyPr/>
                  <a:lstStyle/>
                  <a:p>
                    <a:fld id="{84FB66E5-ABF9-41CC-B1E6-FC54EFB0800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68DA-423F-904F-E1178E8B198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c:f>
              <c:strCache>
                <c:ptCount val="1"/>
                <c:pt idx="0">
                  <c:v>Total</c:v>
                </c:pt>
              </c:strCache>
            </c:strRef>
          </c:cat>
          <c:val>
            <c:numRef>
              <c:f>Sustainability_Avg!$X$4</c:f>
              <c:numCache>
                <c:formatCode>General</c:formatCode>
                <c:ptCount val="1"/>
                <c:pt idx="0">
                  <c:v>3.1764705882352939</c:v>
                </c:pt>
              </c:numCache>
            </c:numRef>
          </c:val>
          <c:extLst xmlns:c16r2="http://schemas.microsoft.com/office/drawing/2015/06/chart">
            <c:ext xmlns:c15="http://schemas.microsoft.com/office/drawing/2012/chart" uri="{02D57815-91ED-43cb-92C2-25804820EDAC}">
              <c15:datalabelsRange>
                <c15:f>Sustainability_Avg!$X$9</c15:f>
                <c15:dlblRangeCache>
                  <c:ptCount val="1"/>
                  <c:pt idx="0">
                    <c:v>3.18 (17)</c:v>
                  </c:pt>
                </c15:dlblRangeCache>
              </c15:datalabelsRange>
            </c:ext>
            <c:ext xmlns:c16="http://schemas.microsoft.com/office/drawing/2014/chart" uri="{C3380CC4-5D6E-409C-BE32-E72D297353CC}">
              <c16:uniqueId val="{00000005-68DA-423F-904F-E1178E8B1986}"/>
            </c:ext>
          </c:extLst>
        </c:ser>
        <c:ser>
          <c:idx val="3"/>
          <c:order val="3"/>
          <c:tx>
            <c:strRef>
              <c:f>Sustainability_Avg!$Y$2:$Y$3</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6-68DA-423F-904F-E1178E8B1986}"/>
              </c:ext>
            </c:extLst>
          </c:dPt>
          <c:dLbls>
            <c:dLbl>
              <c:idx val="0"/>
              <c:tx>
                <c:rich>
                  <a:bodyPr/>
                  <a:lstStyle/>
                  <a:p>
                    <a:fld id="{76B10A97-FFEB-45CF-9EA7-DF54C08935B3}"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68DA-423F-904F-E1178E8B198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c:f>
              <c:strCache>
                <c:ptCount val="1"/>
                <c:pt idx="0">
                  <c:v>Total</c:v>
                </c:pt>
              </c:strCache>
            </c:strRef>
          </c:cat>
          <c:val>
            <c:numRef>
              <c:f>Sustainability_Avg!$Y$4</c:f>
              <c:numCache>
                <c:formatCode>General</c:formatCode>
                <c:ptCount val="1"/>
                <c:pt idx="0">
                  <c:v>3.3043478260869565</c:v>
                </c:pt>
              </c:numCache>
            </c:numRef>
          </c:val>
          <c:extLst xmlns:c16r2="http://schemas.microsoft.com/office/drawing/2015/06/chart">
            <c:ext xmlns:c15="http://schemas.microsoft.com/office/drawing/2012/chart" uri="{02D57815-91ED-43cb-92C2-25804820EDAC}">
              <c15:datalabelsRange>
                <c15:f>Sustainability_Avg!$Y$9</c15:f>
                <c15:dlblRangeCache>
                  <c:ptCount val="1"/>
                  <c:pt idx="0">
                    <c:v>3.30 (23)</c:v>
                  </c:pt>
                </c15:dlblRangeCache>
              </c15:datalabelsRange>
            </c:ext>
            <c:ext xmlns:c16="http://schemas.microsoft.com/office/drawing/2014/chart" uri="{C3380CC4-5D6E-409C-BE32-E72D297353CC}">
              <c16:uniqueId val="{00000007-68DA-423F-904F-E1178E8B1986}"/>
            </c:ext>
          </c:extLst>
        </c:ser>
        <c:dLbls>
          <c:dLblPos val="outEnd"/>
          <c:showLegendKey val="0"/>
          <c:showVal val="1"/>
          <c:showCatName val="0"/>
          <c:showSerName val="0"/>
          <c:showPercent val="0"/>
          <c:showBubbleSize val="0"/>
        </c:dLbls>
        <c:gapWidth val="182"/>
        <c:axId val="178258304"/>
        <c:axId val="178259840"/>
      </c:barChart>
      <c:catAx>
        <c:axId val="178258304"/>
        <c:scaling>
          <c:orientation val="minMax"/>
        </c:scaling>
        <c:delete val="1"/>
        <c:axPos val="l"/>
        <c:numFmt formatCode="General" sourceLinked="1"/>
        <c:majorTickMark val="none"/>
        <c:minorTickMark val="none"/>
        <c:tickLblPos val="nextTo"/>
        <c:crossAx val="178259840"/>
        <c:crosses val="autoZero"/>
        <c:auto val="1"/>
        <c:lblAlgn val="ctr"/>
        <c:lblOffset val="100"/>
        <c:noMultiLvlLbl val="0"/>
      </c:catAx>
      <c:valAx>
        <c:axId val="178259840"/>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78258304"/>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Graphs_averages_final.xlsx]Sustainability_Avg!Tableau croisé dynamique5</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84FBCD-659F-45BA-9634-431102F60C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CB2009-DB1D-41CF-BCC0-E5F89BB020D7}"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BEC725-C2FB-43C3-9B9B-F6AACF98FE43}"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A6024C-9CAE-44A5-B940-25262C6B9B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C71FBB1-0351-4150-B15D-4195D597B41E}"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ECECA7-ACC9-450B-AD66-3E481146D406}"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F97509-2120-4A11-BD12-A16C891C1E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C7BBB8-1F18-40B8-A6D7-1708250C11E0}"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03DBB5-FE22-42D6-B1FE-6027DA6586B1}"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FB799B-BA7F-441F-BCE3-5AA159A97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260C4E4-22B9-4BFE-AD5B-C66E9688C4B0}"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12AE8E-C32E-4DCA-8782-2ED06D7D925D}"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84FBCD-659F-45BA-9634-431102F60C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F23398-9EE1-46FE-97D1-A30FD005F5CD}"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CB77C3-AF8F-49DE-A33E-5DD1032DD2B6}"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A6024C-9CAE-44A5-B940-25262C6B9B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21C8E4B-6B81-4648-9385-0F0D3A8BF40D}"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90F4B0-E008-40FB-8C55-0DF0384F129C}"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F97509-2120-4A11-BD12-A16C891C1E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B6334F9-63F4-4687-97F6-0CD28B730F77}"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A6159B-01FE-40C2-8610-CAC314B22075}"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FB799B-BA7F-441F-BCE3-5AA159A97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E26C2F-737A-4EB8-82AD-D25243CEA6E7}"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0750F3-D379-47AF-A55F-E8F06FA55226}"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84FBCD-659F-45BA-9634-431102F60C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11D819-4985-4B2B-8E06-752A56B3551B}"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35263D-70EB-40AF-8522-AC00897397C2}"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A6024C-9CAE-44A5-B940-25262C6B9B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65A1B1-147F-4D92-AA8D-B461707A6CA5}"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FE80FC1-098C-4DF9-8A11-ABE996BEE243}"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F97509-2120-4A11-BD12-A16C891C1E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A55789-B3B2-4ACF-BAFA-849B6A8DA3DF}"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8B8A33-842C-494B-9EC1-E583DDBB68DB}"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FB799B-BA7F-441F-BCE3-5AA159A97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EEE7992-96C3-43F3-9CB2-77B7DD065B70}"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31BF0C-307F-431B-8B9B-DAA9F612A4A2}"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manualLayout>
          <c:layoutTarget val="inner"/>
          <c:xMode val="edge"/>
          <c:yMode val="edge"/>
          <c:x val="0.11731515778564462"/>
          <c:y val="3.5138156843954639E-2"/>
          <c:w val="0.78841823533414401"/>
          <c:h val="0.68184247692565025"/>
        </c:manualLayout>
      </c:layout>
      <c:barChart>
        <c:barDir val="bar"/>
        <c:grouping val="clustered"/>
        <c:varyColors val="0"/>
        <c:ser>
          <c:idx val="0"/>
          <c:order val="0"/>
          <c:tx>
            <c:strRef>
              <c:f>Sustainability_Avg!$V$12:$V$13</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4738-4C3B-83C1-96C332691DF3}"/>
              </c:ext>
            </c:extLst>
          </c:dPt>
          <c:dPt>
            <c:idx val="1"/>
            <c:invertIfNegative val="0"/>
            <c:bubble3D val="0"/>
            <c:extLst xmlns:c16r2="http://schemas.microsoft.com/office/drawing/2015/06/chart">
              <c:ext xmlns:c16="http://schemas.microsoft.com/office/drawing/2014/chart" uri="{C3380CC4-5D6E-409C-BE32-E72D297353CC}">
                <c16:uniqueId val="{00000001-4738-4C3B-83C1-96C332691DF3}"/>
              </c:ext>
            </c:extLst>
          </c:dPt>
          <c:dPt>
            <c:idx val="2"/>
            <c:invertIfNegative val="0"/>
            <c:bubble3D val="0"/>
            <c:extLst xmlns:c16r2="http://schemas.microsoft.com/office/drawing/2015/06/chart">
              <c:ext xmlns:c16="http://schemas.microsoft.com/office/drawing/2014/chart" uri="{C3380CC4-5D6E-409C-BE32-E72D297353CC}">
                <c16:uniqueId val="{00000002-4738-4C3B-83C1-96C332691DF3}"/>
              </c:ext>
            </c:extLst>
          </c:dPt>
          <c:dLbls>
            <c:dLbl>
              <c:idx val="0"/>
              <c:layout>
                <c:manualLayout>
                  <c:x val="-2.2158209616662972E-3"/>
                  <c:y val="3.1943778949048503E-3"/>
                </c:manualLayout>
              </c:layout>
              <c:tx>
                <c:rich>
                  <a:bodyPr/>
                  <a:lstStyle/>
                  <a:p>
                    <a:fld id="{D3B4A381-5CDB-4064-8BD2-D150C784FA8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4738-4C3B-83C1-96C332691DF3}"/>
                </c:ext>
              </c:extLst>
            </c:dLbl>
            <c:dLbl>
              <c:idx val="1"/>
              <c:tx>
                <c:rich>
                  <a:bodyPr/>
                  <a:lstStyle/>
                  <a:p>
                    <a:fld id="{DBE0B8C1-268D-4324-A817-651465ACC3C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4738-4C3B-83C1-96C332691DF3}"/>
                </c:ext>
              </c:extLst>
            </c:dLbl>
            <c:dLbl>
              <c:idx val="2"/>
              <c:tx>
                <c:rich>
                  <a:bodyPr/>
                  <a:lstStyle/>
                  <a:p>
                    <a:fld id="{1DD9D7F3-2721-4312-B693-5AED5656D99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4738-4C3B-83C1-96C332691D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Sustainability_Avg!$U$14:$U$17</c:f>
              <c:strCache>
                <c:ptCount val="3"/>
                <c:pt idx="0">
                  <c:v>Other</c:v>
                </c:pt>
                <c:pt idx="1">
                  <c:v>Technical and operational support needed</c:v>
                </c:pt>
                <c:pt idx="2">
                  <c:v>Operation and maintenance costs to be covered</c:v>
                </c:pt>
              </c:strCache>
            </c:strRef>
          </c:cat>
          <c:val>
            <c:numRef>
              <c:f>Sustainability_Avg!$V$14:$V$17</c:f>
              <c:numCache>
                <c:formatCode>General</c:formatCode>
                <c:ptCount val="3"/>
                <c:pt idx="0">
                  <c:v>4.75</c:v>
                </c:pt>
                <c:pt idx="1">
                  <c:v>3.625</c:v>
                </c:pt>
                <c:pt idx="2">
                  <c:v>3</c:v>
                </c:pt>
              </c:numCache>
            </c:numRef>
          </c:val>
          <c:extLst xmlns:c16r2="http://schemas.microsoft.com/office/drawing/2015/06/chart">
            <c:ext xmlns:c15="http://schemas.microsoft.com/office/drawing/2012/chart" uri="{02D57815-91ED-43cb-92C2-25804820EDAC}">
              <c15:datalabelsRange>
                <c15:f>Sustainability_Avg!$V$25:$V$27</c15:f>
                <c15:dlblRangeCache>
                  <c:ptCount val="3"/>
                  <c:pt idx="0">
                    <c:v>4.75 (4)</c:v>
                  </c:pt>
                  <c:pt idx="1">
                    <c:v>3.63 (8)</c:v>
                  </c:pt>
                  <c:pt idx="2">
                    <c:v>3.00 (8)</c:v>
                  </c:pt>
                </c15:dlblRangeCache>
              </c15:datalabelsRange>
            </c:ext>
            <c:ext xmlns:c16="http://schemas.microsoft.com/office/drawing/2014/chart" uri="{C3380CC4-5D6E-409C-BE32-E72D297353CC}">
              <c16:uniqueId val="{00000003-4738-4C3B-83C1-96C332691DF3}"/>
            </c:ext>
          </c:extLst>
        </c:ser>
        <c:ser>
          <c:idx val="1"/>
          <c:order val="1"/>
          <c:tx>
            <c:strRef>
              <c:f>Sustainability_Avg!$W$12:$W$13</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4738-4C3B-83C1-96C332691DF3}"/>
              </c:ext>
            </c:extLst>
          </c:dPt>
          <c:dPt>
            <c:idx val="1"/>
            <c:invertIfNegative val="0"/>
            <c:bubble3D val="0"/>
            <c:extLst xmlns:c16r2="http://schemas.microsoft.com/office/drawing/2015/06/chart">
              <c:ext xmlns:c16="http://schemas.microsoft.com/office/drawing/2014/chart" uri="{C3380CC4-5D6E-409C-BE32-E72D297353CC}">
                <c16:uniqueId val="{00000005-4738-4C3B-83C1-96C332691DF3}"/>
              </c:ext>
            </c:extLst>
          </c:dPt>
          <c:dPt>
            <c:idx val="2"/>
            <c:invertIfNegative val="0"/>
            <c:bubble3D val="0"/>
            <c:extLst xmlns:c16r2="http://schemas.microsoft.com/office/drawing/2015/06/chart">
              <c:ext xmlns:c16="http://schemas.microsoft.com/office/drawing/2014/chart" uri="{C3380CC4-5D6E-409C-BE32-E72D297353CC}">
                <c16:uniqueId val="{00000006-4738-4C3B-83C1-96C332691DF3}"/>
              </c:ext>
            </c:extLst>
          </c:dPt>
          <c:dLbls>
            <c:dLbl>
              <c:idx val="0"/>
              <c:tx>
                <c:rich>
                  <a:bodyPr/>
                  <a:lstStyle/>
                  <a:p>
                    <a:fld id="{134E4CA0-9109-47F4-BB3C-2B25C1B0BFAF}"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4738-4C3B-83C1-96C332691DF3}"/>
                </c:ext>
              </c:extLst>
            </c:dLbl>
            <c:dLbl>
              <c:idx val="1"/>
              <c:tx>
                <c:rich>
                  <a:bodyPr/>
                  <a:lstStyle/>
                  <a:p>
                    <a:fld id="{F64801B4-DE3D-4F94-AD16-7AEF3E86117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4738-4C3B-83C1-96C332691DF3}"/>
                </c:ext>
              </c:extLst>
            </c:dLbl>
            <c:dLbl>
              <c:idx val="2"/>
              <c:tx>
                <c:rich>
                  <a:bodyPr/>
                  <a:lstStyle/>
                  <a:p>
                    <a:fld id="{83B3703D-5888-4EE0-ACF0-3939DE0C99F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4738-4C3B-83C1-96C332691D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Sustainability_Avg!$U$14:$U$17</c:f>
              <c:strCache>
                <c:ptCount val="3"/>
                <c:pt idx="0">
                  <c:v>Other</c:v>
                </c:pt>
                <c:pt idx="1">
                  <c:v>Technical and operational support needed</c:v>
                </c:pt>
                <c:pt idx="2">
                  <c:v>Operation and maintenance costs to be covered</c:v>
                </c:pt>
              </c:strCache>
            </c:strRef>
          </c:cat>
          <c:val>
            <c:numRef>
              <c:f>Sustainability_Avg!$W$14:$W$17</c:f>
              <c:numCache>
                <c:formatCode>General</c:formatCode>
                <c:ptCount val="3"/>
                <c:pt idx="0">
                  <c:v>3.7272727272727271</c:v>
                </c:pt>
                <c:pt idx="1">
                  <c:v>3.6052631578947367</c:v>
                </c:pt>
                <c:pt idx="2">
                  <c:v>3.8461538461538463</c:v>
                </c:pt>
              </c:numCache>
            </c:numRef>
          </c:val>
          <c:extLst xmlns:c16r2="http://schemas.microsoft.com/office/drawing/2015/06/chart">
            <c:ext xmlns:c15="http://schemas.microsoft.com/office/drawing/2012/chart" uri="{02D57815-91ED-43cb-92C2-25804820EDAC}">
              <c15:datalabelsRange>
                <c15:f>Sustainability_Avg!$W$25:$W$27</c15:f>
                <c15:dlblRangeCache>
                  <c:ptCount val="3"/>
                  <c:pt idx="0">
                    <c:v>3.73 (11)</c:v>
                  </c:pt>
                  <c:pt idx="1">
                    <c:v>3.61 (38)</c:v>
                  </c:pt>
                  <c:pt idx="2">
                    <c:v>3.85 (39)</c:v>
                  </c:pt>
                </c15:dlblRangeCache>
              </c15:datalabelsRange>
            </c:ext>
            <c:ext xmlns:c16="http://schemas.microsoft.com/office/drawing/2014/chart" uri="{C3380CC4-5D6E-409C-BE32-E72D297353CC}">
              <c16:uniqueId val="{00000007-4738-4C3B-83C1-96C332691DF3}"/>
            </c:ext>
          </c:extLst>
        </c:ser>
        <c:ser>
          <c:idx val="2"/>
          <c:order val="2"/>
          <c:tx>
            <c:strRef>
              <c:f>Sustainability_Avg!$X$12:$X$13</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8-4738-4C3B-83C1-96C332691DF3}"/>
              </c:ext>
            </c:extLst>
          </c:dPt>
          <c:dPt>
            <c:idx val="1"/>
            <c:invertIfNegative val="0"/>
            <c:bubble3D val="0"/>
            <c:extLst xmlns:c16r2="http://schemas.microsoft.com/office/drawing/2015/06/chart">
              <c:ext xmlns:c16="http://schemas.microsoft.com/office/drawing/2014/chart" uri="{C3380CC4-5D6E-409C-BE32-E72D297353CC}">
                <c16:uniqueId val="{00000009-4738-4C3B-83C1-96C332691DF3}"/>
              </c:ext>
            </c:extLst>
          </c:dPt>
          <c:dPt>
            <c:idx val="2"/>
            <c:invertIfNegative val="0"/>
            <c:bubble3D val="0"/>
            <c:extLst xmlns:c16r2="http://schemas.microsoft.com/office/drawing/2015/06/chart">
              <c:ext xmlns:c16="http://schemas.microsoft.com/office/drawing/2014/chart" uri="{C3380CC4-5D6E-409C-BE32-E72D297353CC}">
                <c16:uniqueId val="{0000000A-4738-4C3B-83C1-96C332691DF3}"/>
              </c:ext>
            </c:extLst>
          </c:dPt>
          <c:dLbls>
            <c:dLbl>
              <c:idx val="0"/>
              <c:tx>
                <c:rich>
                  <a:bodyPr/>
                  <a:lstStyle/>
                  <a:p>
                    <a:fld id="{0D0D6BB1-F85E-491C-9743-DB63FD8065A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4738-4C3B-83C1-96C332691DF3}"/>
                </c:ext>
              </c:extLst>
            </c:dLbl>
            <c:dLbl>
              <c:idx val="1"/>
              <c:tx>
                <c:rich>
                  <a:bodyPr/>
                  <a:lstStyle/>
                  <a:p>
                    <a:fld id="{428878D8-5AC8-4637-9314-3BA805598CC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4738-4C3B-83C1-96C332691DF3}"/>
                </c:ext>
              </c:extLst>
            </c:dLbl>
            <c:dLbl>
              <c:idx val="2"/>
              <c:tx>
                <c:rich>
                  <a:bodyPr/>
                  <a:lstStyle/>
                  <a:p>
                    <a:fld id="{6B0095B4-5C73-4799-9A08-477DDB4E631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4738-4C3B-83C1-96C332691D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Sustainability_Avg!$U$14:$U$17</c:f>
              <c:strCache>
                <c:ptCount val="3"/>
                <c:pt idx="0">
                  <c:v>Other</c:v>
                </c:pt>
                <c:pt idx="1">
                  <c:v>Technical and operational support needed</c:v>
                </c:pt>
                <c:pt idx="2">
                  <c:v>Operation and maintenance costs to be covered</c:v>
                </c:pt>
              </c:strCache>
            </c:strRef>
          </c:cat>
          <c:val>
            <c:numRef>
              <c:f>Sustainability_Avg!$X$14:$X$17</c:f>
              <c:numCache>
                <c:formatCode>General</c:formatCode>
                <c:ptCount val="3"/>
                <c:pt idx="0">
                  <c:v>3.8333333333333335</c:v>
                </c:pt>
                <c:pt idx="1">
                  <c:v>3.4705882352941178</c:v>
                </c:pt>
                <c:pt idx="2">
                  <c:v>3.8125</c:v>
                </c:pt>
              </c:numCache>
            </c:numRef>
          </c:val>
          <c:extLst xmlns:c16r2="http://schemas.microsoft.com/office/drawing/2015/06/chart">
            <c:ext xmlns:c15="http://schemas.microsoft.com/office/drawing/2012/chart" uri="{02D57815-91ED-43cb-92C2-25804820EDAC}">
              <c15:datalabelsRange>
                <c15:f>Sustainability_Avg!$X$25:$X$27</c15:f>
                <c15:dlblRangeCache>
                  <c:ptCount val="3"/>
                  <c:pt idx="0">
                    <c:v>3.83 (6)</c:v>
                  </c:pt>
                  <c:pt idx="1">
                    <c:v>3.47 (17)</c:v>
                  </c:pt>
                  <c:pt idx="2">
                    <c:v>3.81 (16)</c:v>
                  </c:pt>
                </c15:dlblRangeCache>
              </c15:datalabelsRange>
            </c:ext>
            <c:ext xmlns:c16="http://schemas.microsoft.com/office/drawing/2014/chart" uri="{C3380CC4-5D6E-409C-BE32-E72D297353CC}">
              <c16:uniqueId val="{0000000B-4738-4C3B-83C1-96C332691DF3}"/>
            </c:ext>
          </c:extLst>
        </c:ser>
        <c:ser>
          <c:idx val="3"/>
          <c:order val="3"/>
          <c:tx>
            <c:strRef>
              <c:f>Sustainability_Avg!$Y$12:$Y$13</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C-4738-4C3B-83C1-96C332691DF3}"/>
              </c:ext>
            </c:extLst>
          </c:dPt>
          <c:dPt>
            <c:idx val="1"/>
            <c:invertIfNegative val="0"/>
            <c:bubble3D val="0"/>
            <c:extLst xmlns:c16r2="http://schemas.microsoft.com/office/drawing/2015/06/chart">
              <c:ext xmlns:c16="http://schemas.microsoft.com/office/drawing/2014/chart" uri="{C3380CC4-5D6E-409C-BE32-E72D297353CC}">
                <c16:uniqueId val="{0000000D-4738-4C3B-83C1-96C332691DF3}"/>
              </c:ext>
            </c:extLst>
          </c:dPt>
          <c:dPt>
            <c:idx val="2"/>
            <c:invertIfNegative val="0"/>
            <c:bubble3D val="0"/>
            <c:extLst xmlns:c16r2="http://schemas.microsoft.com/office/drawing/2015/06/chart">
              <c:ext xmlns:c16="http://schemas.microsoft.com/office/drawing/2014/chart" uri="{C3380CC4-5D6E-409C-BE32-E72D297353CC}">
                <c16:uniqueId val="{0000000E-4738-4C3B-83C1-96C332691DF3}"/>
              </c:ext>
            </c:extLst>
          </c:dPt>
          <c:dLbls>
            <c:dLbl>
              <c:idx val="0"/>
              <c:tx>
                <c:rich>
                  <a:bodyPr/>
                  <a:lstStyle/>
                  <a:p>
                    <a:fld id="{B18F4696-DDAA-4D31-BDE0-B15D4AE7557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C-4738-4C3B-83C1-96C332691DF3}"/>
                </c:ext>
              </c:extLst>
            </c:dLbl>
            <c:dLbl>
              <c:idx val="1"/>
              <c:tx>
                <c:rich>
                  <a:bodyPr/>
                  <a:lstStyle/>
                  <a:p>
                    <a:fld id="{9C60B645-E45A-48CF-965A-EA01D137200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4738-4C3B-83C1-96C332691DF3}"/>
                </c:ext>
              </c:extLst>
            </c:dLbl>
            <c:dLbl>
              <c:idx val="2"/>
              <c:tx>
                <c:rich>
                  <a:bodyPr/>
                  <a:lstStyle/>
                  <a:p>
                    <a:fld id="{FC9AFC0F-58A8-4A83-AC8E-92D9485DB22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4738-4C3B-83C1-96C332691D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Sustainability_Avg!$U$14:$U$17</c:f>
              <c:strCache>
                <c:ptCount val="3"/>
                <c:pt idx="0">
                  <c:v>Other</c:v>
                </c:pt>
                <c:pt idx="1">
                  <c:v>Technical and operational support needed</c:v>
                </c:pt>
                <c:pt idx="2">
                  <c:v>Operation and maintenance costs to be covered</c:v>
                </c:pt>
              </c:strCache>
            </c:strRef>
          </c:cat>
          <c:val>
            <c:numRef>
              <c:f>Sustainability_Avg!$Y$14:$Y$17</c:f>
              <c:numCache>
                <c:formatCode>General</c:formatCode>
                <c:ptCount val="3"/>
                <c:pt idx="0">
                  <c:v>4.333333333333333</c:v>
                </c:pt>
                <c:pt idx="1">
                  <c:v>3.6363636363636362</c:v>
                </c:pt>
                <c:pt idx="2">
                  <c:v>3.7272727272727271</c:v>
                </c:pt>
              </c:numCache>
            </c:numRef>
          </c:val>
          <c:extLst xmlns:c16r2="http://schemas.microsoft.com/office/drawing/2015/06/chart">
            <c:ext xmlns:c15="http://schemas.microsoft.com/office/drawing/2012/chart" uri="{02D57815-91ED-43cb-92C2-25804820EDAC}">
              <c15:datalabelsRange>
                <c15:f>Sustainability_Avg!$Y$25:$Y$27</c15:f>
                <c15:dlblRangeCache>
                  <c:ptCount val="3"/>
                  <c:pt idx="0">
                    <c:v>4.33 (3)</c:v>
                  </c:pt>
                  <c:pt idx="1">
                    <c:v>3.64 (22)</c:v>
                  </c:pt>
                  <c:pt idx="2">
                    <c:v>3.73 (22)</c:v>
                  </c:pt>
                </c15:dlblRangeCache>
              </c15:datalabelsRange>
            </c:ext>
            <c:ext xmlns:c16="http://schemas.microsoft.com/office/drawing/2014/chart" uri="{C3380CC4-5D6E-409C-BE32-E72D297353CC}">
              <c16:uniqueId val="{0000000F-4738-4C3B-83C1-96C332691DF3}"/>
            </c:ext>
          </c:extLst>
        </c:ser>
        <c:dLbls>
          <c:dLblPos val="outEnd"/>
          <c:showLegendKey val="0"/>
          <c:showVal val="1"/>
          <c:showCatName val="0"/>
          <c:showSerName val="0"/>
          <c:showPercent val="0"/>
          <c:showBubbleSize val="0"/>
        </c:dLbls>
        <c:gapWidth val="182"/>
        <c:axId val="179625984"/>
        <c:axId val="179627520"/>
      </c:barChart>
      <c:catAx>
        <c:axId val="17962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79627520"/>
        <c:crosses val="autoZero"/>
        <c:auto val="1"/>
        <c:lblAlgn val="ctr"/>
        <c:lblOffset val="100"/>
        <c:noMultiLvlLbl val="0"/>
      </c:catAx>
      <c:valAx>
        <c:axId val="179627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796259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Graphs_averages_final.xlsx]Sustainability_Avg!PivotTable1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B457426-3A5D-4649-9C9A-9ADE23A5D07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A508EA4-F23B-43C1-B78E-8DC5D78095C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0D32DC-2220-4ECF-9FA0-AA6310374BE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880F142-2931-4B32-9173-EAAD4B6327C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B457426-3A5D-4649-9C9A-9ADE23A5D07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A508EA4-F23B-43C1-B78E-8DC5D78095C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0D32DC-2220-4ECF-9FA0-AA6310374BE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880F142-2931-4B32-9173-EAAD4B6327C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62AD0FB-0E57-471D-921F-D3CC1FD4AB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446F979-7ED5-4691-8D86-ECD2E02E48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1F4DD1-5771-4192-8158-9113C61583B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3EFA630-C501-4C20-996F-97A64A95FC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62AD0FB-0E57-471D-921F-D3CC1FD4AB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446F979-7ED5-4691-8D86-ECD2E02E48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1F4DD1-5771-4192-8158-9113C61583B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3EFA630-C501-4C20-996F-97A64A95FC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62AD0FB-0E57-471D-921F-D3CC1FD4AB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446F979-7ED5-4691-8D86-ECD2E02E48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1F4DD1-5771-4192-8158-9113C61583B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3EFA630-C501-4C20-996F-97A64A95FC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Sustainability_Avg!$V$44:$V$45</c:f>
              <c:strCache>
                <c:ptCount val="1"/>
                <c:pt idx="0">
                  <c:v>Stakeholders responsible for linked EU policies initiatives</c:v>
                </c:pt>
              </c:strCache>
            </c:strRef>
          </c:tx>
          <c:spPr>
            <a:solidFill>
              <a:schemeClr val="accent3"/>
            </a:solidFill>
            <a:ln>
              <a:noFill/>
            </a:ln>
            <a:effectLst/>
          </c:spPr>
          <c:invertIfNegative val="0"/>
          <c:dLbls>
            <c:dLbl>
              <c:idx val="0"/>
              <c:tx>
                <c:rich>
                  <a:bodyPr/>
                  <a:lstStyle/>
                  <a:p>
                    <a:fld id="{06D35D45-D6E5-4F4D-A624-8B97A87BB95F}"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00AA-4BF0-8377-50C64C9F07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Sustainability_Avg!$U$46</c:f>
              <c:strCache>
                <c:ptCount val="1"/>
                <c:pt idx="0">
                  <c:v>Total</c:v>
                </c:pt>
              </c:strCache>
            </c:strRef>
          </c:cat>
          <c:val>
            <c:numRef>
              <c:f>Sustainability_Avg!$V$46</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Sustainability_Avg!$V$54</c15:f>
                <c15:dlblRangeCache>
                  <c:ptCount val="1"/>
                  <c:pt idx="0">
                    <c:v>3.00 </c:v>
                  </c:pt>
                </c15:dlblRangeCache>
              </c15:datalabelsRange>
            </c:ext>
            <c:ext xmlns:c16="http://schemas.microsoft.com/office/drawing/2014/chart" uri="{C3380CC4-5D6E-409C-BE32-E72D297353CC}">
              <c16:uniqueId val="{00000001-00AA-4BF0-8377-50C64C9F0757}"/>
            </c:ext>
          </c:extLst>
        </c:ser>
        <c:ser>
          <c:idx val="1"/>
          <c:order val="1"/>
          <c:tx>
            <c:strRef>
              <c:f>Sustainability_Avg!$W$44:$W$45</c:f>
              <c:strCache>
                <c:ptCount val="1"/>
                <c:pt idx="0">
                  <c:v>Solution users</c:v>
                </c:pt>
              </c:strCache>
            </c:strRef>
          </c:tx>
          <c:spPr>
            <a:solidFill>
              <a:schemeClr val="accent4"/>
            </a:solidFill>
            <a:ln>
              <a:noFill/>
            </a:ln>
            <a:effectLst/>
          </c:spPr>
          <c:invertIfNegative val="0"/>
          <c:dLbls>
            <c:dLbl>
              <c:idx val="0"/>
              <c:tx>
                <c:rich>
                  <a:bodyPr/>
                  <a:lstStyle/>
                  <a:p>
                    <a:fld id="{6A10AE37-30FF-4115-8573-085C161A41F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00AA-4BF0-8377-50C64C9F07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Sustainability_Avg!$U$46</c:f>
              <c:strCache>
                <c:ptCount val="1"/>
                <c:pt idx="0">
                  <c:v>Total</c:v>
                </c:pt>
              </c:strCache>
            </c:strRef>
          </c:cat>
          <c:val>
            <c:numRef>
              <c:f>Sustainability_Avg!$W$46</c:f>
              <c:numCache>
                <c:formatCode>General</c:formatCode>
                <c:ptCount val="1"/>
                <c:pt idx="0">
                  <c:v>3.2222222222222223</c:v>
                </c:pt>
              </c:numCache>
            </c:numRef>
          </c:val>
          <c:extLst xmlns:c16r2="http://schemas.microsoft.com/office/drawing/2015/06/chart">
            <c:ext xmlns:c15="http://schemas.microsoft.com/office/drawing/2012/chart" uri="{02D57815-91ED-43cb-92C2-25804820EDAC}">
              <c15:datalabelsRange>
                <c15:f>Sustainability_Avg!$W$54</c15:f>
                <c15:dlblRangeCache>
                  <c:ptCount val="1"/>
                  <c:pt idx="0">
                    <c:v>3.22 </c:v>
                  </c:pt>
                </c15:dlblRangeCache>
              </c15:datalabelsRange>
            </c:ext>
            <c:ext xmlns:c16="http://schemas.microsoft.com/office/drawing/2014/chart" uri="{C3380CC4-5D6E-409C-BE32-E72D297353CC}">
              <c16:uniqueId val="{00000003-00AA-4BF0-8377-50C64C9F0757}"/>
            </c:ext>
          </c:extLst>
        </c:ser>
        <c:ser>
          <c:idx val="2"/>
          <c:order val="2"/>
          <c:tx>
            <c:strRef>
              <c:f>Sustainability_Avg!$X$44:$X$45</c:f>
              <c:strCache>
                <c:ptCount val="1"/>
                <c:pt idx="0">
                  <c:v>Programme governance</c:v>
                </c:pt>
              </c:strCache>
            </c:strRef>
          </c:tx>
          <c:spPr>
            <a:solidFill>
              <a:schemeClr val="accent5"/>
            </a:solidFill>
            <a:ln>
              <a:noFill/>
            </a:ln>
            <a:effectLst/>
          </c:spPr>
          <c:invertIfNegative val="0"/>
          <c:dLbls>
            <c:dLbl>
              <c:idx val="0"/>
              <c:tx>
                <c:rich>
                  <a:bodyPr/>
                  <a:lstStyle/>
                  <a:p>
                    <a:fld id="{D43A9C8E-A070-4839-BF3C-7A649005622B}"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00AA-4BF0-8377-50C64C9F07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Sustainability_Avg!$U$46</c:f>
              <c:strCache>
                <c:ptCount val="1"/>
                <c:pt idx="0">
                  <c:v>Total</c:v>
                </c:pt>
              </c:strCache>
            </c:strRef>
          </c:cat>
          <c:val>
            <c:numRef>
              <c:f>Sustainability_Avg!$X$46</c:f>
              <c:numCache>
                <c:formatCode>General</c:formatCode>
                <c:ptCount val="1"/>
                <c:pt idx="0">
                  <c:v>3.2105263157894739</c:v>
                </c:pt>
              </c:numCache>
            </c:numRef>
          </c:val>
          <c:extLst xmlns:c16r2="http://schemas.microsoft.com/office/drawing/2015/06/chart">
            <c:ext xmlns:c15="http://schemas.microsoft.com/office/drawing/2012/chart" uri="{02D57815-91ED-43cb-92C2-25804820EDAC}">
              <c15:datalabelsRange>
                <c15:f>Sustainability_Avg!$X$54</c15:f>
                <c15:dlblRangeCache>
                  <c:ptCount val="1"/>
                  <c:pt idx="0">
                    <c:v>3.21 </c:v>
                  </c:pt>
                </c15:dlblRangeCache>
              </c15:datalabelsRange>
            </c:ext>
            <c:ext xmlns:c16="http://schemas.microsoft.com/office/drawing/2014/chart" uri="{C3380CC4-5D6E-409C-BE32-E72D297353CC}">
              <c16:uniqueId val="{00000005-00AA-4BF0-8377-50C64C9F0757}"/>
            </c:ext>
          </c:extLst>
        </c:ser>
        <c:ser>
          <c:idx val="3"/>
          <c:order val="3"/>
          <c:tx>
            <c:strRef>
              <c:f>Sustainability_Avg!$Y$44:$Y$45</c:f>
              <c:strCache>
                <c:ptCount val="1"/>
                <c:pt idx="0">
                  <c:v>Action owners</c:v>
                </c:pt>
              </c:strCache>
            </c:strRef>
          </c:tx>
          <c:spPr>
            <a:solidFill>
              <a:schemeClr val="accent6"/>
            </a:solidFill>
            <a:ln>
              <a:noFill/>
            </a:ln>
            <a:effectLst/>
          </c:spPr>
          <c:invertIfNegative val="0"/>
          <c:dLbls>
            <c:dLbl>
              <c:idx val="0"/>
              <c:tx>
                <c:rich>
                  <a:bodyPr/>
                  <a:lstStyle/>
                  <a:p>
                    <a:fld id="{F9ECC8EE-0CD1-43C7-B32F-90B995108670}"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00AA-4BF0-8377-50C64C9F07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Sustainability_Avg!$U$46</c:f>
              <c:strCache>
                <c:ptCount val="1"/>
                <c:pt idx="0">
                  <c:v>Total</c:v>
                </c:pt>
              </c:strCache>
            </c:strRef>
          </c:cat>
          <c:val>
            <c:numRef>
              <c:f>Sustainability_Avg!$Y$46</c:f>
              <c:numCache>
                <c:formatCode>General</c:formatCode>
                <c:ptCount val="1"/>
                <c:pt idx="0">
                  <c:v>3.2727272727272729</c:v>
                </c:pt>
              </c:numCache>
            </c:numRef>
          </c:val>
          <c:extLst xmlns:c16r2="http://schemas.microsoft.com/office/drawing/2015/06/chart">
            <c:ext xmlns:c15="http://schemas.microsoft.com/office/drawing/2012/chart" uri="{02D57815-91ED-43cb-92C2-25804820EDAC}">
              <c15:datalabelsRange>
                <c15:f>Sustainability_Avg!$Y$54</c15:f>
                <c15:dlblRangeCache>
                  <c:ptCount val="1"/>
                  <c:pt idx="0">
                    <c:v>3.27 </c:v>
                  </c:pt>
                </c15:dlblRangeCache>
              </c15:datalabelsRange>
            </c:ext>
            <c:ext xmlns:c16="http://schemas.microsoft.com/office/drawing/2014/chart" uri="{C3380CC4-5D6E-409C-BE32-E72D297353CC}">
              <c16:uniqueId val="{00000007-00AA-4BF0-8377-50C64C9F0757}"/>
            </c:ext>
          </c:extLst>
        </c:ser>
        <c:dLbls>
          <c:showLegendKey val="0"/>
          <c:showVal val="0"/>
          <c:showCatName val="0"/>
          <c:showSerName val="0"/>
          <c:showPercent val="0"/>
          <c:showBubbleSize val="0"/>
        </c:dLbls>
        <c:gapWidth val="182"/>
        <c:axId val="89123840"/>
        <c:axId val="89137920"/>
      </c:barChart>
      <c:catAx>
        <c:axId val="89123840"/>
        <c:scaling>
          <c:orientation val="minMax"/>
        </c:scaling>
        <c:delete val="1"/>
        <c:axPos val="l"/>
        <c:numFmt formatCode="General" sourceLinked="1"/>
        <c:majorTickMark val="none"/>
        <c:minorTickMark val="none"/>
        <c:tickLblPos val="nextTo"/>
        <c:crossAx val="89137920"/>
        <c:crosses val="autoZero"/>
        <c:auto val="0"/>
        <c:lblAlgn val="ctr"/>
        <c:lblOffset val="100"/>
        <c:noMultiLvlLbl val="0"/>
      </c:catAx>
      <c:valAx>
        <c:axId val="89137920"/>
        <c:scaling>
          <c:orientation val="minMax"/>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9123840"/>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Graphs_averages_final.xlsx]Sustainability_Avg!Tableau croisé dynamique6</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Sustainability_Avg!$V$30:$V$31</c:f>
              <c:strCache>
                <c:ptCount val="1"/>
                <c:pt idx="0">
                  <c:v>Stakeholders responsible for linked EU policies initiatives</c:v>
                </c:pt>
              </c:strCache>
            </c:strRef>
          </c:tx>
          <c:spPr>
            <a:solidFill>
              <a:schemeClr val="accent1"/>
            </a:solidFill>
            <a:ln>
              <a:noFill/>
            </a:ln>
            <a:effectLst/>
          </c:spPr>
          <c:invertIfNegative val="0"/>
          <c:dLbls>
            <c:dLbl>
              <c:idx val="0"/>
              <c:tx>
                <c:rich>
                  <a:bodyPr/>
                  <a:lstStyle/>
                  <a:p>
                    <a:fld id="{DFA106FC-DFDA-438B-AA00-ABD0BFAF7C7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1550-45F9-B756-86587EB4D1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Sustainability_Avg!$U$32</c:f>
              <c:strCache>
                <c:ptCount val="1"/>
                <c:pt idx="0">
                  <c:v>Total</c:v>
                </c:pt>
              </c:strCache>
            </c:strRef>
          </c:cat>
          <c:val>
            <c:numRef>
              <c:f>Sustainability_Avg!$V$32</c:f>
              <c:numCache>
                <c:formatCode>General</c:formatCode>
                <c:ptCount val="1"/>
                <c:pt idx="0">
                  <c:v>2.1666666666666665</c:v>
                </c:pt>
              </c:numCache>
            </c:numRef>
          </c:val>
          <c:extLst xmlns:c16r2="http://schemas.microsoft.com/office/drawing/2015/06/chart">
            <c:ext xmlns:c15="http://schemas.microsoft.com/office/drawing/2012/chart" uri="{02D57815-91ED-43cb-92C2-25804820EDAC}">
              <c15:datalabelsRange>
                <c15:f>Sustainability_Avg!$V$40:$Y$40</c15:f>
                <c15:dlblRangeCache>
                  <c:ptCount val="4"/>
                  <c:pt idx="0">
                    <c:v>2.17 (6)</c:v>
                  </c:pt>
                  <c:pt idx="1">
                    <c:v>2.22 (36)</c:v>
                  </c:pt>
                  <c:pt idx="2">
                    <c:v>2.33 (15)</c:v>
                  </c:pt>
                  <c:pt idx="3">
                    <c:v>2.50 (22)</c:v>
                  </c:pt>
                </c15:dlblRangeCache>
              </c15:datalabelsRange>
            </c:ext>
            <c:ext xmlns:c16="http://schemas.microsoft.com/office/drawing/2014/chart" uri="{C3380CC4-5D6E-409C-BE32-E72D297353CC}">
              <c16:uniqueId val="{00000001-1550-45F9-B756-86587EB4D1AA}"/>
            </c:ext>
          </c:extLst>
        </c:ser>
        <c:ser>
          <c:idx val="1"/>
          <c:order val="1"/>
          <c:tx>
            <c:strRef>
              <c:f>Sustainability_Avg!$W$30:$W$31</c:f>
              <c:strCache>
                <c:ptCount val="1"/>
                <c:pt idx="0">
                  <c:v>Solution users</c:v>
                </c:pt>
              </c:strCache>
            </c:strRef>
          </c:tx>
          <c:spPr>
            <a:solidFill>
              <a:schemeClr val="accent2"/>
            </a:solidFill>
            <a:ln>
              <a:noFill/>
            </a:ln>
            <a:effectLst/>
          </c:spPr>
          <c:invertIfNegative val="0"/>
          <c:dLbls>
            <c:dLbl>
              <c:idx val="0"/>
              <c:tx>
                <c:rich>
                  <a:bodyPr/>
                  <a:lstStyle/>
                  <a:p>
                    <a:fld id="{7C3A0EC3-C9DC-4B0C-AEC7-A47E957210D3}"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1550-45F9-B756-86587EB4D1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Sustainability_Avg!$U$32</c:f>
              <c:strCache>
                <c:ptCount val="1"/>
                <c:pt idx="0">
                  <c:v>Total</c:v>
                </c:pt>
              </c:strCache>
            </c:strRef>
          </c:cat>
          <c:val>
            <c:numRef>
              <c:f>Sustainability_Avg!$W$32</c:f>
              <c:numCache>
                <c:formatCode>General</c:formatCode>
                <c:ptCount val="1"/>
                <c:pt idx="0">
                  <c:v>2.2222222222222223</c:v>
                </c:pt>
              </c:numCache>
            </c:numRef>
          </c:val>
          <c:extLst xmlns:c16r2="http://schemas.microsoft.com/office/drawing/2015/06/chart">
            <c:ext xmlns:c15="http://schemas.microsoft.com/office/drawing/2012/chart" uri="{02D57815-91ED-43cb-92C2-25804820EDAC}">
              <c15:datalabelsRange>
                <c15:f>Sustainability_Avg!$W$40</c15:f>
                <c15:dlblRangeCache>
                  <c:ptCount val="1"/>
                  <c:pt idx="0">
                    <c:v>2.22 (36)</c:v>
                  </c:pt>
                </c15:dlblRangeCache>
              </c15:datalabelsRange>
            </c:ext>
            <c:ext xmlns:c16="http://schemas.microsoft.com/office/drawing/2014/chart" uri="{C3380CC4-5D6E-409C-BE32-E72D297353CC}">
              <c16:uniqueId val="{00000003-1550-45F9-B756-86587EB4D1AA}"/>
            </c:ext>
          </c:extLst>
        </c:ser>
        <c:ser>
          <c:idx val="2"/>
          <c:order val="2"/>
          <c:tx>
            <c:strRef>
              <c:f>Sustainability_Avg!$X$30:$X$31</c:f>
              <c:strCache>
                <c:ptCount val="1"/>
                <c:pt idx="0">
                  <c:v>Programme governance</c:v>
                </c:pt>
              </c:strCache>
            </c:strRef>
          </c:tx>
          <c:spPr>
            <a:solidFill>
              <a:schemeClr val="accent3"/>
            </a:solidFill>
            <a:ln>
              <a:noFill/>
            </a:ln>
            <a:effectLst/>
          </c:spPr>
          <c:invertIfNegative val="0"/>
          <c:dLbls>
            <c:dLbl>
              <c:idx val="0"/>
              <c:tx>
                <c:rich>
                  <a:bodyPr/>
                  <a:lstStyle/>
                  <a:p>
                    <a:fld id="{5783D530-52A9-4969-B12F-D1DAD0561F1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1550-45F9-B756-86587EB4D1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Sustainability_Avg!$U$32</c:f>
              <c:strCache>
                <c:ptCount val="1"/>
                <c:pt idx="0">
                  <c:v>Total</c:v>
                </c:pt>
              </c:strCache>
            </c:strRef>
          </c:cat>
          <c:val>
            <c:numRef>
              <c:f>Sustainability_Avg!$X$32</c:f>
              <c:numCache>
                <c:formatCode>General</c:formatCode>
                <c:ptCount val="1"/>
                <c:pt idx="0">
                  <c:v>2.3333333333333335</c:v>
                </c:pt>
              </c:numCache>
            </c:numRef>
          </c:val>
          <c:extLst xmlns:c16r2="http://schemas.microsoft.com/office/drawing/2015/06/chart">
            <c:ext xmlns:c15="http://schemas.microsoft.com/office/drawing/2012/chart" uri="{02D57815-91ED-43cb-92C2-25804820EDAC}">
              <c15:datalabelsRange>
                <c15:f>Sustainability_Avg!$X$40</c15:f>
                <c15:dlblRangeCache>
                  <c:ptCount val="1"/>
                  <c:pt idx="0">
                    <c:v>2.33 (15)</c:v>
                  </c:pt>
                </c15:dlblRangeCache>
              </c15:datalabelsRange>
            </c:ext>
            <c:ext xmlns:c16="http://schemas.microsoft.com/office/drawing/2014/chart" uri="{C3380CC4-5D6E-409C-BE32-E72D297353CC}">
              <c16:uniqueId val="{00000005-1550-45F9-B756-86587EB4D1AA}"/>
            </c:ext>
          </c:extLst>
        </c:ser>
        <c:ser>
          <c:idx val="3"/>
          <c:order val="3"/>
          <c:tx>
            <c:strRef>
              <c:f>Sustainability_Avg!$Y$30:$Y$31</c:f>
              <c:strCache>
                <c:ptCount val="1"/>
                <c:pt idx="0">
                  <c:v>Action owners</c:v>
                </c:pt>
              </c:strCache>
            </c:strRef>
          </c:tx>
          <c:spPr>
            <a:solidFill>
              <a:schemeClr val="accent4"/>
            </a:solidFill>
            <a:ln>
              <a:noFill/>
            </a:ln>
            <a:effectLst/>
          </c:spPr>
          <c:invertIfNegative val="0"/>
          <c:dLbls>
            <c:dLbl>
              <c:idx val="0"/>
              <c:tx>
                <c:rich>
                  <a:bodyPr/>
                  <a:lstStyle/>
                  <a:p>
                    <a:fld id="{CD3A55E4-720B-4545-A1BF-8E05FD24BF9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1550-45F9-B756-86587EB4D1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Sustainability_Avg!$U$32</c:f>
              <c:strCache>
                <c:ptCount val="1"/>
                <c:pt idx="0">
                  <c:v>Total</c:v>
                </c:pt>
              </c:strCache>
            </c:strRef>
          </c:cat>
          <c:val>
            <c:numRef>
              <c:f>Sustainability_Avg!$Y$32</c:f>
              <c:numCache>
                <c:formatCode>General</c:formatCode>
                <c:ptCount val="1"/>
                <c:pt idx="0">
                  <c:v>2.5</c:v>
                </c:pt>
              </c:numCache>
            </c:numRef>
          </c:val>
          <c:extLst xmlns:c16r2="http://schemas.microsoft.com/office/drawing/2015/06/chart">
            <c:ext xmlns:c15="http://schemas.microsoft.com/office/drawing/2012/chart" uri="{02D57815-91ED-43cb-92C2-25804820EDAC}">
              <c15:datalabelsRange>
                <c15:f>Sustainability_Avg!$Y$40</c15:f>
                <c15:dlblRangeCache>
                  <c:ptCount val="1"/>
                  <c:pt idx="0">
                    <c:v>2.50 (22)</c:v>
                  </c:pt>
                </c15:dlblRangeCache>
              </c15:datalabelsRange>
            </c:ext>
            <c:ext xmlns:c16="http://schemas.microsoft.com/office/drawing/2014/chart" uri="{C3380CC4-5D6E-409C-BE32-E72D297353CC}">
              <c16:uniqueId val="{00000007-1550-45F9-B756-86587EB4D1AA}"/>
            </c:ext>
          </c:extLst>
        </c:ser>
        <c:dLbls>
          <c:showLegendKey val="0"/>
          <c:showVal val="0"/>
          <c:showCatName val="0"/>
          <c:showSerName val="0"/>
          <c:showPercent val="0"/>
          <c:showBubbleSize val="0"/>
        </c:dLbls>
        <c:gapWidth val="182"/>
        <c:axId val="90487040"/>
        <c:axId val="90525696"/>
      </c:barChart>
      <c:catAx>
        <c:axId val="90487040"/>
        <c:scaling>
          <c:orientation val="minMax"/>
        </c:scaling>
        <c:delete val="1"/>
        <c:axPos val="l"/>
        <c:numFmt formatCode="General" sourceLinked="1"/>
        <c:majorTickMark val="none"/>
        <c:minorTickMark val="none"/>
        <c:tickLblPos val="nextTo"/>
        <c:crossAx val="90525696"/>
        <c:crosses val="autoZero"/>
        <c:auto val="0"/>
        <c:lblAlgn val="ctr"/>
        <c:lblOffset val="100"/>
        <c:noMultiLvlLbl val="0"/>
      </c:catAx>
      <c:valAx>
        <c:axId val="90525696"/>
        <c:scaling>
          <c:orientation val="minMax"/>
          <c:max val="4"/>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0487040"/>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Graphs_averages_final.xlsx]Overview!PivotTable2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8D8D75A-3C4A-448F-82ED-BF08AC2483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CBE6899-73A2-4DA1-8DA6-CF571D5AB748}"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0BEBBBA-900A-43C1-A4B5-6201B05B16C6}"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FD7A822-434E-4482-8EF4-4CD30AF87DE3}"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4F39C18-0F7B-4888-9488-9D8A71AAD83F}"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44560DD-096B-45DC-8952-D9413975ACE2}"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marker>
          <c:symbol val="none"/>
        </c:marker>
        <c:dLbl>
          <c:idx val="0"/>
          <c:delete val="1"/>
          <c:extLst xmlns:c16r2="http://schemas.microsoft.com/office/drawing/2015/06/chart">
            <c:ext xmlns:c15="http://schemas.microsoft.com/office/drawing/2012/chart" uri="{CE6537A1-D6FC-4f65-9D91-7224C49458BB}"/>
          </c:extLst>
        </c:dLbl>
      </c:pivotFmt>
      <c:pivotFmt>
        <c:idx val="1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8D8D75A-3C4A-448F-82ED-BF08AC2483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DBB1CBC-EB86-4BC5-A84A-F82104AE0249}"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D143E10-F994-42AB-AC72-7117A7BA097F}"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C7423AB-A6AC-4DE1-A745-B60003768508}"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FFAF034-1081-4542-ABF1-A7E8F8160F16}"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B9B34EF-835C-42F0-BD8E-61C17DD4F2A8}"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8D8D75A-3C4A-448F-82ED-BF08AC2483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12C7E8B-FEA5-47BF-B60D-1A2D529AD6BA}"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506F48C-8862-41F8-B0A4-6E4AE14B4EBC}"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E81250F-E1BB-43FD-930F-A140D0FA90BE}"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5E3AF8-0C66-461C-9602-D40CCB4899CB}"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3E6E8E-CFCB-49E5-A14D-770CE7014CBD}"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Overview!$U$15</c:f>
              <c:strCache>
                <c:ptCount val="1"/>
                <c:pt idx="0">
                  <c:v>Total</c:v>
                </c:pt>
              </c:strCache>
            </c:strRef>
          </c:tx>
          <c:spPr>
            <a:solidFill>
              <a:schemeClr val="accent1"/>
            </a:solidFill>
            <a:ln>
              <a:noFill/>
            </a:ln>
            <a:effectLst/>
          </c:spPr>
          <c:invertIfNegative val="0"/>
          <c:dLbls>
            <c:dLbl>
              <c:idx val="0"/>
              <c:tx>
                <c:rich>
                  <a:bodyPr/>
                  <a:lstStyle/>
                  <a:p>
                    <a:fld id="{2477ADBC-8724-4A66-B1C0-430C99414079}"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53B9-43DC-B3F3-01A530D5AF26}"/>
                </c:ext>
              </c:extLst>
            </c:dLbl>
            <c:dLbl>
              <c:idx val="1"/>
              <c:tx>
                <c:rich>
                  <a:bodyPr/>
                  <a:lstStyle/>
                  <a:p>
                    <a:fld id="{212C1D5B-B4F8-4061-AB9A-F44BAC7F79E7}"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53B9-43DC-B3F3-01A530D5AF26}"/>
                </c:ext>
              </c:extLst>
            </c:dLbl>
            <c:dLbl>
              <c:idx val="2"/>
              <c:tx>
                <c:rich>
                  <a:bodyPr/>
                  <a:lstStyle/>
                  <a:p>
                    <a:fld id="{4DD8D64D-A765-40B4-8D9B-3C2ED20C1DF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53B9-43DC-B3F3-01A530D5AF26}"/>
                </c:ext>
              </c:extLst>
            </c:dLbl>
            <c:dLbl>
              <c:idx val="3"/>
              <c:tx>
                <c:rich>
                  <a:bodyPr/>
                  <a:lstStyle/>
                  <a:p>
                    <a:fld id="{34110084-E432-4578-B9A2-96947F9F780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53B9-43DC-B3F3-01A530D5AF26}"/>
                </c:ext>
              </c:extLst>
            </c:dLbl>
            <c:dLbl>
              <c:idx val="4"/>
              <c:tx>
                <c:rich>
                  <a:bodyPr/>
                  <a:lstStyle/>
                  <a:p>
                    <a:fld id="{2E3442DE-E97F-4C7C-9227-4901B2B87BA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53B9-43DC-B3F3-01A530D5AF26}"/>
                </c:ext>
              </c:extLst>
            </c:dLbl>
            <c:dLbl>
              <c:idx val="5"/>
              <c:tx>
                <c:rich>
                  <a:bodyPr/>
                  <a:lstStyle/>
                  <a:p>
                    <a:fld id="{58815085-10EC-45BD-9927-13F543AF68C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53B9-43DC-B3F3-01A530D5AF2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Overview!$T$16:$T$22</c:f>
              <c:strCache>
                <c:ptCount val="6"/>
                <c:pt idx="0">
                  <c:v>Wider public</c:v>
                </c:pt>
                <c:pt idx="1">
                  <c:v>Standardisation organisations</c:v>
                </c:pt>
                <c:pt idx="2">
                  <c:v>Stakeholders responsible for linked EU policies initiatives</c:v>
                </c:pt>
                <c:pt idx="3">
                  <c:v>Solution users</c:v>
                </c:pt>
                <c:pt idx="4">
                  <c:v>Programme governance</c:v>
                </c:pt>
                <c:pt idx="5">
                  <c:v>Action owners</c:v>
                </c:pt>
              </c:strCache>
            </c:strRef>
          </c:cat>
          <c:val>
            <c:numRef>
              <c:f>Overview!$U$16:$U$22</c:f>
              <c:numCache>
                <c:formatCode>0.00</c:formatCode>
                <c:ptCount val="6"/>
                <c:pt idx="0">
                  <c:v>3.5862068965517242</c:v>
                </c:pt>
                <c:pt idx="1">
                  <c:v>2.6</c:v>
                </c:pt>
                <c:pt idx="2">
                  <c:v>3.9</c:v>
                </c:pt>
                <c:pt idx="3">
                  <c:v>3.8139534883720931</c:v>
                </c:pt>
                <c:pt idx="4">
                  <c:v>4.2105263157894735</c:v>
                </c:pt>
                <c:pt idx="5">
                  <c:v>4</c:v>
                </c:pt>
              </c:numCache>
            </c:numRef>
          </c:val>
          <c:extLst xmlns:c16r2="http://schemas.microsoft.com/office/drawing/2015/06/chart">
            <c:ext xmlns:c15="http://schemas.microsoft.com/office/drawing/2012/chart" uri="{02D57815-91ED-43cb-92C2-25804820EDAC}">
              <c15:datalabelsRange>
                <c15:f>Overview!$W$16:$W$22</c15:f>
                <c15:dlblRangeCache>
                  <c:ptCount val="7"/>
                  <c:pt idx="0">
                    <c:v>3.59 (29)</c:v>
                  </c:pt>
                  <c:pt idx="1">
                    <c:v>2.60 (5)</c:v>
                  </c:pt>
                  <c:pt idx="2">
                    <c:v>3.90 (10)</c:v>
                  </c:pt>
                  <c:pt idx="3">
                    <c:v>3.81 (42)</c:v>
                  </c:pt>
                  <c:pt idx="4">
                    <c:v>4.21 (19)</c:v>
                  </c:pt>
                  <c:pt idx="5">
                    <c:v>4.00 (23)</c:v>
                  </c:pt>
                  <c:pt idx="6">
                    <c:v>3.81 (128)</c:v>
                  </c:pt>
                </c15:dlblRangeCache>
              </c15:datalabelsRange>
            </c:ext>
            <c:ext xmlns:c16="http://schemas.microsoft.com/office/drawing/2014/chart" uri="{C3380CC4-5D6E-409C-BE32-E72D297353CC}">
              <c16:uniqueId val="{00000006-53B9-43DC-B3F3-01A530D5AF26}"/>
            </c:ext>
          </c:extLst>
        </c:ser>
        <c:dLbls>
          <c:showLegendKey val="0"/>
          <c:showVal val="1"/>
          <c:showCatName val="0"/>
          <c:showSerName val="0"/>
          <c:showPercent val="0"/>
          <c:showBubbleSize val="0"/>
        </c:dLbls>
        <c:gapWidth val="150"/>
        <c:axId val="91078656"/>
        <c:axId val="91080192"/>
      </c:barChart>
      <c:catAx>
        <c:axId val="91078656"/>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080192"/>
        <c:crosses val="autoZero"/>
        <c:auto val="0"/>
        <c:lblAlgn val="ctr"/>
        <c:lblOffset val="100"/>
        <c:noMultiLvlLbl val="0"/>
      </c:catAx>
      <c:valAx>
        <c:axId val="9108019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078656"/>
        <c:crosses val="autoZero"/>
        <c:crossBetween val="between"/>
        <c:majorUnit val="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[190208 Graphs_Online_Surveys_correction.xls]Relevance!Tableau croisé dynamique2</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plotArea>
      <c:layout/>
      <c:barChart>
        <c:barDir val="col"/>
        <c:grouping val="clustered"/>
        <c:varyColors val="0"/>
        <c:ser>
          <c:idx val="0"/>
          <c:order val="0"/>
          <c:tx>
            <c:strRef>
              <c:f>Relevance!$M$28:$M$29</c:f>
              <c:strCache>
                <c:ptCount val="1"/>
                <c:pt idx="0">
                  <c:v>Action owners</c:v>
                </c:pt>
              </c:strCache>
            </c:strRef>
          </c:tx>
          <c:spPr>
            <a:solidFill>
              <a:schemeClr val="accent6"/>
            </a:solidFill>
            <a:ln>
              <a:noFill/>
            </a:ln>
            <a:effectLst/>
          </c:spPr>
          <c:invertIfNegative val="0"/>
          <c:cat>
            <c:strRef>
              <c:f>Relevance!$L$30:$L$36</c:f>
              <c:strCache>
                <c:ptCount val="6"/>
                <c:pt idx="0">
                  <c:v>Not at all</c:v>
                </c:pt>
                <c:pt idx="1">
                  <c:v>To a limited extent</c:v>
                </c:pt>
                <c:pt idx="2">
                  <c:v>To some extent</c:v>
                </c:pt>
                <c:pt idx="3">
                  <c:v>To a high extent</c:v>
                </c:pt>
                <c:pt idx="4">
                  <c:v>To the fullest extent</c:v>
                </c:pt>
                <c:pt idx="5">
                  <c:v>Do not know/No opinion</c:v>
                </c:pt>
              </c:strCache>
            </c:strRef>
          </c:cat>
          <c:val>
            <c:numRef>
              <c:f>Relevance!$M$30:$M$36</c:f>
              <c:numCache>
                <c:formatCode>General</c:formatCode>
                <c:ptCount val="6"/>
                <c:pt idx="0">
                  <c:v>1</c:v>
                </c:pt>
                <c:pt idx="1">
                  <c:v>1</c:v>
                </c:pt>
                <c:pt idx="2">
                  <c:v>3</c:v>
                </c:pt>
                <c:pt idx="3">
                  <c:v>7</c:v>
                </c:pt>
                <c:pt idx="4">
                  <c:v>1</c:v>
                </c:pt>
                <c:pt idx="5">
                  <c:v>0</c:v>
                </c:pt>
              </c:numCache>
            </c:numRef>
          </c:val>
          <c:extLst xmlns:c16r2="http://schemas.microsoft.com/office/drawing/2015/06/chart">
            <c:ext xmlns:c16="http://schemas.microsoft.com/office/drawing/2014/chart" uri="{C3380CC4-5D6E-409C-BE32-E72D297353CC}">
              <c16:uniqueId val="{00000000-BC51-4CA0-A563-0389CC69B22D}"/>
            </c:ext>
          </c:extLst>
        </c:ser>
        <c:ser>
          <c:idx val="1"/>
          <c:order val="1"/>
          <c:tx>
            <c:strRef>
              <c:f>Relevance!$N$28:$N$29</c:f>
              <c:strCache>
                <c:ptCount val="1"/>
                <c:pt idx="0">
                  <c:v>Programme governance</c:v>
                </c:pt>
              </c:strCache>
            </c:strRef>
          </c:tx>
          <c:spPr>
            <a:solidFill>
              <a:schemeClr val="accent5"/>
            </a:solidFill>
            <a:ln>
              <a:noFill/>
            </a:ln>
            <a:effectLst/>
          </c:spPr>
          <c:invertIfNegative val="0"/>
          <c:cat>
            <c:strRef>
              <c:f>Relevance!$L$30:$L$36</c:f>
              <c:strCache>
                <c:ptCount val="6"/>
                <c:pt idx="0">
                  <c:v>Not at all</c:v>
                </c:pt>
                <c:pt idx="1">
                  <c:v>To a limited extent</c:v>
                </c:pt>
                <c:pt idx="2">
                  <c:v>To some extent</c:v>
                </c:pt>
                <c:pt idx="3">
                  <c:v>To a high extent</c:v>
                </c:pt>
                <c:pt idx="4">
                  <c:v>To the fullest extent</c:v>
                </c:pt>
                <c:pt idx="5">
                  <c:v>Do not know/No opinion</c:v>
                </c:pt>
              </c:strCache>
            </c:strRef>
          </c:cat>
          <c:val>
            <c:numRef>
              <c:f>Relevance!$N$30:$N$36</c:f>
              <c:numCache>
                <c:formatCode>General</c:formatCode>
                <c:ptCount val="6"/>
                <c:pt idx="0">
                  <c:v>1</c:v>
                </c:pt>
                <c:pt idx="1">
                  <c:v>1</c:v>
                </c:pt>
                <c:pt idx="2">
                  <c:v>3</c:v>
                </c:pt>
                <c:pt idx="3">
                  <c:v>4</c:v>
                </c:pt>
                <c:pt idx="4">
                  <c:v>0</c:v>
                </c:pt>
                <c:pt idx="5">
                  <c:v>0</c:v>
                </c:pt>
              </c:numCache>
            </c:numRef>
          </c:val>
          <c:extLst xmlns:c16r2="http://schemas.microsoft.com/office/drawing/2015/06/chart">
            <c:ext xmlns:c16="http://schemas.microsoft.com/office/drawing/2014/chart" uri="{C3380CC4-5D6E-409C-BE32-E72D297353CC}">
              <c16:uniqueId val="{00000001-BC51-4CA0-A563-0389CC69B22D}"/>
            </c:ext>
          </c:extLst>
        </c:ser>
        <c:ser>
          <c:idx val="2"/>
          <c:order val="2"/>
          <c:tx>
            <c:strRef>
              <c:f>Relevance!$O$28:$O$29</c:f>
              <c:strCache>
                <c:ptCount val="1"/>
                <c:pt idx="0">
                  <c:v>Solution users</c:v>
                </c:pt>
              </c:strCache>
            </c:strRef>
          </c:tx>
          <c:spPr>
            <a:solidFill>
              <a:schemeClr val="accent4"/>
            </a:solidFill>
            <a:ln>
              <a:noFill/>
            </a:ln>
            <a:effectLst/>
          </c:spPr>
          <c:invertIfNegative val="0"/>
          <c:cat>
            <c:strRef>
              <c:f>Relevance!$L$30:$L$36</c:f>
              <c:strCache>
                <c:ptCount val="6"/>
                <c:pt idx="0">
                  <c:v>Not at all</c:v>
                </c:pt>
                <c:pt idx="1">
                  <c:v>To a limited extent</c:v>
                </c:pt>
                <c:pt idx="2">
                  <c:v>To some extent</c:v>
                </c:pt>
                <c:pt idx="3">
                  <c:v>To a high extent</c:v>
                </c:pt>
                <c:pt idx="4">
                  <c:v>To the fullest extent</c:v>
                </c:pt>
                <c:pt idx="5">
                  <c:v>Do not know/No opinion</c:v>
                </c:pt>
              </c:strCache>
            </c:strRef>
          </c:cat>
          <c:val>
            <c:numRef>
              <c:f>Relevance!$O$30:$O$36</c:f>
              <c:numCache>
                <c:formatCode>General</c:formatCode>
                <c:ptCount val="6"/>
                <c:pt idx="0">
                  <c:v>0</c:v>
                </c:pt>
                <c:pt idx="1">
                  <c:v>1</c:v>
                </c:pt>
                <c:pt idx="2">
                  <c:v>5</c:v>
                </c:pt>
                <c:pt idx="3">
                  <c:v>8</c:v>
                </c:pt>
                <c:pt idx="4">
                  <c:v>1</c:v>
                </c:pt>
                <c:pt idx="5">
                  <c:v>0</c:v>
                </c:pt>
              </c:numCache>
            </c:numRef>
          </c:val>
          <c:extLst xmlns:c16r2="http://schemas.microsoft.com/office/drawing/2015/06/chart">
            <c:ext xmlns:c16="http://schemas.microsoft.com/office/drawing/2014/chart" uri="{C3380CC4-5D6E-409C-BE32-E72D297353CC}">
              <c16:uniqueId val="{00000002-BC51-4CA0-A563-0389CC69B22D}"/>
            </c:ext>
          </c:extLst>
        </c:ser>
        <c:ser>
          <c:idx val="3"/>
          <c:order val="3"/>
          <c:tx>
            <c:strRef>
              <c:f>Relevance!$P$28:$P$29</c:f>
              <c:strCache>
                <c:ptCount val="1"/>
                <c:pt idx="0">
                  <c:v>Stakeholders responsible for linked EU initiatives</c:v>
                </c:pt>
              </c:strCache>
            </c:strRef>
          </c:tx>
          <c:spPr>
            <a:solidFill>
              <a:schemeClr val="accent3"/>
            </a:solidFill>
            <a:ln>
              <a:noFill/>
            </a:ln>
            <a:effectLst/>
          </c:spPr>
          <c:invertIfNegative val="0"/>
          <c:cat>
            <c:strRef>
              <c:f>Relevance!$L$30:$L$36</c:f>
              <c:strCache>
                <c:ptCount val="6"/>
                <c:pt idx="0">
                  <c:v>Not at all</c:v>
                </c:pt>
                <c:pt idx="1">
                  <c:v>To a limited extent</c:v>
                </c:pt>
                <c:pt idx="2">
                  <c:v>To some extent</c:v>
                </c:pt>
                <c:pt idx="3">
                  <c:v>To a high extent</c:v>
                </c:pt>
                <c:pt idx="4">
                  <c:v>To the fullest extent</c:v>
                </c:pt>
                <c:pt idx="5">
                  <c:v>Do not know/No opinion</c:v>
                </c:pt>
              </c:strCache>
            </c:strRef>
          </c:cat>
          <c:val>
            <c:numRef>
              <c:f>Relevance!$P$30:$P$36</c:f>
              <c:numCache>
                <c:formatCode>General</c:formatCode>
                <c:ptCount val="6"/>
                <c:pt idx="0">
                  <c:v>1</c:v>
                </c:pt>
                <c:pt idx="1">
                  <c:v>2</c:v>
                </c:pt>
                <c:pt idx="2">
                  <c:v>1</c:v>
                </c:pt>
                <c:pt idx="3">
                  <c:v>2</c:v>
                </c:pt>
                <c:pt idx="4">
                  <c:v>0</c:v>
                </c:pt>
                <c:pt idx="5">
                  <c:v>0</c:v>
                </c:pt>
              </c:numCache>
            </c:numRef>
          </c:val>
          <c:extLst xmlns:c16r2="http://schemas.microsoft.com/office/drawing/2015/06/chart">
            <c:ext xmlns:c16="http://schemas.microsoft.com/office/drawing/2014/chart" uri="{C3380CC4-5D6E-409C-BE32-E72D297353CC}">
              <c16:uniqueId val="{00000003-BC51-4CA0-A563-0389CC69B22D}"/>
            </c:ext>
          </c:extLst>
        </c:ser>
        <c:ser>
          <c:idx val="4"/>
          <c:order val="4"/>
          <c:tx>
            <c:strRef>
              <c:f>Relevance!$Q$28:$Q$29</c:f>
              <c:strCache>
                <c:ptCount val="1"/>
                <c:pt idx="0">
                  <c:v>Standardisation organisations</c:v>
                </c:pt>
              </c:strCache>
            </c:strRef>
          </c:tx>
          <c:spPr>
            <a:solidFill>
              <a:schemeClr val="accent2"/>
            </a:solidFill>
            <a:ln>
              <a:noFill/>
            </a:ln>
            <a:effectLst/>
          </c:spPr>
          <c:invertIfNegative val="0"/>
          <c:cat>
            <c:strRef>
              <c:f>Relevance!$L$30:$L$36</c:f>
              <c:strCache>
                <c:ptCount val="6"/>
                <c:pt idx="0">
                  <c:v>Not at all</c:v>
                </c:pt>
                <c:pt idx="1">
                  <c:v>To a limited extent</c:v>
                </c:pt>
                <c:pt idx="2">
                  <c:v>To some extent</c:v>
                </c:pt>
                <c:pt idx="3">
                  <c:v>To a high extent</c:v>
                </c:pt>
                <c:pt idx="4">
                  <c:v>To the fullest extent</c:v>
                </c:pt>
                <c:pt idx="5">
                  <c:v>Do not know/No opinion</c:v>
                </c:pt>
              </c:strCache>
            </c:strRef>
          </c:cat>
          <c:val>
            <c:numRef>
              <c:f>Relevance!$Q$30:$Q$36</c:f>
              <c:numCache>
                <c:formatCode>General</c:formatCode>
                <c:ptCount val="6"/>
                <c:pt idx="0">
                  <c:v>0</c:v>
                </c:pt>
                <c:pt idx="1">
                  <c:v>0</c:v>
                </c:pt>
                <c:pt idx="2">
                  <c:v>2</c:v>
                </c:pt>
                <c:pt idx="3">
                  <c:v>0</c:v>
                </c:pt>
                <c:pt idx="4">
                  <c:v>0</c:v>
                </c:pt>
                <c:pt idx="5">
                  <c:v>1</c:v>
                </c:pt>
              </c:numCache>
            </c:numRef>
          </c:val>
          <c:extLst xmlns:c16r2="http://schemas.microsoft.com/office/drawing/2015/06/chart">
            <c:ext xmlns:c16="http://schemas.microsoft.com/office/drawing/2014/chart" uri="{C3380CC4-5D6E-409C-BE32-E72D297353CC}">
              <c16:uniqueId val="{00000004-BC51-4CA0-A563-0389CC69B22D}"/>
            </c:ext>
          </c:extLst>
        </c:ser>
        <c:dLbls>
          <c:showLegendKey val="0"/>
          <c:showVal val="0"/>
          <c:showCatName val="0"/>
          <c:showSerName val="0"/>
          <c:showPercent val="0"/>
          <c:showBubbleSize val="0"/>
        </c:dLbls>
        <c:gapWidth val="150"/>
        <c:axId val="91897216"/>
        <c:axId val="91899008"/>
      </c:barChart>
      <c:catAx>
        <c:axId val="91897216"/>
        <c:scaling>
          <c:orientation val="minMax"/>
        </c:scaling>
        <c:delete val="0"/>
        <c:axPos val="b"/>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899008"/>
        <c:crosses val="autoZero"/>
        <c:auto val="0"/>
        <c:lblAlgn val="ctr"/>
        <c:lblOffset val="100"/>
        <c:noMultiLvlLbl val="0"/>
      </c:catAx>
      <c:valAx>
        <c:axId val="918990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897216"/>
        <c:crosses val="autoZero"/>
        <c:crossBetween val="between"/>
      </c:valAx>
      <c:spPr>
        <a:noFill/>
        <a:ln w="25400">
          <a:noFill/>
        </a:ln>
        <a:effectLst/>
      </c:spPr>
    </c:plotArea>
    <c:legend>
      <c:legendPos val="r"/>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Graphs_averages_final.xlsx]Overview!PivotTable4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0C558FB-BD6B-4930-9BFB-320119B2322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25D8FA2-A000-430E-A73D-633FCB875024}"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AD60314-BA86-48BF-AF3E-3559A1EA6E81}"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E6E659-88A9-4FF3-9BB0-25BDF78261C2}"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EAE5C7A-A6A4-486F-94DB-0874B1A2790A}"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116F1C5-6F00-4B45-AA8D-A325BE30902D}"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marker>
          <c:symbol val="none"/>
        </c:marker>
        <c:dLbl>
          <c:idx val="0"/>
          <c:delete val="1"/>
          <c:extLst xmlns:c16r2="http://schemas.microsoft.com/office/drawing/2015/06/chart">
            <c:ext xmlns:c15="http://schemas.microsoft.com/office/drawing/2012/chart" uri="{CE6537A1-D6FC-4f65-9D91-7224C49458BB}"/>
          </c:extLst>
        </c:dLbl>
      </c:pivotFmt>
      <c:pivotFmt>
        <c:idx val="1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0C558FB-BD6B-4930-9BFB-320119B2322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1D062B7-91A7-430A-B37A-ABE540CE20A2}"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0BAA0F0-71F2-4B04-BD8C-0A5478068C4A}"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12C5C83-23F1-41E9-91DC-F6CE3776305E}"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2A18CCA-E153-4774-9692-06AE81EACD8C}"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D60526C-DDF8-4CF9-8AA7-C862C692133F}"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0C558FB-BD6B-4930-9BFB-320119B2322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B6EFC9-EF40-433A-A070-7E935A2EAC78}"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D498FE1-CDEF-4234-B217-10DE3BFF023A}"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E62B026-30E8-48E1-AAE0-010317E02549}"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D9CB0C3-5B47-4598-B3C3-4E261C57EC4A}"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8138C2-D452-4C37-AE88-A9B50280F540}" type="CELLRANGE">
                  <a:rPr lang="en-GB"/>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Overview!$U$48</c:f>
              <c:strCache>
                <c:ptCount val="1"/>
                <c:pt idx="0">
                  <c:v>Total</c:v>
                </c:pt>
              </c:strCache>
            </c:strRef>
          </c:tx>
          <c:spPr>
            <a:solidFill>
              <a:schemeClr val="accent1"/>
            </a:solidFill>
            <a:ln>
              <a:noFill/>
            </a:ln>
            <a:effectLst/>
          </c:spPr>
          <c:invertIfNegative val="0"/>
          <c:dLbls>
            <c:dLbl>
              <c:idx val="0"/>
              <c:tx>
                <c:rich>
                  <a:bodyPr/>
                  <a:lstStyle/>
                  <a:p>
                    <a:fld id="{C5477367-5274-414D-9AB0-6719626F87EE}"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5EFC-4BAA-9C4B-57BD0956EC86}"/>
                </c:ext>
              </c:extLst>
            </c:dLbl>
            <c:dLbl>
              <c:idx val="1"/>
              <c:tx>
                <c:rich>
                  <a:bodyPr/>
                  <a:lstStyle/>
                  <a:p>
                    <a:fld id="{06F601DE-EE64-4864-9C1F-5629B4426DF4}"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5EFC-4BAA-9C4B-57BD0956EC86}"/>
                </c:ext>
              </c:extLst>
            </c:dLbl>
            <c:dLbl>
              <c:idx val="2"/>
              <c:tx>
                <c:rich>
                  <a:bodyPr/>
                  <a:lstStyle/>
                  <a:p>
                    <a:fld id="{74E2997C-51DA-4939-BD4D-15E5FBA73A86}"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5EFC-4BAA-9C4B-57BD0956EC86}"/>
                </c:ext>
              </c:extLst>
            </c:dLbl>
            <c:dLbl>
              <c:idx val="3"/>
              <c:tx>
                <c:rich>
                  <a:bodyPr/>
                  <a:lstStyle/>
                  <a:p>
                    <a:fld id="{C1579542-193D-4C5A-A578-E09F8435C0B8}"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5EFC-4BAA-9C4B-57BD0956EC86}"/>
                </c:ext>
              </c:extLst>
            </c:dLbl>
            <c:dLbl>
              <c:idx val="4"/>
              <c:tx>
                <c:rich>
                  <a:bodyPr/>
                  <a:lstStyle/>
                  <a:p>
                    <a:fld id="{5F8E3D80-24EF-4348-8CAC-2519F6DAF52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5EFC-4BAA-9C4B-57BD0956EC86}"/>
                </c:ext>
              </c:extLst>
            </c:dLbl>
            <c:dLbl>
              <c:idx val="5"/>
              <c:tx>
                <c:rich>
                  <a:bodyPr/>
                  <a:lstStyle/>
                  <a:p>
                    <a:fld id="{7CC09312-9D7E-4362-8631-9D2354BD2BF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5EFC-4BAA-9C4B-57BD0956EC8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Overview!$T$49:$T$55</c:f>
              <c:strCache>
                <c:ptCount val="6"/>
                <c:pt idx="0">
                  <c:v>Wider public</c:v>
                </c:pt>
                <c:pt idx="1">
                  <c:v>Standardisation organisations</c:v>
                </c:pt>
                <c:pt idx="2">
                  <c:v>Stakeholders responsible for linked EU policies initiatives</c:v>
                </c:pt>
                <c:pt idx="3">
                  <c:v>Solution users</c:v>
                </c:pt>
                <c:pt idx="4">
                  <c:v>Programme governance</c:v>
                </c:pt>
                <c:pt idx="5">
                  <c:v>Action owners</c:v>
                </c:pt>
              </c:strCache>
            </c:strRef>
          </c:cat>
          <c:val>
            <c:numRef>
              <c:f>Overview!$U$49:$U$55</c:f>
              <c:numCache>
                <c:formatCode>General</c:formatCode>
                <c:ptCount val="6"/>
                <c:pt idx="0">
                  <c:v>3.3103448275862069</c:v>
                </c:pt>
                <c:pt idx="1">
                  <c:v>2.6</c:v>
                </c:pt>
                <c:pt idx="2">
                  <c:v>3.9</c:v>
                </c:pt>
                <c:pt idx="3">
                  <c:v>3.0930232558139537</c:v>
                </c:pt>
                <c:pt idx="4">
                  <c:v>4.2105263157894735</c:v>
                </c:pt>
                <c:pt idx="5">
                  <c:v>4.2608695652173916</c:v>
                </c:pt>
              </c:numCache>
            </c:numRef>
          </c:val>
          <c:extLst xmlns:c16r2="http://schemas.microsoft.com/office/drawing/2015/06/chart">
            <c:ext xmlns:c15="http://schemas.microsoft.com/office/drawing/2012/chart" uri="{02D57815-91ED-43cb-92C2-25804820EDAC}">
              <c15:datalabelsRange>
                <c15:f>Overview!$W$49:$W$55</c15:f>
                <c15:dlblRangeCache>
                  <c:ptCount val="7"/>
                  <c:pt idx="0">
                    <c:v>3.31 (29)</c:v>
                  </c:pt>
                  <c:pt idx="1">
                    <c:v>2.60 (5)</c:v>
                  </c:pt>
                  <c:pt idx="2">
                    <c:v>3.90 (10)</c:v>
                  </c:pt>
                  <c:pt idx="3">
                    <c:v>3.09 (42)</c:v>
                  </c:pt>
                  <c:pt idx="4">
                    <c:v>4.21 (19)</c:v>
                  </c:pt>
                  <c:pt idx="5">
                    <c:v>4.26 (23)</c:v>
                  </c:pt>
                  <c:pt idx="6">
                    <c:v>3.56 (28)</c:v>
                  </c:pt>
                </c15:dlblRangeCache>
              </c15:datalabelsRange>
            </c:ext>
            <c:ext xmlns:c16="http://schemas.microsoft.com/office/drawing/2014/chart" uri="{C3380CC4-5D6E-409C-BE32-E72D297353CC}">
              <c16:uniqueId val="{00000006-5EFC-4BAA-9C4B-57BD0956EC86}"/>
            </c:ext>
          </c:extLst>
        </c:ser>
        <c:dLbls>
          <c:showLegendKey val="0"/>
          <c:showVal val="1"/>
          <c:showCatName val="0"/>
          <c:showSerName val="0"/>
          <c:showPercent val="0"/>
          <c:showBubbleSize val="0"/>
        </c:dLbls>
        <c:gapWidth val="150"/>
        <c:axId val="92381952"/>
        <c:axId val="92383488"/>
      </c:barChart>
      <c:catAx>
        <c:axId val="92381952"/>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383488"/>
        <c:crosses val="autoZero"/>
        <c:auto val="0"/>
        <c:lblAlgn val="ctr"/>
        <c:lblOffset val="100"/>
        <c:noMultiLvlLbl val="0"/>
      </c:catAx>
      <c:valAx>
        <c:axId val="9238348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381952"/>
        <c:crosses val="autoZero"/>
        <c:crossBetween val="between"/>
        <c:majorUnit val="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plotArea>
      <c:layout/>
      <c:barChart>
        <c:barDir val="bar"/>
        <c:grouping val="clustered"/>
        <c:varyColors val="0"/>
        <c:ser>
          <c:idx val="0"/>
          <c:order val="0"/>
          <c:tx>
            <c:strRef>
              <c:f>Overview!$R$1</c:f>
              <c:strCache>
                <c:ptCount val="1"/>
                <c:pt idx="0">
                  <c:v>Number of stakeholders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Overview!$Q$2:$Q$10</c:f>
              <c:strCache>
                <c:ptCount val="9"/>
                <c:pt idx="0">
                  <c:v>1 package</c:v>
                </c:pt>
                <c:pt idx="1">
                  <c:v>2 packages</c:v>
                </c:pt>
                <c:pt idx="2">
                  <c:v>3 packages</c:v>
                </c:pt>
                <c:pt idx="3">
                  <c:v>4 packages</c:v>
                </c:pt>
                <c:pt idx="4">
                  <c:v>5 packages</c:v>
                </c:pt>
                <c:pt idx="5">
                  <c:v>6 packages</c:v>
                </c:pt>
                <c:pt idx="6">
                  <c:v>7 packages</c:v>
                </c:pt>
                <c:pt idx="7">
                  <c:v>8 packages</c:v>
                </c:pt>
                <c:pt idx="8">
                  <c:v>9 packages</c:v>
                </c:pt>
              </c:strCache>
            </c:strRef>
          </c:cat>
          <c:val>
            <c:numRef>
              <c:f>Overview!$R$2:$R$10</c:f>
              <c:numCache>
                <c:formatCode>General</c:formatCode>
                <c:ptCount val="9"/>
                <c:pt idx="0">
                  <c:v>10</c:v>
                </c:pt>
                <c:pt idx="1">
                  <c:v>8</c:v>
                </c:pt>
                <c:pt idx="2">
                  <c:v>12</c:v>
                </c:pt>
                <c:pt idx="3">
                  <c:v>6</c:v>
                </c:pt>
                <c:pt idx="4">
                  <c:v>21</c:v>
                </c:pt>
                <c:pt idx="5">
                  <c:v>12</c:v>
                </c:pt>
                <c:pt idx="6">
                  <c:v>11</c:v>
                </c:pt>
                <c:pt idx="7">
                  <c:v>8</c:v>
                </c:pt>
                <c:pt idx="8">
                  <c:v>32</c:v>
                </c:pt>
              </c:numCache>
            </c:numRef>
          </c:val>
          <c:extLst xmlns:c16r2="http://schemas.microsoft.com/office/drawing/2015/06/chart">
            <c:ext xmlns:c16="http://schemas.microsoft.com/office/drawing/2014/chart" uri="{C3380CC4-5D6E-409C-BE32-E72D297353CC}">
              <c16:uniqueId val="{00000000-36DF-43ED-9449-9D5FBF327473}"/>
            </c:ext>
          </c:extLst>
        </c:ser>
        <c:dLbls>
          <c:dLblPos val="outEnd"/>
          <c:showLegendKey val="0"/>
          <c:showVal val="1"/>
          <c:showCatName val="0"/>
          <c:showSerName val="0"/>
          <c:showPercent val="0"/>
          <c:showBubbleSize val="0"/>
        </c:dLbls>
        <c:gapWidth val="150"/>
        <c:axId val="92420736"/>
        <c:axId val="92434432"/>
      </c:barChart>
      <c:catAx>
        <c:axId val="92420736"/>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434432"/>
        <c:crosses val="autoZero"/>
        <c:auto val="0"/>
        <c:lblAlgn val="ctr"/>
        <c:lblOffset val="100"/>
        <c:noMultiLvlLbl val="0"/>
      </c:catAx>
      <c:valAx>
        <c:axId val="9243443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242073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Graphs_averages_final.xlsx]Relevance_Avg!PivotTable1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marker>
          <c:symbol val="none"/>
        </c:marker>
        <c:dLbl>
          <c:idx val="0"/>
          <c:delete val="1"/>
          <c:extLst xmlns:c16r2="http://schemas.microsoft.com/office/drawing/2015/06/chart">
            <c:ext xmlns:c15="http://schemas.microsoft.com/office/drawing/2012/chart" uri="{CE6537A1-D6FC-4f65-9D91-7224C49458BB}"/>
          </c:extLst>
        </c:dLbl>
      </c:pivotFmt>
      <c:pivotFmt>
        <c:idx val="149"/>
        <c:marker>
          <c:symbol val="none"/>
        </c:marker>
        <c:dLbl>
          <c:idx val="0"/>
          <c:delete val="1"/>
          <c:extLst xmlns:c16r2="http://schemas.microsoft.com/office/drawing/2015/06/chart">
            <c:ext xmlns:c15="http://schemas.microsoft.com/office/drawing/2012/chart" uri="{CE6537A1-D6FC-4f65-9D91-7224C49458BB}"/>
          </c:extLst>
        </c:dLbl>
      </c:pivotFmt>
      <c:pivotFmt>
        <c:idx val="15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5EBE553-B8EC-486A-B791-1E90FF9835C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0B4F995-8D9B-49E7-BF54-9B91A19EA3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32B469F-0476-40DC-AFD8-F1F296FE133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692EB8E-3799-4159-872B-7DBC736B283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575BCB8-B33E-4FAB-83D7-CA1674B842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BDE35D-6466-4F67-AAFF-FC67FE23D69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C1FA3A4-81B7-4912-AF69-9ED5B4748C1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3A34B23-594A-492B-B9D6-FF899A008B7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84106FD-54A8-4EAC-9231-B730450BDEC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9"/>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0B8ED7B-AB53-4768-A516-AE68DD1755B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F0CDFC4-BCFD-4455-A299-5A57599642C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8D03598-A127-4A21-97DA-7FE25E91321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8540AC8-52B2-4DB8-BE23-D8B837B8CF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018C810-72B8-42E0-AAAA-18069147560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4"/>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4403DF9-7BD6-4C8F-B19D-9E17B6266B0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76381F7-B475-4248-9269-4D5D798B4C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60B3B6F-A3C6-4B86-A107-5645068EBD4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8B9E632-C6A7-4E2D-8949-3822F46E97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2C79334-35EB-4DF1-875A-5860D084F9A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9"/>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0A5E82D-E7C2-4EA8-B6A0-9E187B2AB8D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7C13E7C-5D90-40FF-9BCA-6EC101F23BC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D2BC691-0E19-4040-9A42-5C02887DA61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336AA42-7623-475C-B810-A2FF10725E6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9AB3D3D-6FB8-46CE-B9C1-104CBE86CE7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5EBE553-B8EC-486A-B791-1E90FF9835C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0B4F995-8D9B-49E7-BF54-9B91A19EA3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32B469F-0476-40DC-AFD8-F1F296FE133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C692EB8E-3799-4159-872B-7DBC736B283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9"/>
        <c:marker>
          <c:symbol val="none"/>
        </c:marker>
        <c:dLbl>
          <c:idx val="0"/>
          <c:delete val="1"/>
          <c:extLst xmlns:c16r2="http://schemas.microsoft.com/office/drawing/2015/06/chart">
            <c:ext xmlns:c15="http://schemas.microsoft.com/office/drawing/2012/chart" uri="{CE6537A1-D6FC-4f65-9D91-7224C49458BB}"/>
          </c:extLst>
        </c:dLbl>
      </c:pivotFmt>
      <c:pivotFmt>
        <c:idx val="18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575BCB8-B33E-4FAB-83D7-CA1674B842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BDE35D-6466-4F67-AAFF-FC67FE23D69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C1FA3A4-81B7-4912-AF69-9ED5B4748C1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3A34B23-594A-492B-B9D6-FF899A008B7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4"/>
        <c:marker>
          <c:symbol val="none"/>
        </c:marker>
        <c:dLbl>
          <c:idx val="0"/>
          <c:delete val="1"/>
          <c:extLst xmlns:c16r2="http://schemas.microsoft.com/office/drawing/2015/06/chart">
            <c:ext xmlns:c15="http://schemas.microsoft.com/office/drawing/2012/chart" uri="{CE6537A1-D6FC-4f65-9D91-7224C49458BB}"/>
          </c:extLst>
        </c:dLbl>
      </c:pivotFmt>
      <c:pivotFmt>
        <c:idx val="18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84106FD-54A8-4EAC-9231-B730450BDEC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0B8ED7B-AB53-4768-A516-AE68DD1755B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F0CDFC4-BCFD-4455-A299-5A57599642C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8D03598-A127-4A21-97DA-7FE25E91321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9"/>
        <c:marker>
          <c:symbol val="none"/>
        </c:marker>
        <c:dLbl>
          <c:idx val="0"/>
          <c:delete val="1"/>
          <c:extLst xmlns:c16r2="http://schemas.microsoft.com/office/drawing/2015/06/chart">
            <c:ext xmlns:c15="http://schemas.microsoft.com/office/drawing/2012/chart" uri="{CE6537A1-D6FC-4f65-9D91-7224C49458BB}"/>
          </c:extLst>
        </c:dLbl>
      </c:pivotFmt>
      <c:pivotFmt>
        <c:idx val="19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8540AC8-52B2-4DB8-BE23-D8B837B8CF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018C810-72B8-42E0-AAAA-18069147560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4403DF9-7BD6-4C8F-B19D-9E17B6266B0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76381F7-B475-4248-9269-4D5D798B4C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4"/>
        <c:marker>
          <c:symbol val="none"/>
        </c:marker>
        <c:dLbl>
          <c:idx val="0"/>
          <c:delete val="1"/>
          <c:extLst xmlns:c16r2="http://schemas.microsoft.com/office/drawing/2015/06/chart">
            <c:ext xmlns:c15="http://schemas.microsoft.com/office/drawing/2012/chart" uri="{CE6537A1-D6FC-4f65-9D91-7224C49458BB}"/>
          </c:extLst>
        </c:dLbl>
      </c:pivotFmt>
      <c:pivotFmt>
        <c:idx val="19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60B3B6F-A3C6-4B86-A107-5645068EBD4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8B9E632-C6A7-4E2D-8949-3822F46E97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2C79334-35EB-4DF1-875A-5860D084F9A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0A5E82D-E7C2-4EA8-B6A0-9E187B2AB8D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9"/>
        <c:marker>
          <c:symbol val="none"/>
        </c:marker>
        <c:dLbl>
          <c:idx val="0"/>
          <c:delete val="1"/>
          <c:extLst xmlns:c16r2="http://schemas.microsoft.com/office/drawing/2015/06/chart">
            <c:ext xmlns:c15="http://schemas.microsoft.com/office/drawing/2012/chart" uri="{CE6537A1-D6FC-4f65-9D91-7224C49458BB}"/>
          </c:extLst>
        </c:dLbl>
      </c:pivotFmt>
      <c:pivotFmt>
        <c:idx val="20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7C13E7C-5D90-40FF-9BCA-6EC101F23BC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D2BC691-0E19-4040-9A42-5C02887DA61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336AA42-7623-475C-B810-A2FF10725E6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9AB3D3D-6FB8-46CE-B9C1-104CBE86CE7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4"/>
        <c:marker>
          <c:symbol val="none"/>
        </c:marker>
        <c:dLbl>
          <c:idx val="0"/>
          <c:delete val="1"/>
          <c:extLst xmlns:c16r2="http://schemas.microsoft.com/office/drawing/2015/06/chart">
            <c:ext xmlns:c15="http://schemas.microsoft.com/office/drawing/2012/chart" uri="{CE6537A1-D6FC-4f65-9D91-7224C49458BB}"/>
          </c:extLst>
        </c:dLbl>
      </c:pivotFmt>
      <c:pivotFmt>
        <c:idx val="20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788A2F0-CE7B-4720-8F21-783941C61FF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D12C2FB-20A9-496A-87BF-96DC9CA3F5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F110C2-C780-4195-8B70-1D3FE93C9E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68C6A8D-AEA0-4B88-B228-F3C74449AC8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9"/>
        <c:marker>
          <c:symbol val="none"/>
        </c:marker>
        <c:dLbl>
          <c:idx val="0"/>
          <c:delete val="1"/>
          <c:extLst xmlns:c16r2="http://schemas.microsoft.com/office/drawing/2015/06/chart">
            <c:ext xmlns:c15="http://schemas.microsoft.com/office/drawing/2012/chart" uri="{CE6537A1-D6FC-4f65-9D91-7224C49458BB}"/>
          </c:extLst>
        </c:dLbl>
      </c:pivotFmt>
      <c:pivotFmt>
        <c:idx val="21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5568871-0D90-4608-A539-AA400A1296A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06B8A76-AE0C-44C5-A0F5-94A3EA38FEC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A141C4-B5E8-43EE-9BBC-1D58B12185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7112DC1-2D65-473F-A08D-DF14B2A27BE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4"/>
        <c:marker>
          <c:symbol val="none"/>
        </c:marker>
        <c:dLbl>
          <c:idx val="0"/>
          <c:delete val="1"/>
          <c:extLst xmlns:c16r2="http://schemas.microsoft.com/office/drawing/2015/06/chart">
            <c:ext xmlns:c15="http://schemas.microsoft.com/office/drawing/2012/chart" uri="{CE6537A1-D6FC-4f65-9D91-7224C49458BB}"/>
          </c:extLst>
        </c:dLbl>
      </c:pivotFmt>
      <c:pivotFmt>
        <c:idx val="21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359506-93B4-4AA9-AA28-CC55FD1A75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A7D0F2-751B-4BAE-872D-B187C8DC20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680591-50C8-4DBE-BA61-433F3984B85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8"/>
        <c:dLbl>
          <c:idx val="0"/>
          <c:layout>
            <c:manualLayout>
              <c:x val="-1.1658582860126417E-16"/>
              <c:y val="2.3094688221709007E-3"/>
            </c:manualLayout>
          </c:layout>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EA8994-6FE6-4542-BFF4-AECE0A52902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9"/>
        <c:marker>
          <c:symbol val="none"/>
        </c:marker>
        <c:dLbl>
          <c:idx val="0"/>
          <c:delete val="1"/>
          <c:extLst xmlns:c16r2="http://schemas.microsoft.com/office/drawing/2015/06/chart">
            <c:ext xmlns:c15="http://schemas.microsoft.com/office/drawing/2012/chart" uri="{CE6537A1-D6FC-4f65-9D91-7224C49458BB}"/>
          </c:extLst>
        </c:dLbl>
      </c:pivotFmt>
      <c:pivotFmt>
        <c:idx val="22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105F4E-7F5D-44A4-82FD-FC638384E31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FB68843-C112-42F7-A666-626E29F611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D9A723-C5C9-4273-89F9-2144F17F27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9C69F98-945D-47FA-BD2F-984D5973EB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4"/>
        <c:marker>
          <c:symbol val="none"/>
        </c:marker>
        <c:dLbl>
          <c:idx val="0"/>
          <c:delete val="1"/>
          <c:extLst xmlns:c16r2="http://schemas.microsoft.com/office/drawing/2015/06/chart">
            <c:ext xmlns:c15="http://schemas.microsoft.com/office/drawing/2012/chart" uri="{CE6537A1-D6FC-4f65-9D91-7224C49458BB}"/>
          </c:extLst>
        </c:dLbl>
      </c:pivotFmt>
      <c:pivotFmt>
        <c:idx val="22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4925B8E-7112-4374-BAEF-7BA240F8537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B880991-D0B5-48EF-8C21-E758AC0121D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57B582B-2FEB-470D-B1B9-9501C29DC9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D324AE5-1168-4161-BC33-640B4CF2589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29"/>
        <c:marker>
          <c:symbol val="none"/>
        </c:marker>
        <c:dLbl>
          <c:idx val="0"/>
          <c:delete val="1"/>
          <c:extLst xmlns:c16r2="http://schemas.microsoft.com/office/drawing/2015/06/chart">
            <c:ext xmlns:c15="http://schemas.microsoft.com/office/drawing/2012/chart" uri="{CE6537A1-D6FC-4f65-9D91-7224C49458BB}"/>
          </c:extLst>
        </c:dLbl>
      </c:pivotFmt>
      <c:pivotFmt>
        <c:idx val="23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71174FA-F99C-4A6E-802B-19711CC892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CA4425B-1522-46F9-824B-EB26722824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FCF5ECE-D567-4746-9E03-4D4F3872885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5A92217-5D9C-49D7-BCEF-136202A0B3C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4"/>
        <c:marker>
          <c:symbol val="none"/>
        </c:marker>
        <c:dLbl>
          <c:idx val="0"/>
          <c:delete val="1"/>
          <c:extLst xmlns:c16r2="http://schemas.microsoft.com/office/drawing/2015/06/chart">
            <c:ext xmlns:c15="http://schemas.microsoft.com/office/drawing/2012/chart" uri="{CE6537A1-D6FC-4f65-9D91-7224C49458BB}"/>
          </c:extLst>
        </c:dLbl>
      </c:pivotFmt>
      <c:pivotFmt>
        <c:idx val="23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788A2F0-CE7B-4720-8F21-783941C61FF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D12C2FB-20A9-496A-87BF-96DC9CA3F5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F110C2-C780-4195-8B70-1D3FE93C9E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68C6A8D-AEA0-4B88-B228-F3C74449AC8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9"/>
        <c:marker>
          <c:symbol val="none"/>
        </c:marker>
        <c:dLbl>
          <c:idx val="0"/>
          <c:delete val="1"/>
          <c:extLst xmlns:c16r2="http://schemas.microsoft.com/office/drawing/2015/06/chart">
            <c:ext xmlns:c15="http://schemas.microsoft.com/office/drawing/2012/chart" uri="{CE6537A1-D6FC-4f65-9D91-7224C49458BB}"/>
          </c:extLst>
        </c:dLbl>
      </c:pivotFmt>
      <c:pivotFmt>
        <c:idx val="24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5568871-0D90-4608-A539-AA400A1296A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06B8A76-AE0C-44C5-A0F5-94A3EA38FEC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A141C4-B5E8-43EE-9BBC-1D58B12185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7112DC1-2D65-473F-A08D-DF14B2A27BE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4"/>
        <c:marker>
          <c:symbol val="none"/>
        </c:marker>
        <c:dLbl>
          <c:idx val="0"/>
          <c:delete val="1"/>
          <c:extLst xmlns:c16r2="http://schemas.microsoft.com/office/drawing/2015/06/chart">
            <c:ext xmlns:c15="http://schemas.microsoft.com/office/drawing/2012/chart" uri="{CE6537A1-D6FC-4f65-9D91-7224C49458BB}"/>
          </c:extLst>
        </c:dLbl>
      </c:pivotFmt>
      <c:pivotFmt>
        <c:idx val="24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359506-93B4-4AA9-AA28-CC55FD1A75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A7D0F2-751B-4BAE-872D-B187C8DC20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680591-50C8-4DBE-BA61-433F3984B85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8"/>
        <c:dLbl>
          <c:idx val="0"/>
          <c:layout>
            <c:manualLayout>
              <c:x val="-1.1658582860126417E-16"/>
              <c:y val="2.3094688221709007E-3"/>
            </c:manualLayout>
          </c:layout>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EA8994-6FE6-4542-BFF4-AECE0A52902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9"/>
        <c:marker>
          <c:symbol val="none"/>
        </c:marker>
        <c:dLbl>
          <c:idx val="0"/>
          <c:delete val="1"/>
          <c:extLst xmlns:c16r2="http://schemas.microsoft.com/office/drawing/2015/06/chart">
            <c:ext xmlns:c15="http://schemas.microsoft.com/office/drawing/2012/chart" uri="{CE6537A1-D6FC-4f65-9D91-7224C49458BB}"/>
          </c:extLst>
        </c:dLbl>
      </c:pivotFmt>
      <c:pivotFmt>
        <c:idx val="25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105F4E-7F5D-44A4-82FD-FC638384E31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FB68843-C112-42F7-A666-626E29F611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D9A723-C5C9-4273-89F9-2144F17F27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9C69F98-945D-47FA-BD2F-984D5973EB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4"/>
        <c:marker>
          <c:symbol val="none"/>
        </c:marker>
        <c:dLbl>
          <c:idx val="0"/>
          <c:delete val="1"/>
          <c:extLst xmlns:c16r2="http://schemas.microsoft.com/office/drawing/2015/06/chart">
            <c:ext xmlns:c15="http://schemas.microsoft.com/office/drawing/2012/chart" uri="{CE6537A1-D6FC-4f65-9D91-7224C49458BB}"/>
          </c:extLst>
        </c:dLbl>
      </c:pivotFmt>
      <c:pivotFmt>
        <c:idx val="25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4925B8E-7112-4374-BAEF-7BA240F8537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B880991-D0B5-48EF-8C21-E758AC0121D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57B582B-2FEB-470D-B1B9-9501C29DC9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D324AE5-1168-4161-BC33-640B4CF2589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9"/>
        <c:marker>
          <c:symbol val="none"/>
        </c:marker>
        <c:dLbl>
          <c:idx val="0"/>
          <c:delete val="1"/>
          <c:extLst xmlns:c16r2="http://schemas.microsoft.com/office/drawing/2015/06/chart">
            <c:ext xmlns:c15="http://schemas.microsoft.com/office/drawing/2012/chart" uri="{CE6537A1-D6FC-4f65-9D91-7224C49458BB}"/>
          </c:extLst>
        </c:dLbl>
      </c:pivotFmt>
      <c:pivotFmt>
        <c:idx val="26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71174FA-F99C-4A6E-802B-19711CC892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CA4425B-1522-46F9-824B-EB26722824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FCF5ECE-D567-4746-9E03-4D4F3872885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5A92217-5D9C-49D7-BCEF-136202A0B3C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4"/>
        <c:marker>
          <c:symbol val="none"/>
        </c:marker>
        <c:dLbl>
          <c:idx val="0"/>
          <c:delete val="1"/>
          <c:extLst xmlns:c16r2="http://schemas.microsoft.com/office/drawing/2015/06/chart">
            <c:ext xmlns:c15="http://schemas.microsoft.com/office/drawing/2012/chart" uri="{CE6537A1-D6FC-4f65-9D91-7224C49458BB}"/>
          </c:extLst>
        </c:dLbl>
      </c:pivotFmt>
      <c:pivotFmt>
        <c:idx val="26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788A2F0-CE7B-4720-8F21-783941C61FF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D12C2FB-20A9-496A-87BF-96DC9CA3F5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F110C2-C780-4195-8B70-1D3FE93C9E7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68C6A8D-AEA0-4B88-B228-F3C74449AC8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9"/>
        <c:marker>
          <c:symbol val="none"/>
        </c:marker>
        <c:dLbl>
          <c:idx val="0"/>
          <c:delete val="1"/>
          <c:extLst xmlns:c16r2="http://schemas.microsoft.com/office/drawing/2015/06/chart">
            <c:ext xmlns:c15="http://schemas.microsoft.com/office/drawing/2012/chart" uri="{CE6537A1-D6FC-4f65-9D91-7224C49458BB}"/>
          </c:extLst>
        </c:dLbl>
      </c:pivotFmt>
      <c:pivotFmt>
        <c:idx val="27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5568871-0D90-4608-A539-AA400A1296A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06B8A76-AE0C-44C5-A0F5-94A3EA38FEC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7A141C4-B5E8-43EE-9BBC-1D58B12185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7112DC1-2D65-473F-A08D-DF14B2A27BE7}"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4"/>
        <c:marker>
          <c:symbol val="none"/>
        </c:marker>
        <c:dLbl>
          <c:idx val="0"/>
          <c:delete val="1"/>
          <c:extLst xmlns:c16r2="http://schemas.microsoft.com/office/drawing/2015/06/chart">
            <c:ext xmlns:c15="http://schemas.microsoft.com/office/drawing/2012/chart" uri="{CE6537A1-D6FC-4f65-9D91-7224C49458BB}"/>
          </c:extLst>
        </c:dLbl>
      </c:pivotFmt>
      <c:pivotFmt>
        <c:idx val="27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3359506-93B4-4AA9-AA28-CC55FD1A75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A7D0F2-751B-4BAE-872D-B187C8DC207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680591-50C8-4DBE-BA61-433F3984B85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8"/>
        <c:dLbl>
          <c:idx val="0"/>
          <c:layout>
            <c:manualLayout>
              <c:x val="-1.1658582860126417E-16"/>
              <c:y val="2.3094688221709007E-3"/>
            </c:manualLayout>
          </c:layout>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EA8994-6FE6-4542-BFF4-AECE0A52902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9"/>
        <c:marker>
          <c:symbol val="none"/>
        </c:marker>
        <c:dLbl>
          <c:idx val="0"/>
          <c:delete val="1"/>
          <c:extLst xmlns:c16r2="http://schemas.microsoft.com/office/drawing/2015/06/chart">
            <c:ext xmlns:c15="http://schemas.microsoft.com/office/drawing/2012/chart" uri="{CE6537A1-D6FC-4f65-9D91-7224C49458BB}"/>
          </c:extLst>
        </c:dLbl>
      </c:pivotFmt>
      <c:pivotFmt>
        <c:idx val="28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F105F4E-7F5D-44A4-82FD-FC638384E31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FB68843-C112-42F7-A666-626E29F611E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D9A723-C5C9-4273-89F9-2144F17F27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39C69F98-945D-47FA-BD2F-984D5973EB8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4"/>
        <c:marker>
          <c:symbol val="none"/>
        </c:marker>
        <c:dLbl>
          <c:idx val="0"/>
          <c:delete val="1"/>
          <c:extLst xmlns:c16r2="http://schemas.microsoft.com/office/drawing/2015/06/chart">
            <c:ext xmlns:c15="http://schemas.microsoft.com/office/drawing/2012/chart" uri="{CE6537A1-D6FC-4f65-9D91-7224C49458BB}"/>
          </c:extLst>
        </c:dLbl>
      </c:pivotFmt>
      <c:pivotFmt>
        <c:idx val="285"/>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4925B8E-7112-4374-BAEF-7BA240F8537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6"/>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B880991-D0B5-48EF-8C21-E758AC0121D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7"/>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57B582B-2FEB-470D-B1B9-9501C29DC99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8"/>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D324AE5-1168-4161-BC33-640B4CF2589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9"/>
        <c:marker>
          <c:symbol val="none"/>
        </c:marker>
        <c:dLbl>
          <c:idx val="0"/>
          <c:delete val="1"/>
          <c:extLst xmlns:c16r2="http://schemas.microsoft.com/office/drawing/2015/06/chart">
            <c:ext xmlns:c15="http://schemas.microsoft.com/office/drawing/2012/chart" uri="{CE6537A1-D6FC-4f65-9D91-7224C49458BB}"/>
          </c:extLst>
        </c:dLbl>
      </c:pivotFmt>
      <c:pivotFmt>
        <c:idx val="290"/>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71174FA-F99C-4A6E-802B-19711CC892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1"/>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CA4425B-1522-46F9-824B-EB267228247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2"/>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FCF5ECE-D567-4746-9E03-4D4F3872885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3"/>
        <c:dLbl>
          <c:idx val="0"/>
          <c:tx>
            <c:rich>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5A92217-5D9C-49D7-BCEF-136202A0B3C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0.49154193865361062"/>
          <c:y val="3.2219301386393936E-2"/>
          <c:w val="0.43920198380999476"/>
          <c:h val="0.75354442917721176"/>
        </c:manualLayout>
      </c:layout>
      <c:barChart>
        <c:barDir val="bar"/>
        <c:grouping val="clustered"/>
        <c:varyColors val="0"/>
        <c:ser>
          <c:idx val="0"/>
          <c:order val="0"/>
          <c:tx>
            <c:strRef>
              <c:f>Relevance_Avg!$Q$34:$Q$35</c:f>
              <c:strCache>
                <c:ptCount val="1"/>
                <c:pt idx="0">
                  <c:v>Wider public</c:v>
                </c:pt>
              </c:strCache>
            </c:strRef>
          </c:tx>
          <c:spPr>
            <a:solidFill>
              <a:schemeClr val="accent1"/>
            </a:solidFill>
            <a:ln>
              <a:solidFill>
                <a:schemeClr val="accent1"/>
              </a:solidFill>
            </a:ln>
            <a:effectLst/>
          </c:spPr>
          <c:invertIfNegative val="0"/>
          <c:dLbls>
            <c:dLbl>
              <c:idx val="0"/>
              <c:tx>
                <c:rich>
                  <a:bodyPr/>
                  <a:lstStyle/>
                  <a:p>
                    <a:fld id="{C844AA0B-7C98-4E9B-ACB0-BC5FE0CCDCCE}"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9908-4C70-BE94-814E627BC5BC}"/>
                </c:ext>
              </c:extLst>
            </c:dLbl>
            <c:dLbl>
              <c:idx val="1"/>
              <c:tx>
                <c:rich>
                  <a:bodyPr/>
                  <a:lstStyle/>
                  <a:p>
                    <a:fld id="{421CD1BE-83E9-4299-ACF9-DD1114529797}"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9908-4C70-BE94-814E627BC5BC}"/>
                </c:ext>
              </c:extLst>
            </c:dLbl>
            <c:dLbl>
              <c:idx val="2"/>
              <c:tx>
                <c:rich>
                  <a:bodyPr/>
                  <a:lstStyle/>
                  <a:p>
                    <a:fld id="{B31B15EC-B441-4B42-BAC8-FCD999216CBA}"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9908-4C70-BE94-814E627BC5BC}"/>
                </c:ext>
              </c:extLst>
            </c:dLbl>
            <c:dLbl>
              <c:idx val="3"/>
              <c:tx>
                <c:rich>
                  <a:bodyPr/>
                  <a:lstStyle/>
                  <a:p>
                    <a:fld id="{A451178F-BEDD-4F10-BBCF-03C7A12EDB4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9908-4C70-BE94-814E627BC5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Relevance_Avg!$Q$36:$Q$40</c:f>
              <c:numCache>
                <c:formatCode>General</c:formatCode>
                <c:ptCount val="4"/>
                <c:pt idx="0">
                  <c:v>3.5384615384615383</c:v>
                </c:pt>
                <c:pt idx="1">
                  <c:v>4.2592592592592595</c:v>
                </c:pt>
                <c:pt idx="2">
                  <c:v>4.0344827586206895</c:v>
                </c:pt>
                <c:pt idx="3">
                  <c:v>3.9310344827586206</c:v>
                </c:pt>
              </c:numCache>
            </c:numRef>
          </c:val>
          <c:extLst xmlns:c16r2="http://schemas.microsoft.com/office/drawing/2015/06/chart">
            <c:ext xmlns:c15="http://schemas.microsoft.com/office/drawing/2012/chart" uri="{02D57815-91ED-43cb-92C2-25804820EDAC}">
              <c15:datalabelsRange>
                <c15:f>Relevance_Avg!$Q$64:$Q$67</c15:f>
                <c15:dlblRangeCache>
                  <c:ptCount val="4"/>
                  <c:pt idx="0">
                    <c:v>3.54 (26)</c:v>
                  </c:pt>
                  <c:pt idx="1">
                    <c:v>4.26 (27)</c:v>
                  </c:pt>
                  <c:pt idx="2">
                    <c:v>4.03 (29)</c:v>
                  </c:pt>
                  <c:pt idx="3">
                    <c:v>3.93 (29)</c:v>
                  </c:pt>
                </c15:dlblRangeCache>
              </c15:datalabelsRange>
            </c:ext>
            <c:ext xmlns:c16="http://schemas.microsoft.com/office/drawing/2014/chart" uri="{C3380CC4-5D6E-409C-BE32-E72D297353CC}">
              <c16:uniqueId val="{00000004-9908-4C70-BE94-814E627BC5BC}"/>
            </c:ext>
          </c:extLst>
        </c:ser>
        <c:ser>
          <c:idx val="1"/>
          <c:order val="1"/>
          <c:tx>
            <c:strRef>
              <c:f>Relevance_Avg!$R$34:$R$35</c:f>
              <c:strCache>
                <c:ptCount val="1"/>
                <c:pt idx="0">
                  <c:v>Standardisation organisations</c:v>
                </c:pt>
              </c:strCache>
            </c:strRef>
          </c:tx>
          <c:spPr>
            <a:solidFill>
              <a:schemeClr val="accent2"/>
            </a:solidFill>
            <a:ln>
              <a:noFill/>
            </a:ln>
            <a:effectLst/>
          </c:spPr>
          <c:invertIfNegative val="0"/>
          <c:dLbls>
            <c:dLbl>
              <c:idx val="0"/>
              <c:tx>
                <c:rich>
                  <a:bodyPr/>
                  <a:lstStyle/>
                  <a:p>
                    <a:fld id="{35332B4D-2207-4E12-A0BC-407B40FDCAE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9908-4C70-BE94-814E627BC5BC}"/>
                </c:ext>
              </c:extLst>
            </c:dLbl>
            <c:dLbl>
              <c:idx val="1"/>
              <c:tx>
                <c:rich>
                  <a:bodyPr/>
                  <a:lstStyle/>
                  <a:p>
                    <a:fld id="{6029BEE1-1E26-4E07-BE18-7AC3472BEF05}"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9908-4C70-BE94-814E627BC5BC}"/>
                </c:ext>
              </c:extLst>
            </c:dLbl>
            <c:dLbl>
              <c:idx val="2"/>
              <c:tx>
                <c:rich>
                  <a:bodyPr/>
                  <a:lstStyle/>
                  <a:p>
                    <a:fld id="{F6A0C52B-F807-4295-BFD9-1C549378F284}"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9908-4C70-BE94-814E627BC5BC}"/>
                </c:ext>
              </c:extLst>
            </c:dLbl>
            <c:dLbl>
              <c:idx val="3"/>
              <c:tx>
                <c:rich>
                  <a:bodyPr/>
                  <a:lstStyle/>
                  <a:p>
                    <a:fld id="{414C87FA-FF5C-4AD6-894F-E1AB44C7E44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9908-4C70-BE94-814E627BC5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Relevance_Avg!$R$36:$R$40</c:f>
              <c:numCache>
                <c:formatCode>General</c:formatCode>
                <c:ptCount val="4"/>
                <c:pt idx="0">
                  <c:v>4.25</c:v>
                </c:pt>
                <c:pt idx="1">
                  <c:v>4.25</c:v>
                </c:pt>
                <c:pt idx="2">
                  <c:v>4.5</c:v>
                </c:pt>
                <c:pt idx="3">
                  <c:v>2.6</c:v>
                </c:pt>
              </c:numCache>
            </c:numRef>
          </c:val>
          <c:extLst xmlns:c16r2="http://schemas.microsoft.com/office/drawing/2015/06/chart">
            <c:ext xmlns:c15="http://schemas.microsoft.com/office/drawing/2012/chart" uri="{02D57815-91ED-43cb-92C2-25804820EDAC}">
              <c15:datalabelsRange>
                <c15:f>Relevance_Avg!$R$64:$R$67</c15:f>
                <c15:dlblRangeCache>
                  <c:ptCount val="4"/>
                  <c:pt idx="0">
                    <c:v>4.25 (4)</c:v>
                  </c:pt>
                  <c:pt idx="1">
                    <c:v>4.25 (4)</c:v>
                  </c:pt>
                  <c:pt idx="2">
                    <c:v>4.50 (4)</c:v>
                  </c:pt>
                  <c:pt idx="3">
                    <c:v>2.60 (5)</c:v>
                  </c:pt>
                </c15:dlblRangeCache>
              </c15:datalabelsRange>
            </c:ext>
            <c:ext xmlns:c16="http://schemas.microsoft.com/office/drawing/2014/chart" uri="{C3380CC4-5D6E-409C-BE32-E72D297353CC}">
              <c16:uniqueId val="{00000009-9908-4C70-BE94-814E627BC5BC}"/>
            </c:ext>
          </c:extLst>
        </c:ser>
        <c:ser>
          <c:idx val="2"/>
          <c:order val="2"/>
          <c:tx>
            <c:strRef>
              <c:f>Relevance_Avg!$S$34:$S$35</c:f>
              <c:strCache>
                <c:ptCount val="1"/>
                <c:pt idx="0">
                  <c:v>Stakeholders responsible for linked EU initiatives</c:v>
                </c:pt>
              </c:strCache>
            </c:strRef>
          </c:tx>
          <c:spPr>
            <a:solidFill>
              <a:schemeClr val="accent3"/>
            </a:solidFill>
            <a:ln>
              <a:noFill/>
            </a:ln>
            <a:effectLst/>
          </c:spPr>
          <c:invertIfNegative val="0"/>
          <c:dLbls>
            <c:dLbl>
              <c:idx val="0"/>
              <c:tx>
                <c:rich>
                  <a:bodyPr/>
                  <a:lstStyle/>
                  <a:p>
                    <a:fld id="{09C0ED09-6841-4DB8-97A8-C7F4C7733EAD}"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9908-4C70-BE94-814E627BC5BC}"/>
                </c:ext>
              </c:extLst>
            </c:dLbl>
            <c:dLbl>
              <c:idx val="1"/>
              <c:tx>
                <c:rich>
                  <a:bodyPr/>
                  <a:lstStyle/>
                  <a:p>
                    <a:fld id="{BC65B717-E5A6-4D2F-AC8E-389CE65F61F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9908-4C70-BE94-814E627BC5BC}"/>
                </c:ext>
              </c:extLst>
            </c:dLbl>
            <c:dLbl>
              <c:idx val="2"/>
              <c:tx>
                <c:rich>
                  <a:bodyPr/>
                  <a:lstStyle/>
                  <a:p>
                    <a:fld id="{68826217-E045-48A9-8C39-9AF4470764A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9908-4C70-BE94-814E627BC5BC}"/>
                </c:ext>
              </c:extLst>
            </c:dLbl>
            <c:dLbl>
              <c:idx val="3"/>
              <c:layout>
                <c:manualLayout>
                  <c:x val="-1.1658582860126417E-16"/>
                  <c:y val="2.3094688221709007E-3"/>
                </c:manualLayout>
              </c:layout>
              <c:tx>
                <c:rich>
                  <a:bodyPr/>
                  <a:lstStyle/>
                  <a:p>
                    <a:fld id="{9B93FAFC-C663-4825-AAE5-1BD36EAEF64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9908-4C70-BE94-814E627BC5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Relevance_Avg!$S$36:$S$40</c:f>
              <c:numCache>
                <c:formatCode>General</c:formatCode>
                <c:ptCount val="4"/>
                <c:pt idx="0">
                  <c:v>4.1111111111111107</c:v>
                </c:pt>
                <c:pt idx="1">
                  <c:v>4.5</c:v>
                </c:pt>
                <c:pt idx="2">
                  <c:v>4.3</c:v>
                </c:pt>
                <c:pt idx="3">
                  <c:v>4.5</c:v>
                </c:pt>
              </c:numCache>
            </c:numRef>
          </c:val>
          <c:extLst xmlns:c16r2="http://schemas.microsoft.com/office/drawing/2015/06/chart">
            <c:ext xmlns:c15="http://schemas.microsoft.com/office/drawing/2012/chart" uri="{02D57815-91ED-43cb-92C2-25804820EDAC}">
              <c15:datalabelsRange>
                <c15:f>Relevance_Avg!$S$64:$S$67</c15:f>
                <c15:dlblRangeCache>
                  <c:ptCount val="4"/>
                  <c:pt idx="0">
                    <c:v>4.11 (9)</c:v>
                  </c:pt>
                  <c:pt idx="1">
                    <c:v>4.50 (10)</c:v>
                  </c:pt>
                  <c:pt idx="2">
                    <c:v>4.30 (10)</c:v>
                  </c:pt>
                  <c:pt idx="3">
                    <c:v>4.50 (10)</c:v>
                  </c:pt>
                </c15:dlblRangeCache>
              </c15:datalabelsRange>
            </c:ext>
            <c:ext xmlns:c16="http://schemas.microsoft.com/office/drawing/2014/chart" uri="{C3380CC4-5D6E-409C-BE32-E72D297353CC}">
              <c16:uniqueId val="{0000000E-9908-4C70-BE94-814E627BC5BC}"/>
            </c:ext>
          </c:extLst>
        </c:ser>
        <c:ser>
          <c:idx val="3"/>
          <c:order val="3"/>
          <c:tx>
            <c:strRef>
              <c:f>Relevance_Avg!$T$34:$T$35</c:f>
              <c:strCache>
                <c:ptCount val="1"/>
                <c:pt idx="0">
                  <c:v>Solution users</c:v>
                </c:pt>
              </c:strCache>
            </c:strRef>
          </c:tx>
          <c:spPr>
            <a:solidFill>
              <a:schemeClr val="accent4"/>
            </a:solidFill>
            <a:ln>
              <a:noFill/>
            </a:ln>
            <a:effectLst/>
          </c:spPr>
          <c:invertIfNegative val="0"/>
          <c:dLbls>
            <c:dLbl>
              <c:idx val="0"/>
              <c:tx>
                <c:rich>
                  <a:bodyPr/>
                  <a:lstStyle/>
                  <a:p>
                    <a:fld id="{439C23D0-4220-4CBA-8BED-B86D72556973}"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F-9908-4C70-BE94-814E627BC5BC}"/>
                </c:ext>
              </c:extLst>
            </c:dLbl>
            <c:dLbl>
              <c:idx val="1"/>
              <c:tx>
                <c:rich>
                  <a:bodyPr/>
                  <a:lstStyle/>
                  <a:p>
                    <a:fld id="{BF720496-9B68-4318-9E04-F169499F1887}"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9908-4C70-BE94-814E627BC5BC}"/>
                </c:ext>
              </c:extLst>
            </c:dLbl>
            <c:dLbl>
              <c:idx val="2"/>
              <c:tx>
                <c:rich>
                  <a:bodyPr/>
                  <a:lstStyle/>
                  <a:p>
                    <a:fld id="{55644599-D0B0-4220-80C9-4F2D8E146BC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9908-4C70-BE94-814E627BC5BC}"/>
                </c:ext>
              </c:extLst>
            </c:dLbl>
            <c:dLbl>
              <c:idx val="3"/>
              <c:tx>
                <c:rich>
                  <a:bodyPr/>
                  <a:lstStyle/>
                  <a:p>
                    <a:fld id="{DF46A89A-7B73-4812-BEDA-488F5F63F874}"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9908-4C70-BE94-814E627BC5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Relevance_Avg!$T$36:$T$40</c:f>
              <c:numCache>
                <c:formatCode>General</c:formatCode>
                <c:ptCount val="4"/>
                <c:pt idx="0">
                  <c:v>3.641025641025641</c:v>
                </c:pt>
                <c:pt idx="1">
                  <c:v>4.1428571428571432</c:v>
                </c:pt>
                <c:pt idx="2">
                  <c:v>4.0476190476190474</c:v>
                </c:pt>
                <c:pt idx="3">
                  <c:v>4.1190476190476186</c:v>
                </c:pt>
              </c:numCache>
            </c:numRef>
          </c:val>
          <c:extLst xmlns:c16r2="http://schemas.microsoft.com/office/drawing/2015/06/chart">
            <c:ext xmlns:c15="http://schemas.microsoft.com/office/drawing/2012/chart" uri="{02D57815-91ED-43cb-92C2-25804820EDAC}">
              <c15:datalabelsRange>
                <c15:f>Relevance_Avg!$T$64:$T$67</c15:f>
                <c15:dlblRangeCache>
                  <c:ptCount val="4"/>
                  <c:pt idx="0">
                    <c:v>3.64 (39)</c:v>
                  </c:pt>
                  <c:pt idx="1">
                    <c:v>4.14 (42)</c:v>
                  </c:pt>
                  <c:pt idx="2">
                    <c:v>4.05 (42)</c:v>
                  </c:pt>
                  <c:pt idx="3">
                    <c:v>4.12 (42)</c:v>
                  </c:pt>
                </c15:dlblRangeCache>
              </c15:datalabelsRange>
            </c:ext>
            <c:ext xmlns:c16="http://schemas.microsoft.com/office/drawing/2014/chart" uri="{C3380CC4-5D6E-409C-BE32-E72D297353CC}">
              <c16:uniqueId val="{00000013-9908-4C70-BE94-814E627BC5BC}"/>
            </c:ext>
          </c:extLst>
        </c:ser>
        <c:ser>
          <c:idx val="4"/>
          <c:order val="4"/>
          <c:tx>
            <c:strRef>
              <c:f>Relevance_Avg!$U$34:$U$35</c:f>
              <c:strCache>
                <c:ptCount val="1"/>
                <c:pt idx="0">
                  <c:v>Programme governance</c:v>
                </c:pt>
              </c:strCache>
            </c:strRef>
          </c:tx>
          <c:spPr>
            <a:solidFill>
              <a:schemeClr val="accent5"/>
            </a:solidFill>
            <a:ln>
              <a:noFill/>
            </a:ln>
            <a:effectLst/>
          </c:spPr>
          <c:invertIfNegative val="0"/>
          <c:dLbls>
            <c:dLbl>
              <c:idx val="0"/>
              <c:tx>
                <c:rich>
                  <a:bodyPr/>
                  <a:lstStyle/>
                  <a:p>
                    <a:fld id="{213F1A63-DCEF-42FE-B335-2849A5A3019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4-9908-4C70-BE94-814E627BC5BC}"/>
                </c:ext>
              </c:extLst>
            </c:dLbl>
            <c:dLbl>
              <c:idx val="1"/>
              <c:tx>
                <c:rich>
                  <a:bodyPr/>
                  <a:lstStyle/>
                  <a:p>
                    <a:fld id="{A3FDCEDA-40DC-4069-80B9-15F1A13B30DB}"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9908-4C70-BE94-814E627BC5BC}"/>
                </c:ext>
              </c:extLst>
            </c:dLbl>
            <c:dLbl>
              <c:idx val="2"/>
              <c:tx>
                <c:rich>
                  <a:bodyPr/>
                  <a:lstStyle/>
                  <a:p>
                    <a:fld id="{CA40B328-8CC8-49EB-ACE2-269FEA74E569}"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9908-4C70-BE94-814E627BC5BC}"/>
                </c:ext>
              </c:extLst>
            </c:dLbl>
            <c:dLbl>
              <c:idx val="3"/>
              <c:tx>
                <c:rich>
                  <a:bodyPr/>
                  <a:lstStyle/>
                  <a:p>
                    <a:fld id="{9E47D7BB-93D7-4F1E-8E29-99B067A07CC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9908-4C70-BE94-814E627BC5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Relevance_Avg!$U$36:$U$40</c:f>
              <c:numCache>
                <c:formatCode>General</c:formatCode>
                <c:ptCount val="4"/>
                <c:pt idx="0">
                  <c:v>3.8421052631578947</c:v>
                </c:pt>
                <c:pt idx="1">
                  <c:v>3.8421052631578947</c:v>
                </c:pt>
                <c:pt idx="2">
                  <c:v>4.3157894736842106</c:v>
                </c:pt>
                <c:pt idx="3">
                  <c:v>3.9473684210526314</c:v>
                </c:pt>
              </c:numCache>
            </c:numRef>
          </c:val>
          <c:extLst xmlns:c16r2="http://schemas.microsoft.com/office/drawing/2015/06/chart">
            <c:ext xmlns:c15="http://schemas.microsoft.com/office/drawing/2012/chart" uri="{02D57815-91ED-43cb-92C2-25804820EDAC}">
              <c15:datalabelsRange>
                <c15:f>Relevance_Avg!$U$64:$U$67</c15:f>
                <c15:dlblRangeCache>
                  <c:ptCount val="4"/>
                  <c:pt idx="0">
                    <c:v>3.84 (19)</c:v>
                  </c:pt>
                  <c:pt idx="1">
                    <c:v>3.84 (19)</c:v>
                  </c:pt>
                  <c:pt idx="2">
                    <c:v>4.32 (19)</c:v>
                  </c:pt>
                  <c:pt idx="3">
                    <c:v>3.95 (19)</c:v>
                  </c:pt>
                </c15:dlblRangeCache>
              </c15:datalabelsRange>
            </c:ext>
            <c:ext xmlns:c16="http://schemas.microsoft.com/office/drawing/2014/chart" uri="{C3380CC4-5D6E-409C-BE32-E72D297353CC}">
              <c16:uniqueId val="{00000018-9908-4C70-BE94-814E627BC5BC}"/>
            </c:ext>
          </c:extLst>
        </c:ser>
        <c:ser>
          <c:idx val="5"/>
          <c:order val="5"/>
          <c:tx>
            <c:strRef>
              <c:f>Relevance_Avg!$V$34:$V$35</c:f>
              <c:strCache>
                <c:ptCount val="1"/>
                <c:pt idx="0">
                  <c:v>Action owners</c:v>
                </c:pt>
              </c:strCache>
            </c:strRef>
          </c:tx>
          <c:spPr>
            <a:solidFill>
              <a:schemeClr val="accent6"/>
            </a:solidFill>
            <a:ln>
              <a:noFill/>
            </a:ln>
            <a:effectLst/>
          </c:spPr>
          <c:invertIfNegative val="0"/>
          <c:dLbls>
            <c:dLbl>
              <c:idx val="0"/>
              <c:tx>
                <c:rich>
                  <a:bodyPr/>
                  <a:lstStyle/>
                  <a:p>
                    <a:fld id="{5E7ECE60-7F0B-4FA9-B7FA-975A2FE835BE}"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9-9908-4C70-BE94-814E627BC5BC}"/>
                </c:ext>
              </c:extLst>
            </c:dLbl>
            <c:dLbl>
              <c:idx val="1"/>
              <c:tx>
                <c:rich>
                  <a:bodyPr/>
                  <a:lstStyle/>
                  <a:p>
                    <a:fld id="{0DAEBBC6-D22B-4E3E-9A4B-4AB7BA2CDFC6}"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9908-4C70-BE94-814E627BC5BC}"/>
                </c:ext>
              </c:extLst>
            </c:dLbl>
            <c:dLbl>
              <c:idx val="2"/>
              <c:tx>
                <c:rich>
                  <a:bodyPr/>
                  <a:lstStyle/>
                  <a:p>
                    <a:fld id="{5B9AB750-D6BC-4232-B741-9CDFC60C729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9908-4C70-BE94-814E627BC5BC}"/>
                </c:ext>
              </c:extLst>
            </c:dLbl>
            <c:dLbl>
              <c:idx val="3"/>
              <c:tx>
                <c:rich>
                  <a:bodyPr/>
                  <a:lstStyle/>
                  <a:p>
                    <a:fld id="{27117EF4-DF6D-4951-94E3-1DEE096AF0C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9908-4C70-BE94-814E627BC5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Relevance_Avg!$P$36:$P$40</c:f>
              <c:strCache>
                <c:ptCount val="4"/>
                <c:pt idx="0">
                  <c:v>Problem: Administrative e-barriers are leading to the fragmentation of the Internal Market</c:v>
                </c:pt>
                <c:pt idx="1">
                  <c:v>Need 3: The need for sharing and reusing information among public administrations to increase administrative efficiency and cut red tape for citizens and businesses</c:v>
                </c:pt>
                <c:pt idx="2">
                  <c:v>Need 2: The need for exchanging information among public administrations to fulfil legal requirements or political commitments</c:v>
                </c:pt>
                <c:pt idx="3">
                  <c:v>Need 1: The need for cooperation among public administrations with the aim to enable more efficient and secure public services</c:v>
                </c:pt>
              </c:strCache>
            </c:strRef>
          </c:cat>
          <c:val>
            <c:numRef>
              <c:f>Relevance_Avg!$V$36:$V$40</c:f>
              <c:numCache>
                <c:formatCode>General</c:formatCode>
                <c:ptCount val="4"/>
                <c:pt idx="0">
                  <c:v>4.1904761904761907</c:v>
                </c:pt>
                <c:pt idx="1">
                  <c:v>4.1304347826086953</c:v>
                </c:pt>
                <c:pt idx="2">
                  <c:v>4.2608695652173916</c:v>
                </c:pt>
                <c:pt idx="3">
                  <c:v>4.0434782608695654</c:v>
                </c:pt>
              </c:numCache>
            </c:numRef>
          </c:val>
          <c:extLst xmlns:c16r2="http://schemas.microsoft.com/office/drawing/2015/06/chart">
            <c:ext xmlns:c15="http://schemas.microsoft.com/office/drawing/2012/chart" uri="{02D57815-91ED-43cb-92C2-25804820EDAC}">
              <c15:datalabelsRange>
                <c15:f>Relevance_Avg!$V$64:$V$67</c15:f>
                <c15:dlblRangeCache>
                  <c:ptCount val="4"/>
                  <c:pt idx="0">
                    <c:v>4.19 (21)</c:v>
                  </c:pt>
                  <c:pt idx="1">
                    <c:v>4.13 (23)</c:v>
                  </c:pt>
                  <c:pt idx="2">
                    <c:v>4.26 (23)</c:v>
                  </c:pt>
                  <c:pt idx="3">
                    <c:v>4.04 (23)</c:v>
                  </c:pt>
                </c15:dlblRangeCache>
              </c15:datalabelsRange>
            </c:ext>
            <c:ext xmlns:c16="http://schemas.microsoft.com/office/drawing/2014/chart" uri="{C3380CC4-5D6E-409C-BE32-E72D297353CC}">
              <c16:uniqueId val="{0000001D-9908-4C70-BE94-814E627BC5BC}"/>
            </c:ext>
          </c:extLst>
        </c:ser>
        <c:dLbls>
          <c:showLegendKey val="0"/>
          <c:showVal val="1"/>
          <c:showCatName val="0"/>
          <c:showSerName val="0"/>
          <c:showPercent val="0"/>
          <c:showBubbleSize val="0"/>
        </c:dLbls>
        <c:gapWidth val="150"/>
        <c:axId val="101404032"/>
        <c:axId val="101438592"/>
      </c:barChart>
      <c:catAx>
        <c:axId val="101404032"/>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1438592"/>
        <c:crosses val="autoZero"/>
        <c:auto val="0"/>
        <c:lblAlgn val="ctr"/>
        <c:lblOffset val="100"/>
        <c:noMultiLvlLbl val="0"/>
      </c:catAx>
      <c:valAx>
        <c:axId val="10143859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1404032"/>
        <c:crosses val="autoZero"/>
        <c:crossBetween val="between"/>
        <c:majorUnit val="1"/>
      </c:valAx>
      <c:spPr>
        <a:solidFill>
          <a:schemeClr val="bg1"/>
        </a:solidFill>
        <a:ln>
          <a:noFill/>
        </a:ln>
        <a:effectLst/>
      </c:spPr>
    </c:plotArea>
    <c:legend>
      <c:legendPos val="b"/>
      <c:layout>
        <c:manualLayout>
          <c:xMode val="edge"/>
          <c:yMode val="edge"/>
          <c:x val="1.5933153283375811E-2"/>
          <c:y val="0.84970118211444645"/>
          <c:w val="0.96680541743876214"/>
          <c:h val="0.1319899601238791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dynamique3</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71F1C2-E95C-48AF-9E46-E21DE4810B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3E22E4-7F46-4BA4-890D-807A3C9DA27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B4332AE-7519-48F8-8E37-1CE68755619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763B86D-2633-462C-9049-83C53A7D5C1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651C25-0D5C-47AA-B3CD-AB9CFB2D5DC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8C7658-F3B4-43AA-8453-4DA72CAD1FE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1CD746-3DA5-4A3F-9110-E940DA65A7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06CFF7-7914-4270-8F5B-62E1BE247A9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FED3B3-0717-4209-9994-827EE4874E6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3037BE-04AD-4BC0-B043-2A8C05DF043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F7F967-ADC4-4978-BBD8-861A1122047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4292A7-37CA-47F8-B860-3FB58607601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D128A8-7CAC-4A1C-89A6-E14569CF99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C81471-D3D8-4D18-A471-FD5FA209687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E21C3C-FB7C-45FD-BBE8-D3F09857525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885DDC-D344-4A2B-880A-2778B2761D1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EBE4EF-3B53-4421-8391-43BF86AE22B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3EA2C8-0EA2-4456-8AF7-0C799E0375E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237D7E-A73A-4F0A-980F-D8B8FDF9B3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76ACF5-130B-446A-9469-A5B4A10FA0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79644F-B036-416B-AFF4-6B562E7E9DB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485492-9540-4E0A-B40C-6B14A3BEA23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10D6B1-B18E-4507-9471-880910E7D9B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AB48B0-AE00-4811-AE48-31D0C067F7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D4B2F1-327D-4408-AF8D-C8BC655237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4582BA-5C0F-4F2A-88F7-72403314F29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EF1C9D-36CB-4013-9AED-F9AB53F1FB7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F18DB3-869C-41F5-B086-91F785558E5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7B115C-CA87-476C-BE30-A6D16CBB447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B87951-3A6C-434C-811C-30570FD7B7C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71F1C2-E95C-48AF-9E46-E21DE4810B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9E69AE-29B6-4BF6-B665-839EEF08F6C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055F10F-AA14-44A2-B013-BB4A688291A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C2E034-691F-4C31-A905-1EAFAF24BEE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8DCC7CB-CF57-48E9-A4EB-53AE4A50266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635AD9-B261-4CCB-BD66-056CAF9E3E9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1CD746-3DA5-4A3F-9110-E940DA65A7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0008BE-6656-4DEB-9C2E-98C7525E6A8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696D281-272F-45DF-B256-E8DDD4E3C15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2D47770-6825-4759-9935-FBDA13F0D1B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F55191-0A43-4634-A96E-3696013C2DB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3A1725-5412-4F8D-BFFC-21FA85CBAAD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D128A8-7CAC-4A1C-89A6-E14569CF99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A8BE48-AE0D-41F6-8B2B-1C6C33283DA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2FDF61-A176-4A25-8648-E99671D1B92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AD72FC-E98A-48B1-B3CE-923760AA38F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142C15-8CAD-40A9-A9CC-1DC25E247DA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D3A7EB-5AD7-4290-B684-C98B8C86D7C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237D7E-A73A-4F0A-980F-D8B8FDF9B3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4ACB48-057F-4600-BF8C-6B50979D609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4E4593-06C4-4BA3-8A0D-3A53A5A4496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29BA7A-579C-4DD1-838A-C58392E6322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A965EE-40B0-4D8E-A01D-A30A96AD668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D1E52D-D2B7-4168-ABBA-CFA794D21B5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D4B2F1-327D-4408-AF8D-C8BC655237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4F9815-6EFA-4872-A629-302415B5E79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6ED907-4E86-456C-B8E1-483A773C719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028FC-637C-4811-B062-321B275F747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3C8715-F0AD-4AA0-99DB-5B539C90E54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95C386-604C-44B2-83E5-D9232225395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71F1C2-E95C-48AF-9E46-E21DE4810B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6FE216-AA80-4BF3-AB90-5917B949619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02FE33-249F-4362-AD0A-1CFA866B2BF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02C83E-F8DB-4A9C-87DB-D28B340F620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3A6413-42FD-4650-BF6F-CE0F44267B7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DD5568-98B4-4B24-A440-B8202300ED8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1CD746-3DA5-4A3F-9110-E940DA65A7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DF51BB-F4E3-4A59-AE67-7AE55D4162D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9F6E81-9C66-4B4B-BD43-5E1C64F25CD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486243-2E24-4A05-B204-9459246F42B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9D92AE-80B5-4709-9A84-A493455D5E2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5892E6-0925-48AE-AAD1-7A37FF2F8DA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D128A8-7CAC-4A1C-89A6-E14569CF99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B8B64D-4A32-4662-8C7D-E6B9C70A1A8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D694C3-F805-4384-AB0F-A0071D0BE8D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F62382-BBAF-4E26-B92B-A9B24052809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A34EF1-2B30-4F1E-B95F-152BAC11263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423715-099F-43F2-BDA7-0362AA84DDE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237D7E-A73A-4F0A-980F-D8B8FDF9B3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22C9807-2BD0-4607-BF20-45E1D5EED7D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1CCA12-5244-4FD5-BC7E-06B9A3F4A4E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6C636C-F6F0-49FC-86FB-6680353D3BB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6D6EDB-4C21-4CFE-A5C9-F4A81E77631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2D8C14E-2C07-4827-B499-BA1BA64222E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D4B2F1-327D-4408-AF8D-C8BC655237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1A4A65-34AA-447F-BFE4-42C64483624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3C51E9-AACE-471D-8F09-2EDBD10526B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27C2C8-F272-45E1-822D-AEC7E9F5C0C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FC4B10-6748-40BC-9DF3-A2F7ADEAF06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A247926-A2AF-4A36-BDBC-36DAA4D0E8B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Effectiveness_Avg!$Z$2:$Z$3</c:f>
              <c:strCache>
                <c:ptCount val="1"/>
                <c:pt idx="0">
                  <c:v>Wider public</c:v>
                </c:pt>
              </c:strCache>
            </c:strRef>
          </c:tx>
          <c:spPr>
            <a:solidFill>
              <a:schemeClr val="accent1"/>
            </a:solidFill>
            <a:ln>
              <a:solidFill>
                <a:schemeClr val="accen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56E5-4272-82E8-9367703D8616}"/>
              </c:ext>
            </c:extLst>
          </c:dPt>
          <c:dPt>
            <c:idx val="1"/>
            <c:invertIfNegative val="0"/>
            <c:bubble3D val="0"/>
            <c:extLst xmlns:c16r2="http://schemas.microsoft.com/office/drawing/2015/06/chart">
              <c:ext xmlns:c16="http://schemas.microsoft.com/office/drawing/2014/chart" uri="{C3380CC4-5D6E-409C-BE32-E72D297353CC}">
                <c16:uniqueId val="{00000001-56E5-4272-82E8-9367703D8616}"/>
              </c:ext>
            </c:extLst>
          </c:dPt>
          <c:dPt>
            <c:idx val="2"/>
            <c:invertIfNegative val="0"/>
            <c:bubble3D val="0"/>
            <c:extLst xmlns:c16r2="http://schemas.microsoft.com/office/drawing/2015/06/chart">
              <c:ext xmlns:c16="http://schemas.microsoft.com/office/drawing/2014/chart" uri="{C3380CC4-5D6E-409C-BE32-E72D297353CC}">
                <c16:uniqueId val="{00000002-56E5-4272-82E8-9367703D8616}"/>
              </c:ext>
            </c:extLst>
          </c:dPt>
          <c:dPt>
            <c:idx val="3"/>
            <c:invertIfNegative val="0"/>
            <c:bubble3D val="0"/>
            <c:extLst xmlns:c16r2="http://schemas.microsoft.com/office/drawing/2015/06/chart">
              <c:ext xmlns:c16="http://schemas.microsoft.com/office/drawing/2014/chart" uri="{C3380CC4-5D6E-409C-BE32-E72D297353CC}">
                <c16:uniqueId val="{00000003-56E5-4272-82E8-9367703D8616}"/>
              </c:ext>
            </c:extLst>
          </c:dPt>
          <c:dPt>
            <c:idx val="4"/>
            <c:invertIfNegative val="0"/>
            <c:bubble3D val="0"/>
            <c:extLst xmlns:c16r2="http://schemas.microsoft.com/office/drawing/2015/06/chart">
              <c:ext xmlns:c16="http://schemas.microsoft.com/office/drawing/2014/chart" uri="{C3380CC4-5D6E-409C-BE32-E72D297353CC}">
                <c16:uniqueId val="{00000004-56E5-4272-82E8-9367703D8616}"/>
              </c:ext>
            </c:extLst>
          </c:dPt>
          <c:dPt>
            <c:idx val="5"/>
            <c:invertIfNegative val="0"/>
            <c:bubble3D val="0"/>
            <c:extLst xmlns:c16r2="http://schemas.microsoft.com/office/drawing/2015/06/chart">
              <c:ext xmlns:c16="http://schemas.microsoft.com/office/drawing/2014/chart" uri="{C3380CC4-5D6E-409C-BE32-E72D297353CC}">
                <c16:uniqueId val="{00000005-56E5-4272-82E8-9367703D8616}"/>
              </c:ext>
            </c:extLst>
          </c:dPt>
          <c:dLbls>
            <c:dLbl>
              <c:idx val="0"/>
              <c:tx>
                <c:rich>
                  <a:bodyPr/>
                  <a:lstStyle/>
                  <a:p>
                    <a:fld id="{0E4911DF-D033-419C-9C4F-48A936B8C2E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56E5-4272-82E8-9367703D8616}"/>
                </c:ext>
              </c:extLst>
            </c:dLbl>
            <c:dLbl>
              <c:idx val="1"/>
              <c:tx>
                <c:rich>
                  <a:bodyPr/>
                  <a:lstStyle/>
                  <a:p>
                    <a:fld id="{C0AC5841-37E1-49B0-883D-618894E8FBC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56E5-4272-82E8-9367703D8616}"/>
                </c:ext>
              </c:extLst>
            </c:dLbl>
            <c:dLbl>
              <c:idx val="2"/>
              <c:tx>
                <c:rich>
                  <a:bodyPr/>
                  <a:lstStyle/>
                  <a:p>
                    <a:fld id="{E2550344-99F3-4DB0-82A3-E7E6ECBA647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56E5-4272-82E8-9367703D8616}"/>
                </c:ext>
              </c:extLst>
            </c:dLbl>
            <c:dLbl>
              <c:idx val="3"/>
              <c:tx>
                <c:rich>
                  <a:bodyPr/>
                  <a:lstStyle/>
                  <a:p>
                    <a:fld id="{096AAAF9-8B43-4023-8174-4DD69862DCD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56E5-4272-82E8-9367703D8616}"/>
                </c:ext>
              </c:extLst>
            </c:dLbl>
            <c:dLbl>
              <c:idx val="4"/>
              <c:tx>
                <c:rich>
                  <a:bodyPr/>
                  <a:lstStyle/>
                  <a:p>
                    <a:fld id="{120F2835-B649-4BF5-B27E-EC4FDAC0947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56E5-4272-82E8-9367703D8616}"/>
                </c:ext>
              </c:extLst>
            </c:dLbl>
            <c:dLbl>
              <c:idx val="5"/>
              <c:tx>
                <c:rich>
                  <a:bodyPr/>
                  <a:lstStyle/>
                  <a:p>
                    <a:fld id="{29B3C8FA-4A92-416C-920B-2F17AC04664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56E5-4272-82E8-9367703D86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Effectiveness_Avg!$Z$4:$Z$10</c:f>
              <c:numCache>
                <c:formatCode>General</c:formatCode>
                <c:ptCount val="6"/>
                <c:pt idx="0">
                  <c:v>3.4642857142857144</c:v>
                </c:pt>
                <c:pt idx="1">
                  <c:v>3.5517241379310347</c:v>
                </c:pt>
                <c:pt idx="2">
                  <c:v>3.3214285714285716</c:v>
                </c:pt>
                <c:pt idx="3">
                  <c:v>3.4285714285714284</c:v>
                </c:pt>
                <c:pt idx="4">
                  <c:v>3.4642857142857144</c:v>
                </c:pt>
                <c:pt idx="5">
                  <c:v>3.25</c:v>
                </c:pt>
              </c:numCache>
            </c:numRef>
          </c:val>
          <c:extLst xmlns:c16r2="http://schemas.microsoft.com/office/drawing/2015/06/chart">
            <c:ext xmlns:c15="http://schemas.microsoft.com/office/drawing/2012/chart" uri="{02D57815-91ED-43cb-92C2-25804820EDAC}">
              <c15:datalabelsRange>
                <c15:f>Effectiveness_Avg!$Z$22:$Z$27</c15:f>
                <c15:dlblRangeCache>
                  <c:ptCount val="6"/>
                  <c:pt idx="0">
                    <c:v>3.46 (28)</c:v>
                  </c:pt>
                  <c:pt idx="1">
                    <c:v>3.55 (29)</c:v>
                  </c:pt>
                  <c:pt idx="2">
                    <c:v>3.32 (28)</c:v>
                  </c:pt>
                  <c:pt idx="3">
                    <c:v>3.43 (28)</c:v>
                  </c:pt>
                  <c:pt idx="4">
                    <c:v>3.46 (28)</c:v>
                  </c:pt>
                  <c:pt idx="5">
                    <c:v>3.25 (28)</c:v>
                  </c:pt>
                </c15:dlblRangeCache>
              </c15:datalabelsRange>
            </c:ext>
            <c:ext xmlns:c16="http://schemas.microsoft.com/office/drawing/2014/chart" uri="{C3380CC4-5D6E-409C-BE32-E72D297353CC}">
              <c16:uniqueId val="{00000006-56E5-4272-82E8-9367703D8616}"/>
            </c:ext>
          </c:extLst>
        </c:ser>
        <c:ser>
          <c:idx val="1"/>
          <c:order val="1"/>
          <c:tx>
            <c:strRef>
              <c:f>Effectiveness_Avg!$AA$2:$AA$3</c:f>
              <c:strCache>
                <c:ptCount val="1"/>
                <c:pt idx="0">
                  <c:v>Standardisation organisations</c:v>
                </c:pt>
              </c:strCache>
            </c:strRef>
          </c:tx>
          <c:spPr>
            <a:solidFill>
              <a:schemeClr val="accent2"/>
            </a:solidFill>
            <a:ln>
              <a:solidFill>
                <a:schemeClr val="accent2"/>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7-56E5-4272-82E8-9367703D8616}"/>
              </c:ext>
            </c:extLst>
          </c:dPt>
          <c:dPt>
            <c:idx val="1"/>
            <c:invertIfNegative val="0"/>
            <c:bubble3D val="0"/>
            <c:extLst xmlns:c16r2="http://schemas.microsoft.com/office/drawing/2015/06/chart">
              <c:ext xmlns:c16="http://schemas.microsoft.com/office/drawing/2014/chart" uri="{C3380CC4-5D6E-409C-BE32-E72D297353CC}">
                <c16:uniqueId val="{00000008-56E5-4272-82E8-9367703D8616}"/>
              </c:ext>
            </c:extLst>
          </c:dPt>
          <c:dPt>
            <c:idx val="2"/>
            <c:invertIfNegative val="0"/>
            <c:bubble3D val="0"/>
            <c:extLst xmlns:c16r2="http://schemas.microsoft.com/office/drawing/2015/06/chart">
              <c:ext xmlns:c16="http://schemas.microsoft.com/office/drawing/2014/chart" uri="{C3380CC4-5D6E-409C-BE32-E72D297353CC}">
                <c16:uniqueId val="{00000009-56E5-4272-82E8-9367703D8616}"/>
              </c:ext>
            </c:extLst>
          </c:dPt>
          <c:dPt>
            <c:idx val="3"/>
            <c:invertIfNegative val="0"/>
            <c:bubble3D val="0"/>
            <c:extLst xmlns:c16r2="http://schemas.microsoft.com/office/drawing/2015/06/chart">
              <c:ext xmlns:c16="http://schemas.microsoft.com/office/drawing/2014/chart" uri="{C3380CC4-5D6E-409C-BE32-E72D297353CC}">
                <c16:uniqueId val="{0000000A-56E5-4272-82E8-9367703D8616}"/>
              </c:ext>
            </c:extLst>
          </c:dPt>
          <c:dPt>
            <c:idx val="4"/>
            <c:invertIfNegative val="0"/>
            <c:bubble3D val="0"/>
            <c:extLst xmlns:c16r2="http://schemas.microsoft.com/office/drawing/2015/06/chart">
              <c:ext xmlns:c16="http://schemas.microsoft.com/office/drawing/2014/chart" uri="{C3380CC4-5D6E-409C-BE32-E72D297353CC}">
                <c16:uniqueId val="{0000000B-56E5-4272-82E8-9367703D8616}"/>
              </c:ext>
            </c:extLst>
          </c:dPt>
          <c:dPt>
            <c:idx val="5"/>
            <c:invertIfNegative val="0"/>
            <c:bubble3D val="0"/>
            <c:extLst xmlns:c16r2="http://schemas.microsoft.com/office/drawing/2015/06/chart">
              <c:ext xmlns:c16="http://schemas.microsoft.com/office/drawing/2014/chart" uri="{C3380CC4-5D6E-409C-BE32-E72D297353CC}">
                <c16:uniqueId val="{0000000C-56E5-4272-82E8-9367703D8616}"/>
              </c:ext>
            </c:extLst>
          </c:dPt>
          <c:dLbls>
            <c:dLbl>
              <c:idx val="0"/>
              <c:tx>
                <c:rich>
                  <a:bodyPr/>
                  <a:lstStyle/>
                  <a:p>
                    <a:fld id="{BBEE2140-DBB2-4E2D-B483-0A8DB6412145}"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56E5-4272-82E8-9367703D8616}"/>
                </c:ext>
              </c:extLst>
            </c:dLbl>
            <c:dLbl>
              <c:idx val="1"/>
              <c:tx>
                <c:rich>
                  <a:bodyPr/>
                  <a:lstStyle/>
                  <a:p>
                    <a:fld id="{A908A97B-8BFC-4E45-8B50-EF6480E9807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56E5-4272-82E8-9367703D8616}"/>
                </c:ext>
              </c:extLst>
            </c:dLbl>
            <c:dLbl>
              <c:idx val="2"/>
              <c:tx>
                <c:rich>
                  <a:bodyPr/>
                  <a:lstStyle/>
                  <a:p>
                    <a:fld id="{31CA9E72-1D2E-4AC3-B073-DF6CC9917F5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56E5-4272-82E8-9367703D8616}"/>
                </c:ext>
              </c:extLst>
            </c:dLbl>
            <c:dLbl>
              <c:idx val="3"/>
              <c:tx>
                <c:rich>
                  <a:bodyPr/>
                  <a:lstStyle/>
                  <a:p>
                    <a:fld id="{AADCEA92-EDDA-476B-9E4F-A327E35CDA8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56E5-4272-82E8-9367703D8616}"/>
                </c:ext>
              </c:extLst>
            </c:dLbl>
            <c:dLbl>
              <c:idx val="4"/>
              <c:tx>
                <c:rich>
                  <a:bodyPr/>
                  <a:lstStyle/>
                  <a:p>
                    <a:fld id="{B26687E7-6D1A-43DA-987F-45EAD02E51B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56E5-4272-82E8-9367703D8616}"/>
                </c:ext>
              </c:extLst>
            </c:dLbl>
            <c:dLbl>
              <c:idx val="5"/>
              <c:tx>
                <c:rich>
                  <a:bodyPr/>
                  <a:lstStyle/>
                  <a:p>
                    <a:fld id="{076AABAB-04DF-43A1-B7A1-E065EE7F03B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56E5-4272-82E8-9367703D86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Effectiveness_Avg!$AA$4:$AA$10</c:f>
              <c:numCache>
                <c:formatCode>General</c:formatCode>
                <c:ptCount val="6"/>
                <c:pt idx="0">
                  <c:v>3</c:v>
                </c:pt>
                <c:pt idx="1">
                  <c:v>3</c:v>
                </c:pt>
                <c:pt idx="2">
                  <c:v>3</c:v>
                </c:pt>
                <c:pt idx="3">
                  <c:v>3</c:v>
                </c:pt>
                <c:pt idx="4">
                  <c:v>3</c:v>
                </c:pt>
                <c:pt idx="5">
                  <c:v>3</c:v>
                </c:pt>
              </c:numCache>
            </c:numRef>
          </c:val>
          <c:extLst xmlns:c16r2="http://schemas.microsoft.com/office/drawing/2015/06/chart">
            <c:ext xmlns:c15="http://schemas.microsoft.com/office/drawing/2012/chart" uri="{02D57815-91ED-43cb-92C2-25804820EDAC}">
              <c15:datalabelsRange>
                <c15:f>Effectiveness_Avg!$AA$22:$AA$27</c15:f>
                <c15:dlblRangeCache>
                  <c:ptCount val="6"/>
                  <c:pt idx="0">
                    <c:v>3.00 (1)</c:v>
                  </c:pt>
                  <c:pt idx="1">
                    <c:v>3.00 (1)</c:v>
                  </c:pt>
                  <c:pt idx="2">
                    <c:v>3.00 (1)</c:v>
                  </c:pt>
                  <c:pt idx="3">
                    <c:v>3.00 (1)</c:v>
                  </c:pt>
                  <c:pt idx="4">
                    <c:v>3.00 (1)</c:v>
                  </c:pt>
                  <c:pt idx="5">
                    <c:v>3.00 (1)</c:v>
                  </c:pt>
                </c15:dlblRangeCache>
              </c15:datalabelsRange>
            </c:ext>
            <c:ext xmlns:c16="http://schemas.microsoft.com/office/drawing/2014/chart" uri="{C3380CC4-5D6E-409C-BE32-E72D297353CC}">
              <c16:uniqueId val="{0000000D-56E5-4272-82E8-9367703D8616}"/>
            </c:ext>
          </c:extLst>
        </c:ser>
        <c:ser>
          <c:idx val="2"/>
          <c:order val="2"/>
          <c:tx>
            <c:strRef>
              <c:f>Effectiveness_Avg!$AB$2:$AB$3</c:f>
              <c:strCache>
                <c:ptCount val="1"/>
                <c:pt idx="0">
                  <c:v>Solution users</c:v>
                </c:pt>
              </c:strCache>
            </c:strRef>
          </c:tx>
          <c:spPr>
            <a:solidFill>
              <a:schemeClr val="accent4"/>
            </a:solidFill>
            <a:ln>
              <a:solidFill>
                <a:schemeClr val="accent4"/>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E-56E5-4272-82E8-9367703D8616}"/>
              </c:ext>
            </c:extLst>
          </c:dPt>
          <c:dPt>
            <c:idx val="1"/>
            <c:invertIfNegative val="0"/>
            <c:bubble3D val="0"/>
            <c:extLst xmlns:c16r2="http://schemas.microsoft.com/office/drawing/2015/06/chart">
              <c:ext xmlns:c16="http://schemas.microsoft.com/office/drawing/2014/chart" uri="{C3380CC4-5D6E-409C-BE32-E72D297353CC}">
                <c16:uniqueId val="{0000000F-56E5-4272-82E8-9367703D8616}"/>
              </c:ext>
            </c:extLst>
          </c:dPt>
          <c:dPt>
            <c:idx val="2"/>
            <c:invertIfNegative val="0"/>
            <c:bubble3D val="0"/>
            <c:extLst xmlns:c16r2="http://schemas.microsoft.com/office/drawing/2015/06/chart">
              <c:ext xmlns:c16="http://schemas.microsoft.com/office/drawing/2014/chart" uri="{C3380CC4-5D6E-409C-BE32-E72D297353CC}">
                <c16:uniqueId val="{00000010-56E5-4272-82E8-9367703D8616}"/>
              </c:ext>
            </c:extLst>
          </c:dPt>
          <c:dPt>
            <c:idx val="3"/>
            <c:invertIfNegative val="0"/>
            <c:bubble3D val="0"/>
            <c:extLst xmlns:c16r2="http://schemas.microsoft.com/office/drawing/2015/06/chart">
              <c:ext xmlns:c16="http://schemas.microsoft.com/office/drawing/2014/chart" uri="{C3380CC4-5D6E-409C-BE32-E72D297353CC}">
                <c16:uniqueId val="{00000011-56E5-4272-82E8-9367703D8616}"/>
              </c:ext>
            </c:extLst>
          </c:dPt>
          <c:dPt>
            <c:idx val="4"/>
            <c:invertIfNegative val="0"/>
            <c:bubble3D val="0"/>
            <c:extLst xmlns:c16r2="http://schemas.microsoft.com/office/drawing/2015/06/chart">
              <c:ext xmlns:c16="http://schemas.microsoft.com/office/drawing/2014/chart" uri="{C3380CC4-5D6E-409C-BE32-E72D297353CC}">
                <c16:uniqueId val="{00000012-56E5-4272-82E8-9367703D8616}"/>
              </c:ext>
            </c:extLst>
          </c:dPt>
          <c:dPt>
            <c:idx val="5"/>
            <c:invertIfNegative val="0"/>
            <c:bubble3D val="0"/>
            <c:extLst xmlns:c16r2="http://schemas.microsoft.com/office/drawing/2015/06/chart">
              <c:ext xmlns:c16="http://schemas.microsoft.com/office/drawing/2014/chart" uri="{C3380CC4-5D6E-409C-BE32-E72D297353CC}">
                <c16:uniqueId val="{00000013-56E5-4272-82E8-9367703D8616}"/>
              </c:ext>
            </c:extLst>
          </c:dPt>
          <c:dLbls>
            <c:dLbl>
              <c:idx val="0"/>
              <c:tx>
                <c:rich>
                  <a:bodyPr/>
                  <a:lstStyle/>
                  <a:p>
                    <a:fld id="{0A5A3727-8D79-41E2-B5D1-78D810D1582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E-56E5-4272-82E8-9367703D8616}"/>
                </c:ext>
              </c:extLst>
            </c:dLbl>
            <c:dLbl>
              <c:idx val="1"/>
              <c:tx>
                <c:rich>
                  <a:bodyPr/>
                  <a:lstStyle/>
                  <a:p>
                    <a:fld id="{ADA9A498-A777-4D58-BE7B-BD29AE9BDA0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56E5-4272-82E8-9367703D8616}"/>
                </c:ext>
              </c:extLst>
            </c:dLbl>
            <c:dLbl>
              <c:idx val="2"/>
              <c:tx>
                <c:rich>
                  <a:bodyPr/>
                  <a:lstStyle/>
                  <a:p>
                    <a:fld id="{23013AE8-4183-452F-90AB-48FD2901398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56E5-4272-82E8-9367703D8616}"/>
                </c:ext>
              </c:extLst>
            </c:dLbl>
            <c:dLbl>
              <c:idx val="3"/>
              <c:tx>
                <c:rich>
                  <a:bodyPr/>
                  <a:lstStyle/>
                  <a:p>
                    <a:fld id="{3343EB59-DAAB-4563-891E-537E89AD433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56E5-4272-82E8-9367703D8616}"/>
                </c:ext>
              </c:extLst>
            </c:dLbl>
            <c:dLbl>
              <c:idx val="4"/>
              <c:tx>
                <c:rich>
                  <a:bodyPr/>
                  <a:lstStyle/>
                  <a:p>
                    <a:fld id="{60586826-FA98-408B-962D-E183BB0BC2E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56E5-4272-82E8-9367703D8616}"/>
                </c:ext>
              </c:extLst>
            </c:dLbl>
            <c:dLbl>
              <c:idx val="5"/>
              <c:tx>
                <c:rich>
                  <a:bodyPr/>
                  <a:lstStyle/>
                  <a:p>
                    <a:fld id="{26427DE7-34AD-4DBF-9F60-6952ADF9BD3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56E5-4272-82E8-9367703D86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Effectiveness_Avg!$AB$4:$AB$10</c:f>
              <c:numCache>
                <c:formatCode>General</c:formatCode>
                <c:ptCount val="6"/>
                <c:pt idx="0">
                  <c:v>3.625</c:v>
                </c:pt>
                <c:pt idx="1">
                  <c:v>3.5142857142857142</c:v>
                </c:pt>
                <c:pt idx="2">
                  <c:v>3.4102564102564101</c:v>
                </c:pt>
                <c:pt idx="3">
                  <c:v>3.55</c:v>
                </c:pt>
                <c:pt idx="4">
                  <c:v>3.5789473684210527</c:v>
                </c:pt>
                <c:pt idx="5">
                  <c:v>3.4249999999999998</c:v>
                </c:pt>
              </c:numCache>
            </c:numRef>
          </c:val>
          <c:extLst xmlns:c16r2="http://schemas.microsoft.com/office/drawing/2015/06/chart">
            <c:ext xmlns:c15="http://schemas.microsoft.com/office/drawing/2012/chart" uri="{02D57815-91ED-43cb-92C2-25804820EDAC}">
              <c15:datalabelsRange>
                <c15:f>Effectiveness_Avg!$AB$22:$AB$27</c15:f>
                <c15:dlblRangeCache>
                  <c:ptCount val="6"/>
                  <c:pt idx="0">
                    <c:v>3.63 (40)</c:v>
                  </c:pt>
                  <c:pt idx="1">
                    <c:v>3.51 (35)</c:v>
                  </c:pt>
                  <c:pt idx="2">
                    <c:v>3.41 (39)</c:v>
                  </c:pt>
                  <c:pt idx="3">
                    <c:v>3.55 (40)</c:v>
                  </c:pt>
                  <c:pt idx="4">
                    <c:v>3.58 (38)</c:v>
                  </c:pt>
                  <c:pt idx="5">
                    <c:v>3.43 (40)</c:v>
                  </c:pt>
                </c15:dlblRangeCache>
              </c15:datalabelsRange>
            </c:ext>
            <c:ext xmlns:c16="http://schemas.microsoft.com/office/drawing/2014/chart" uri="{C3380CC4-5D6E-409C-BE32-E72D297353CC}">
              <c16:uniqueId val="{00000014-56E5-4272-82E8-9367703D8616}"/>
            </c:ext>
          </c:extLst>
        </c:ser>
        <c:ser>
          <c:idx val="3"/>
          <c:order val="3"/>
          <c:tx>
            <c:strRef>
              <c:f>Effectiveness_Avg!$AC$2:$AC$3</c:f>
              <c:strCache>
                <c:ptCount val="1"/>
                <c:pt idx="0">
                  <c:v>Programme governance</c:v>
                </c:pt>
              </c:strCache>
            </c:strRef>
          </c:tx>
          <c:spPr>
            <a:solidFill>
              <a:schemeClr val="accent5"/>
            </a:solidFill>
            <a:ln>
              <a:solidFill>
                <a:schemeClr val="accent5"/>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5-56E5-4272-82E8-9367703D8616}"/>
              </c:ext>
            </c:extLst>
          </c:dPt>
          <c:dPt>
            <c:idx val="1"/>
            <c:invertIfNegative val="0"/>
            <c:bubble3D val="0"/>
            <c:extLst xmlns:c16r2="http://schemas.microsoft.com/office/drawing/2015/06/chart">
              <c:ext xmlns:c16="http://schemas.microsoft.com/office/drawing/2014/chart" uri="{C3380CC4-5D6E-409C-BE32-E72D297353CC}">
                <c16:uniqueId val="{00000016-56E5-4272-82E8-9367703D8616}"/>
              </c:ext>
            </c:extLst>
          </c:dPt>
          <c:dPt>
            <c:idx val="2"/>
            <c:invertIfNegative val="0"/>
            <c:bubble3D val="0"/>
            <c:extLst xmlns:c16r2="http://schemas.microsoft.com/office/drawing/2015/06/chart">
              <c:ext xmlns:c16="http://schemas.microsoft.com/office/drawing/2014/chart" uri="{C3380CC4-5D6E-409C-BE32-E72D297353CC}">
                <c16:uniqueId val="{00000017-56E5-4272-82E8-9367703D8616}"/>
              </c:ext>
            </c:extLst>
          </c:dPt>
          <c:dPt>
            <c:idx val="3"/>
            <c:invertIfNegative val="0"/>
            <c:bubble3D val="0"/>
            <c:extLst xmlns:c16r2="http://schemas.microsoft.com/office/drawing/2015/06/chart">
              <c:ext xmlns:c16="http://schemas.microsoft.com/office/drawing/2014/chart" uri="{C3380CC4-5D6E-409C-BE32-E72D297353CC}">
                <c16:uniqueId val="{00000018-56E5-4272-82E8-9367703D8616}"/>
              </c:ext>
            </c:extLst>
          </c:dPt>
          <c:dPt>
            <c:idx val="4"/>
            <c:invertIfNegative val="0"/>
            <c:bubble3D val="0"/>
            <c:extLst xmlns:c16r2="http://schemas.microsoft.com/office/drawing/2015/06/chart">
              <c:ext xmlns:c16="http://schemas.microsoft.com/office/drawing/2014/chart" uri="{C3380CC4-5D6E-409C-BE32-E72D297353CC}">
                <c16:uniqueId val="{00000019-56E5-4272-82E8-9367703D8616}"/>
              </c:ext>
            </c:extLst>
          </c:dPt>
          <c:dPt>
            <c:idx val="5"/>
            <c:invertIfNegative val="0"/>
            <c:bubble3D val="0"/>
            <c:extLst xmlns:c16r2="http://schemas.microsoft.com/office/drawing/2015/06/chart">
              <c:ext xmlns:c16="http://schemas.microsoft.com/office/drawing/2014/chart" uri="{C3380CC4-5D6E-409C-BE32-E72D297353CC}">
                <c16:uniqueId val="{0000001A-56E5-4272-82E8-9367703D8616}"/>
              </c:ext>
            </c:extLst>
          </c:dPt>
          <c:dLbls>
            <c:dLbl>
              <c:idx val="0"/>
              <c:tx>
                <c:rich>
                  <a:bodyPr/>
                  <a:lstStyle/>
                  <a:p>
                    <a:fld id="{48C46BB2-98BA-4147-BB3A-F0124468951A}"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5-56E5-4272-82E8-9367703D8616}"/>
                </c:ext>
              </c:extLst>
            </c:dLbl>
            <c:dLbl>
              <c:idx val="1"/>
              <c:tx>
                <c:rich>
                  <a:bodyPr/>
                  <a:lstStyle/>
                  <a:p>
                    <a:fld id="{9184FB49-973D-4FA9-99F7-4F185AE17F7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56E5-4272-82E8-9367703D8616}"/>
                </c:ext>
              </c:extLst>
            </c:dLbl>
            <c:dLbl>
              <c:idx val="2"/>
              <c:tx>
                <c:rich>
                  <a:bodyPr/>
                  <a:lstStyle/>
                  <a:p>
                    <a:fld id="{7C0AC3C7-7046-4B3B-91B9-36D941A405A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56E5-4272-82E8-9367703D8616}"/>
                </c:ext>
              </c:extLst>
            </c:dLbl>
            <c:dLbl>
              <c:idx val="3"/>
              <c:tx>
                <c:rich>
                  <a:bodyPr/>
                  <a:lstStyle/>
                  <a:p>
                    <a:fld id="{570D80FE-7697-4E54-B744-FE5DAF197CA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56E5-4272-82E8-9367703D8616}"/>
                </c:ext>
              </c:extLst>
            </c:dLbl>
            <c:dLbl>
              <c:idx val="4"/>
              <c:tx>
                <c:rich>
                  <a:bodyPr/>
                  <a:lstStyle/>
                  <a:p>
                    <a:fld id="{BA813A9C-91DB-4539-AECE-FB40D3BC54C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56E5-4272-82E8-9367703D8616}"/>
                </c:ext>
              </c:extLst>
            </c:dLbl>
            <c:dLbl>
              <c:idx val="5"/>
              <c:tx>
                <c:rich>
                  <a:bodyPr/>
                  <a:lstStyle/>
                  <a:p>
                    <a:fld id="{B81E0764-5A40-4D75-B0E9-4197CA8C6E1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56E5-4272-82E8-9367703D86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Effectiveness_Avg!$AC$4:$AC$10</c:f>
              <c:numCache>
                <c:formatCode>General</c:formatCode>
                <c:ptCount val="6"/>
                <c:pt idx="0">
                  <c:v>3.6315789473684212</c:v>
                </c:pt>
                <c:pt idx="1">
                  <c:v>3.7222222222222223</c:v>
                </c:pt>
                <c:pt idx="2">
                  <c:v>2.9473684210526314</c:v>
                </c:pt>
                <c:pt idx="3">
                  <c:v>3.5263157894736841</c:v>
                </c:pt>
                <c:pt idx="4">
                  <c:v>3.8947368421052633</c:v>
                </c:pt>
                <c:pt idx="5">
                  <c:v>3.4736842105263159</c:v>
                </c:pt>
              </c:numCache>
            </c:numRef>
          </c:val>
          <c:extLst xmlns:c16r2="http://schemas.microsoft.com/office/drawing/2015/06/chart">
            <c:ext xmlns:c15="http://schemas.microsoft.com/office/drawing/2012/chart" uri="{02D57815-91ED-43cb-92C2-25804820EDAC}">
              <c15:datalabelsRange>
                <c15:f>Effectiveness_Avg!$AC$22:$AC$27</c15:f>
                <c15:dlblRangeCache>
                  <c:ptCount val="6"/>
                  <c:pt idx="0">
                    <c:v>3.63 (19)</c:v>
                  </c:pt>
                  <c:pt idx="1">
                    <c:v>3.72 (18)</c:v>
                  </c:pt>
                  <c:pt idx="2">
                    <c:v>2.95 (19)</c:v>
                  </c:pt>
                  <c:pt idx="3">
                    <c:v>3.53 (19)</c:v>
                  </c:pt>
                  <c:pt idx="4">
                    <c:v>3.89 (19)</c:v>
                  </c:pt>
                  <c:pt idx="5">
                    <c:v>3.47 (19)</c:v>
                  </c:pt>
                </c15:dlblRangeCache>
              </c15:datalabelsRange>
            </c:ext>
            <c:ext xmlns:c16="http://schemas.microsoft.com/office/drawing/2014/chart" uri="{C3380CC4-5D6E-409C-BE32-E72D297353CC}">
              <c16:uniqueId val="{0000001B-56E5-4272-82E8-9367703D8616}"/>
            </c:ext>
          </c:extLst>
        </c:ser>
        <c:ser>
          <c:idx val="4"/>
          <c:order val="4"/>
          <c:tx>
            <c:strRef>
              <c:f>Effectiveness_Avg!$AD$2:$AD$3</c:f>
              <c:strCache>
                <c:ptCount val="1"/>
                <c:pt idx="0">
                  <c:v>Action owners</c:v>
                </c:pt>
              </c:strCache>
            </c:strRef>
          </c:tx>
          <c:spPr>
            <a:solidFill>
              <a:schemeClr val="accent6"/>
            </a:solidFill>
            <a:ln>
              <a:solidFill>
                <a:schemeClr val="accent6"/>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C-56E5-4272-82E8-9367703D8616}"/>
              </c:ext>
            </c:extLst>
          </c:dPt>
          <c:dPt>
            <c:idx val="1"/>
            <c:invertIfNegative val="0"/>
            <c:bubble3D val="0"/>
            <c:extLst xmlns:c16r2="http://schemas.microsoft.com/office/drawing/2015/06/chart">
              <c:ext xmlns:c16="http://schemas.microsoft.com/office/drawing/2014/chart" uri="{C3380CC4-5D6E-409C-BE32-E72D297353CC}">
                <c16:uniqueId val="{0000001D-56E5-4272-82E8-9367703D8616}"/>
              </c:ext>
            </c:extLst>
          </c:dPt>
          <c:dPt>
            <c:idx val="2"/>
            <c:invertIfNegative val="0"/>
            <c:bubble3D val="0"/>
            <c:extLst xmlns:c16r2="http://schemas.microsoft.com/office/drawing/2015/06/chart">
              <c:ext xmlns:c16="http://schemas.microsoft.com/office/drawing/2014/chart" uri="{C3380CC4-5D6E-409C-BE32-E72D297353CC}">
                <c16:uniqueId val="{0000001E-56E5-4272-82E8-9367703D8616}"/>
              </c:ext>
            </c:extLst>
          </c:dPt>
          <c:dPt>
            <c:idx val="3"/>
            <c:invertIfNegative val="0"/>
            <c:bubble3D val="0"/>
            <c:extLst xmlns:c16r2="http://schemas.microsoft.com/office/drawing/2015/06/chart">
              <c:ext xmlns:c16="http://schemas.microsoft.com/office/drawing/2014/chart" uri="{C3380CC4-5D6E-409C-BE32-E72D297353CC}">
                <c16:uniqueId val="{0000001F-56E5-4272-82E8-9367703D8616}"/>
              </c:ext>
            </c:extLst>
          </c:dPt>
          <c:dPt>
            <c:idx val="4"/>
            <c:invertIfNegative val="0"/>
            <c:bubble3D val="0"/>
            <c:extLst xmlns:c16r2="http://schemas.microsoft.com/office/drawing/2015/06/chart">
              <c:ext xmlns:c16="http://schemas.microsoft.com/office/drawing/2014/chart" uri="{C3380CC4-5D6E-409C-BE32-E72D297353CC}">
                <c16:uniqueId val="{00000020-56E5-4272-82E8-9367703D8616}"/>
              </c:ext>
            </c:extLst>
          </c:dPt>
          <c:dPt>
            <c:idx val="5"/>
            <c:invertIfNegative val="0"/>
            <c:bubble3D val="0"/>
            <c:extLst xmlns:c16r2="http://schemas.microsoft.com/office/drawing/2015/06/chart">
              <c:ext xmlns:c16="http://schemas.microsoft.com/office/drawing/2014/chart" uri="{C3380CC4-5D6E-409C-BE32-E72D297353CC}">
                <c16:uniqueId val="{00000021-56E5-4272-82E8-9367703D8616}"/>
              </c:ext>
            </c:extLst>
          </c:dPt>
          <c:dLbls>
            <c:dLbl>
              <c:idx val="0"/>
              <c:tx>
                <c:rich>
                  <a:bodyPr/>
                  <a:lstStyle/>
                  <a:p>
                    <a:fld id="{27BF38AB-645F-4CDB-BE93-BC0ED8F6677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C-56E5-4272-82E8-9367703D8616}"/>
                </c:ext>
              </c:extLst>
            </c:dLbl>
            <c:dLbl>
              <c:idx val="1"/>
              <c:tx>
                <c:rich>
                  <a:bodyPr/>
                  <a:lstStyle/>
                  <a:p>
                    <a:fld id="{6C14EEB5-FFA0-46BB-BC24-CC2C2E3BDE8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56E5-4272-82E8-9367703D8616}"/>
                </c:ext>
              </c:extLst>
            </c:dLbl>
            <c:dLbl>
              <c:idx val="2"/>
              <c:tx>
                <c:rich>
                  <a:bodyPr/>
                  <a:lstStyle/>
                  <a:p>
                    <a:fld id="{EFDB2A95-95CE-4579-9889-3EB8A6E51C4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56E5-4272-82E8-9367703D8616}"/>
                </c:ext>
              </c:extLst>
            </c:dLbl>
            <c:dLbl>
              <c:idx val="3"/>
              <c:tx>
                <c:rich>
                  <a:bodyPr/>
                  <a:lstStyle/>
                  <a:p>
                    <a:fld id="{2475A524-668F-4689-9B11-96E3DCFC9A6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56E5-4272-82E8-9367703D8616}"/>
                </c:ext>
              </c:extLst>
            </c:dLbl>
            <c:dLbl>
              <c:idx val="4"/>
              <c:tx>
                <c:rich>
                  <a:bodyPr/>
                  <a:lstStyle/>
                  <a:p>
                    <a:fld id="{5889B1CF-54DA-4418-B3D2-7430C3FB2F1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56E5-4272-82E8-9367703D8616}"/>
                </c:ext>
              </c:extLst>
            </c:dLbl>
            <c:dLbl>
              <c:idx val="5"/>
              <c:tx>
                <c:rich>
                  <a:bodyPr/>
                  <a:lstStyle/>
                  <a:p>
                    <a:fld id="{8EB61B14-939F-466A-9221-450702827CB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56E5-4272-82E8-9367703D86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Effectiveness_Avg!$AD$4:$AD$10</c:f>
              <c:numCache>
                <c:formatCode>General</c:formatCode>
                <c:ptCount val="6"/>
                <c:pt idx="0">
                  <c:v>3.45</c:v>
                </c:pt>
                <c:pt idx="1">
                  <c:v>3.4736842105263159</c:v>
                </c:pt>
                <c:pt idx="2">
                  <c:v>2.8947368421052633</c:v>
                </c:pt>
                <c:pt idx="3">
                  <c:v>3.2857142857142856</c:v>
                </c:pt>
                <c:pt idx="4">
                  <c:v>3.65</c:v>
                </c:pt>
                <c:pt idx="5">
                  <c:v>3.2380952380952381</c:v>
                </c:pt>
              </c:numCache>
            </c:numRef>
          </c:val>
          <c:extLst xmlns:c16r2="http://schemas.microsoft.com/office/drawing/2015/06/chart">
            <c:ext xmlns:c15="http://schemas.microsoft.com/office/drawing/2012/chart" uri="{02D57815-91ED-43cb-92C2-25804820EDAC}">
              <c15:datalabelsRange>
                <c15:f>Effectiveness_Avg!$AD$22:$AD$27</c15:f>
                <c15:dlblRangeCache>
                  <c:ptCount val="6"/>
                  <c:pt idx="0">
                    <c:v>3.45 (20)</c:v>
                  </c:pt>
                  <c:pt idx="1">
                    <c:v>3.47 (19)</c:v>
                  </c:pt>
                  <c:pt idx="2">
                    <c:v>2.89 (19)</c:v>
                  </c:pt>
                  <c:pt idx="3">
                    <c:v>3.29 (21)</c:v>
                  </c:pt>
                  <c:pt idx="4">
                    <c:v>3.65 (20)</c:v>
                  </c:pt>
                  <c:pt idx="5">
                    <c:v>3.24 (21)</c:v>
                  </c:pt>
                </c15:dlblRangeCache>
              </c15:datalabelsRange>
            </c:ext>
            <c:ext xmlns:c16="http://schemas.microsoft.com/office/drawing/2014/chart" uri="{C3380CC4-5D6E-409C-BE32-E72D297353CC}">
              <c16:uniqueId val="{00000022-56E5-4272-82E8-9367703D8616}"/>
            </c:ext>
          </c:extLst>
        </c:ser>
        <c:dLbls>
          <c:dLblPos val="outEnd"/>
          <c:showLegendKey val="0"/>
          <c:showVal val="1"/>
          <c:showCatName val="0"/>
          <c:showSerName val="0"/>
          <c:showPercent val="0"/>
          <c:showBubbleSize val="0"/>
        </c:dLbls>
        <c:gapWidth val="182"/>
        <c:axId val="102274176"/>
        <c:axId val="102275712"/>
      </c:barChart>
      <c:catAx>
        <c:axId val="10227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2275712"/>
        <c:crosses val="autoZero"/>
        <c:auto val="1"/>
        <c:lblAlgn val="ctr"/>
        <c:lblOffset val="100"/>
        <c:noMultiLvlLbl val="0"/>
      </c:catAx>
      <c:valAx>
        <c:axId val="102275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22741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dynamique7</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0.50230895865172853"/>
          <c:y val="1.2483870761069431E-2"/>
          <c:w val="0.37166129431766676"/>
          <c:h val="0.9217452042702623"/>
        </c:manualLayout>
      </c:layout>
      <c:barChart>
        <c:barDir val="bar"/>
        <c:grouping val="clustered"/>
        <c:varyColors val="0"/>
        <c:ser>
          <c:idx val="0"/>
          <c:order val="0"/>
          <c:tx>
            <c:strRef>
              <c:f>Effectiveness_Avg!$Z$114:$Z$115</c:f>
              <c:strCache>
                <c:ptCount val="1"/>
                <c:pt idx="0">
                  <c:v>Solution users</c:v>
                </c:pt>
              </c:strCache>
            </c:strRef>
          </c:tx>
          <c:spPr>
            <a:solidFill>
              <a:schemeClr val="accent4"/>
            </a:solidFill>
            <a:ln>
              <a:solidFill>
                <a:schemeClr val="accent4"/>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BC2-4B61-AB65-7C8D3B5D95DC}"/>
              </c:ext>
            </c:extLst>
          </c:dPt>
          <c:dPt>
            <c:idx val="1"/>
            <c:invertIfNegative val="0"/>
            <c:bubble3D val="0"/>
            <c:extLst xmlns:c16r2="http://schemas.microsoft.com/office/drawing/2015/06/chart">
              <c:ext xmlns:c16="http://schemas.microsoft.com/office/drawing/2014/chart" uri="{C3380CC4-5D6E-409C-BE32-E72D297353CC}">
                <c16:uniqueId val="{00000001-8BC2-4B61-AB65-7C8D3B5D95DC}"/>
              </c:ext>
            </c:extLst>
          </c:dPt>
          <c:dPt>
            <c:idx val="2"/>
            <c:invertIfNegative val="0"/>
            <c:bubble3D val="0"/>
            <c:extLst xmlns:c16r2="http://schemas.microsoft.com/office/drawing/2015/06/chart">
              <c:ext xmlns:c16="http://schemas.microsoft.com/office/drawing/2014/chart" uri="{C3380CC4-5D6E-409C-BE32-E72D297353CC}">
                <c16:uniqueId val="{00000002-8BC2-4B61-AB65-7C8D3B5D95DC}"/>
              </c:ext>
            </c:extLst>
          </c:dPt>
          <c:dPt>
            <c:idx val="3"/>
            <c:invertIfNegative val="0"/>
            <c:bubble3D val="0"/>
            <c:extLst xmlns:c16r2="http://schemas.microsoft.com/office/drawing/2015/06/chart">
              <c:ext xmlns:c16="http://schemas.microsoft.com/office/drawing/2014/chart" uri="{C3380CC4-5D6E-409C-BE32-E72D297353CC}">
                <c16:uniqueId val="{00000003-8BC2-4B61-AB65-7C8D3B5D95DC}"/>
              </c:ext>
            </c:extLst>
          </c:dPt>
          <c:dPt>
            <c:idx val="4"/>
            <c:invertIfNegative val="0"/>
            <c:bubble3D val="0"/>
            <c:extLst xmlns:c16r2="http://schemas.microsoft.com/office/drawing/2015/06/chart">
              <c:ext xmlns:c16="http://schemas.microsoft.com/office/drawing/2014/chart" uri="{C3380CC4-5D6E-409C-BE32-E72D297353CC}">
                <c16:uniqueId val="{00000004-8BC2-4B61-AB65-7C8D3B5D95DC}"/>
              </c:ext>
            </c:extLst>
          </c:dPt>
          <c:dPt>
            <c:idx val="5"/>
            <c:invertIfNegative val="0"/>
            <c:bubble3D val="0"/>
            <c:extLst xmlns:c16r2="http://schemas.microsoft.com/office/drawing/2015/06/chart">
              <c:ext xmlns:c16="http://schemas.microsoft.com/office/drawing/2014/chart" uri="{C3380CC4-5D6E-409C-BE32-E72D297353CC}">
                <c16:uniqueId val="{00000005-8BC2-4B61-AB65-7C8D3B5D95DC}"/>
              </c:ext>
            </c:extLst>
          </c:dPt>
          <c:dPt>
            <c:idx val="6"/>
            <c:invertIfNegative val="0"/>
            <c:bubble3D val="0"/>
            <c:extLst xmlns:c16r2="http://schemas.microsoft.com/office/drawing/2015/06/chart">
              <c:ext xmlns:c16="http://schemas.microsoft.com/office/drawing/2014/chart" uri="{C3380CC4-5D6E-409C-BE32-E72D297353CC}">
                <c16:uniqueId val="{00000006-8BC2-4B61-AB65-7C8D3B5D95DC}"/>
              </c:ext>
            </c:extLst>
          </c:dPt>
          <c:dPt>
            <c:idx val="7"/>
            <c:invertIfNegative val="0"/>
            <c:bubble3D val="0"/>
            <c:extLst xmlns:c16r2="http://schemas.microsoft.com/office/drawing/2015/06/chart">
              <c:ext xmlns:c16="http://schemas.microsoft.com/office/drawing/2014/chart" uri="{C3380CC4-5D6E-409C-BE32-E72D297353CC}">
                <c16:uniqueId val="{00000007-8BC2-4B61-AB65-7C8D3B5D95DC}"/>
              </c:ext>
            </c:extLst>
          </c:dPt>
          <c:dPt>
            <c:idx val="8"/>
            <c:invertIfNegative val="0"/>
            <c:bubble3D val="0"/>
            <c:extLst xmlns:c16r2="http://schemas.microsoft.com/office/drawing/2015/06/chart">
              <c:ext xmlns:c16="http://schemas.microsoft.com/office/drawing/2014/chart" uri="{C3380CC4-5D6E-409C-BE32-E72D297353CC}">
                <c16:uniqueId val="{00000008-8BC2-4B61-AB65-7C8D3B5D95DC}"/>
              </c:ext>
            </c:extLst>
          </c:dPt>
          <c:dPt>
            <c:idx val="9"/>
            <c:invertIfNegative val="0"/>
            <c:bubble3D val="0"/>
            <c:extLst xmlns:c16r2="http://schemas.microsoft.com/office/drawing/2015/06/chart">
              <c:ext xmlns:c16="http://schemas.microsoft.com/office/drawing/2014/chart" uri="{C3380CC4-5D6E-409C-BE32-E72D297353CC}">
                <c16:uniqueId val="{00000009-8BC2-4B61-AB65-7C8D3B5D95DC}"/>
              </c:ext>
            </c:extLst>
          </c:dPt>
          <c:dPt>
            <c:idx val="10"/>
            <c:invertIfNegative val="0"/>
            <c:bubble3D val="0"/>
            <c:extLst xmlns:c16r2="http://schemas.microsoft.com/office/drawing/2015/06/chart">
              <c:ext xmlns:c16="http://schemas.microsoft.com/office/drawing/2014/chart" uri="{C3380CC4-5D6E-409C-BE32-E72D297353CC}">
                <c16:uniqueId val="{0000000A-8BC2-4B61-AB65-7C8D3B5D95DC}"/>
              </c:ext>
            </c:extLst>
          </c:dPt>
          <c:dPt>
            <c:idx val="11"/>
            <c:invertIfNegative val="0"/>
            <c:bubble3D val="0"/>
            <c:extLst xmlns:c16r2="http://schemas.microsoft.com/office/drawing/2015/06/chart">
              <c:ext xmlns:c16="http://schemas.microsoft.com/office/drawing/2014/chart" uri="{C3380CC4-5D6E-409C-BE32-E72D297353CC}">
                <c16:uniqueId val="{0000000B-8BC2-4B61-AB65-7C8D3B5D95DC}"/>
              </c:ext>
            </c:extLst>
          </c:dPt>
          <c:dLbls>
            <c:dLbl>
              <c:idx val="0"/>
              <c:tx>
                <c:rich>
                  <a:bodyPr/>
                  <a:lstStyle/>
                  <a:p>
                    <a:fld id="{84DF478B-8311-4B49-9B9D-DCF81E5439A4}"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8BC2-4B61-AB65-7C8D3B5D95DC}"/>
                </c:ext>
              </c:extLst>
            </c:dLbl>
            <c:dLbl>
              <c:idx val="1"/>
              <c:tx>
                <c:rich>
                  <a:bodyPr/>
                  <a:lstStyle/>
                  <a:p>
                    <a:fld id="{D8D182D5-DCFC-42D4-B316-CB10C50BDF58}"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8BC2-4B61-AB65-7C8D3B5D95DC}"/>
                </c:ext>
              </c:extLst>
            </c:dLbl>
            <c:dLbl>
              <c:idx val="2"/>
              <c:tx>
                <c:rich>
                  <a:bodyPr/>
                  <a:lstStyle/>
                  <a:p>
                    <a:fld id="{69E58054-99B4-474C-BF33-FF90943A90CB}"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8BC2-4B61-AB65-7C8D3B5D95DC}"/>
                </c:ext>
              </c:extLst>
            </c:dLbl>
            <c:dLbl>
              <c:idx val="3"/>
              <c:tx>
                <c:rich>
                  <a:bodyPr/>
                  <a:lstStyle/>
                  <a:p>
                    <a:fld id="{BCCE9221-CC6B-4390-A427-C3B4EBDA2D6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8BC2-4B61-AB65-7C8D3B5D95DC}"/>
                </c:ext>
              </c:extLst>
            </c:dLbl>
            <c:dLbl>
              <c:idx val="4"/>
              <c:tx>
                <c:rich>
                  <a:bodyPr/>
                  <a:lstStyle/>
                  <a:p>
                    <a:fld id="{B89635B4-CE08-4836-908F-CBA025C806D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8BC2-4B61-AB65-7C8D3B5D95DC}"/>
                </c:ext>
              </c:extLst>
            </c:dLbl>
            <c:dLbl>
              <c:idx val="5"/>
              <c:tx>
                <c:rich>
                  <a:bodyPr/>
                  <a:lstStyle/>
                  <a:p>
                    <a:fld id="{4A970C6E-D9AC-4A9C-BEA5-0D891185BCC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8BC2-4B61-AB65-7C8D3B5D95DC}"/>
                </c:ext>
              </c:extLst>
            </c:dLbl>
            <c:dLbl>
              <c:idx val="6"/>
              <c:tx>
                <c:rich>
                  <a:bodyPr/>
                  <a:lstStyle/>
                  <a:p>
                    <a:fld id="{34ACA357-DAC8-432F-8A4B-88D37638B45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8BC2-4B61-AB65-7C8D3B5D95DC}"/>
                </c:ext>
              </c:extLst>
            </c:dLbl>
            <c:dLbl>
              <c:idx val="7"/>
              <c:tx>
                <c:rich>
                  <a:bodyPr/>
                  <a:lstStyle/>
                  <a:p>
                    <a:fld id="{BAB27DF4-7455-44D0-86BC-C1DF2DFAA55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8BC2-4B61-AB65-7C8D3B5D95DC}"/>
                </c:ext>
              </c:extLst>
            </c:dLbl>
            <c:dLbl>
              <c:idx val="8"/>
              <c:tx>
                <c:rich>
                  <a:bodyPr/>
                  <a:lstStyle/>
                  <a:p>
                    <a:fld id="{1DE81C6B-ED27-4BDE-90F9-AB230E7EE35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8BC2-4B61-AB65-7C8D3B5D95DC}"/>
                </c:ext>
              </c:extLst>
            </c:dLbl>
            <c:dLbl>
              <c:idx val="9"/>
              <c:tx>
                <c:rich>
                  <a:bodyPr/>
                  <a:lstStyle/>
                  <a:p>
                    <a:fld id="{AC3A9354-5C21-446D-8C2C-43A3120B0B3F}"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8BC2-4B61-AB65-7C8D3B5D95DC}"/>
                </c:ext>
              </c:extLst>
            </c:dLbl>
            <c:dLbl>
              <c:idx val="10"/>
              <c:tx>
                <c:rich>
                  <a:bodyPr/>
                  <a:lstStyle/>
                  <a:p>
                    <a:fld id="{97F3FEC8-DFEC-4ECE-8183-EAE4D3335616}"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8BC2-4B61-AB65-7C8D3B5D95DC}"/>
                </c:ext>
              </c:extLst>
            </c:dLbl>
            <c:dLbl>
              <c:idx val="11"/>
              <c:tx>
                <c:rich>
                  <a:bodyPr/>
                  <a:lstStyle/>
                  <a:p>
                    <a:fld id="{30DC7F10-A64D-4260-AD42-F8DA67CF577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8BC2-4B61-AB65-7C8D3B5D95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Effectiveness_Avg!$Y$116:$Y$128</c:f>
              <c:strCache>
                <c:ptCount val="12"/>
                <c:pt idx="0">
                  <c:v>12: To develop a communication strategy aiming to increase awareness with regard to ISA² and its benefits, targeting businesses and citizens, and employing user-friendly means on the ISA² website</c:v>
                </c:pt>
                <c:pt idx="1">
                  <c:v>11: To support and promote the identification of best practices, to develop guidelines to coordinate interoperability initiatives and to animate and support communities working in the field</c:v>
                </c:pt>
                <c:pt idx="2">
                  <c:v>10: To support and promote the bringing of new interoperability services and tools to maturity, and maintaining and operating existing interoperability services and tools on an interim basis</c:v>
                </c:pt>
                <c:pt idx="3">
                  <c:v>9: To support and promote the maintenance and publication of a platform allowing access to and collaboration on best practices, functioning as a means of raising awareness of existing solutions</c:v>
                </c:pt>
                <c:pt idx="4">
                  <c:v>8: To support and promote the assessment, updating, promotion of existing/new common specifications through the EU's standardisation platforms and in cooperation with standardisation organisations</c:v>
                </c:pt>
                <c:pt idx="5">
                  <c:v>7: To support and promote the maintenance, updating, promotion and monitoring of the implementation of the EIS, the EIF and the EIRA</c:v>
                </c:pt>
                <c:pt idx="6">
                  <c:v>6: To support and promote the mapping and analysis of the interoperability landscape in the EU through the establishment, maintenance and improvement of the EIRA and the EIC reuse facilitators</c:v>
                </c:pt>
                <c:pt idx="7">
                  <c:v>5: To support and promote the development of mechanisms that measure and quantify the benefits of interoperability solutions including methodologies for assessing cost-savings </c:v>
                </c:pt>
                <c:pt idx="8">
                  <c:v>4: To support and promote the identification of legislation gaps, at Union and national level, that hamper cross-border or cross-sector interoperability between European public administrations</c:v>
                </c:pt>
                <c:pt idx="9">
                  <c:v>3: To support and promote the assessment of the ICT implications of proposed or adopted Union law</c:v>
                </c:pt>
                <c:pt idx="10">
                  <c:v>2: To support and promote the development, establishment, bringing to maturity, operation and re-use of new cross-border or cross-sector interoperability solutions and common frameworks</c:v>
                </c:pt>
                <c:pt idx="11">
                  <c:v>1: To support and promote the assessment, improvement, operation and re-use of existing cross-border or cross-sector interoperability solutions and common frameworks</c:v>
                </c:pt>
              </c:strCache>
            </c:strRef>
          </c:cat>
          <c:val>
            <c:numRef>
              <c:f>Effectiveness_Avg!$Z$116:$Z$128</c:f>
              <c:numCache>
                <c:formatCode>General</c:formatCode>
                <c:ptCount val="12"/>
                <c:pt idx="0">
                  <c:v>3.2647058823529411</c:v>
                </c:pt>
                <c:pt idx="1">
                  <c:v>3.6388888888888888</c:v>
                </c:pt>
                <c:pt idx="2">
                  <c:v>3.5833333333333335</c:v>
                </c:pt>
                <c:pt idx="3">
                  <c:v>3.6857142857142855</c:v>
                </c:pt>
                <c:pt idx="4">
                  <c:v>3.4571428571428573</c:v>
                </c:pt>
                <c:pt idx="5">
                  <c:v>3.625</c:v>
                </c:pt>
                <c:pt idx="6">
                  <c:v>3.6153846153846154</c:v>
                </c:pt>
                <c:pt idx="7">
                  <c:v>3.393939393939394</c:v>
                </c:pt>
                <c:pt idx="8">
                  <c:v>3.03125</c:v>
                </c:pt>
                <c:pt idx="9">
                  <c:v>3.3333333333333335</c:v>
                </c:pt>
                <c:pt idx="10">
                  <c:v>3.4871794871794872</c:v>
                </c:pt>
                <c:pt idx="11">
                  <c:v>3.4871794871794872</c:v>
                </c:pt>
              </c:numCache>
            </c:numRef>
          </c:val>
          <c:extLst xmlns:c16r2="http://schemas.microsoft.com/office/drawing/2015/06/chart">
            <c:ext xmlns:c15="http://schemas.microsoft.com/office/drawing/2012/chart" uri="{02D57815-91ED-43cb-92C2-25804820EDAC}">
              <c15:datalabelsRange>
                <c15:f>Effectiveness_Avg!$Z$146:$Z$157</c15:f>
                <c15:dlblRangeCache>
                  <c:ptCount val="12"/>
                  <c:pt idx="0">
                    <c:v>3.26 (34)</c:v>
                  </c:pt>
                  <c:pt idx="1">
                    <c:v>3.64 (36)</c:v>
                  </c:pt>
                  <c:pt idx="2">
                    <c:v>3.58 (36)</c:v>
                  </c:pt>
                  <c:pt idx="3">
                    <c:v>3.69 (35)</c:v>
                  </c:pt>
                  <c:pt idx="4">
                    <c:v>3.46 (35)</c:v>
                  </c:pt>
                  <c:pt idx="5">
                    <c:v>3.63 (24)</c:v>
                  </c:pt>
                  <c:pt idx="6">
                    <c:v>3.62 (26)</c:v>
                  </c:pt>
                  <c:pt idx="7">
                    <c:v>3.39 (33)</c:v>
                  </c:pt>
                  <c:pt idx="8">
                    <c:v>3.03 (32)</c:v>
                  </c:pt>
                  <c:pt idx="9">
                    <c:v>3.33 (27)</c:v>
                  </c:pt>
                  <c:pt idx="10">
                    <c:v>3.49 (39)</c:v>
                  </c:pt>
                  <c:pt idx="11">
                    <c:v>3.49 (39)</c:v>
                  </c:pt>
                </c15:dlblRangeCache>
              </c15:datalabelsRange>
            </c:ext>
            <c:ext xmlns:c16="http://schemas.microsoft.com/office/drawing/2014/chart" uri="{C3380CC4-5D6E-409C-BE32-E72D297353CC}">
              <c16:uniqueId val="{0000000C-8BC2-4B61-AB65-7C8D3B5D95DC}"/>
            </c:ext>
          </c:extLst>
        </c:ser>
        <c:ser>
          <c:idx val="1"/>
          <c:order val="1"/>
          <c:tx>
            <c:strRef>
              <c:f>Effectiveness_Avg!$AA$114:$AA$115</c:f>
              <c:strCache>
                <c:ptCount val="1"/>
                <c:pt idx="0">
                  <c:v>Programme governance</c:v>
                </c:pt>
              </c:strCache>
            </c:strRef>
          </c:tx>
          <c:spPr>
            <a:solidFill>
              <a:schemeClr val="accent5"/>
            </a:solidFill>
            <a:ln>
              <a:solidFill>
                <a:schemeClr val="accent5"/>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D-8BC2-4B61-AB65-7C8D3B5D95DC}"/>
              </c:ext>
            </c:extLst>
          </c:dPt>
          <c:dPt>
            <c:idx val="1"/>
            <c:invertIfNegative val="0"/>
            <c:bubble3D val="0"/>
            <c:extLst xmlns:c16r2="http://schemas.microsoft.com/office/drawing/2015/06/chart">
              <c:ext xmlns:c16="http://schemas.microsoft.com/office/drawing/2014/chart" uri="{C3380CC4-5D6E-409C-BE32-E72D297353CC}">
                <c16:uniqueId val="{0000000E-8BC2-4B61-AB65-7C8D3B5D95DC}"/>
              </c:ext>
            </c:extLst>
          </c:dPt>
          <c:dPt>
            <c:idx val="2"/>
            <c:invertIfNegative val="0"/>
            <c:bubble3D val="0"/>
            <c:extLst xmlns:c16r2="http://schemas.microsoft.com/office/drawing/2015/06/chart">
              <c:ext xmlns:c16="http://schemas.microsoft.com/office/drawing/2014/chart" uri="{C3380CC4-5D6E-409C-BE32-E72D297353CC}">
                <c16:uniqueId val="{0000000F-8BC2-4B61-AB65-7C8D3B5D95DC}"/>
              </c:ext>
            </c:extLst>
          </c:dPt>
          <c:dPt>
            <c:idx val="3"/>
            <c:invertIfNegative val="0"/>
            <c:bubble3D val="0"/>
            <c:extLst xmlns:c16r2="http://schemas.microsoft.com/office/drawing/2015/06/chart">
              <c:ext xmlns:c16="http://schemas.microsoft.com/office/drawing/2014/chart" uri="{C3380CC4-5D6E-409C-BE32-E72D297353CC}">
                <c16:uniqueId val="{00000010-8BC2-4B61-AB65-7C8D3B5D95DC}"/>
              </c:ext>
            </c:extLst>
          </c:dPt>
          <c:dPt>
            <c:idx val="4"/>
            <c:invertIfNegative val="0"/>
            <c:bubble3D val="0"/>
            <c:extLst xmlns:c16r2="http://schemas.microsoft.com/office/drawing/2015/06/chart">
              <c:ext xmlns:c16="http://schemas.microsoft.com/office/drawing/2014/chart" uri="{C3380CC4-5D6E-409C-BE32-E72D297353CC}">
                <c16:uniqueId val="{00000011-8BC2-4B61-AB65-7C8D3B5D95DC}"/>
              </c:ext>
            </c:extLst>
          </c:dPt>
          <c:dPt>
            <c:idx val="5"/>
            <c:invertIfNegative val="0"/>
            <c:bubble3D val="0"/>
            <c:extLst xmlns:c16r2="http://schemas.microsoft.com/office/drawing/2015/06/chart">
              <c:ext xmlns:c16="http://schemas.microsoft.com/office/drawing/2014/chart" uri="{C3380CC4-5D6E-409C-BE32-E72D297353CC}">
                <c16:uniqueId val="{00000012-8BC2-4B61-AB65-7C8D3B5D95DC}"/>
              </c:ext>
            </c:extLst>
          </c:dPt>
          <c:dPt>
            <c:idx val="6"/>
            <c:invertIfNegative val="0"/>
            <c:bubble3D val="0"/>
            <c:extLst xmlns:c16r2="http://schemas.microsoft.com/office/drawing/2015/06/chart">
              <c:ext xmlns:c16="http://schemas.microsoft.com/office/drawing/2014/chart" uri="{C3380CC4-5D6E-409C-BE32-E72D297353CC}">
                <c16:uniqueId val="{00000013-8BC2-4B61-AB65-7C8D3B5D95DC}"/>
              </c:ext>
            </c:extLst>
          </c:dPt>
          <c:dPt>
            <c:idx val="7"/>
            <c:invertIfNegative val="0"/>
            <c:bubble3D val="0"/>
            <c:extLst xmlns:c16r2="http://schemas.microsoft.com/office/drawing/2015/06/chart">
              <c:ext xmlns:c16="http://schemas.microsoft.com/office/drawing/2014/chart" uri="{C3380CC4-5D6E-409C-BE32-E72D297353CC}">
                <c16:uniqueId val="{00000014-8BC2-4B61-AB65-7C8D3B5D95DC}"/>
              </c:ext>
            </c:extLst>
          </c:dPt>
          <c:dPt>
            <c:idx val="8"/>
            <c:invertIfNegative val="0"/>
            <c:bubble3D val="0"/>
            <c:extLst xmlns:c16r2="http://schemas.microsoft.com/office/drawing/2015/06/chart">
              <c:ext xmlns:c16="http://schemas.microsoft.com/office/drawing/2014/chart" uri="{C3380CC4-5D6E-409C-BE32-E72D297353CC}">
                <c16:uniqueId val="{00000015-8BC2-4B61-AB65-7C8D3B5D95DC}"/>
              </c:ext>
            </c:extLst>
          </c:dPt>
          <c:dPt>
            <c:idx val="9"/>
            <c:invertIfNegative val="0"/>
            <c:bubble3D val="0"/>
            <c:extLst xmlns:c16r2="http://schemas.microsoft.com/office/drawing/2015/06/chart">
              <c:ext xmlns:c16="http://schemas.microsoft.com/office/drawing/2014/chart" uri="{C3380CC4-5D6E-409C-BE32-E72D297353CC}">
                <c16:uniqueId val="{00000016-8BC2-4B61-AB65-7C8D3B5D95DC}"/>
              </c:ext>
            </c:extLst>
          </c:dPt>
          <c:dPt>
            <c:idx val="10"/>
            <c:invertIfNegative val="0"/>
            <c:bubble3D val="0"/>
            <c:extLst xmlns:c16r2="http://schemas.microsoft.com/office/drawing/2015/06/chart">
              <c:ext xmlns:c16="http://schemas.microsoft.com/office/drawing/2014/chart" uri="{C3380CC4-5D6E-409C-BE32-E72D297353CC}">
                <c16:uniqueId val="{00000017-8BC2-4B61-AB65-7C8D3B5D95DC}"/>
              </c:ext>
            </c:extLst>
          </c:dPt>
          <c:dPt>
            <c:idx val="11"/>
            <c:invertIfNegative val="0"/>
            <c:bubble3D val="0"/>
            <c:extLst xmlns:c16r2="http://schemas.microsoft.com/office/drawing/2015/06/chart">
              <c:ext xmlns:c16="http://schemas.microsoft.com/office/drawing/2014/chart" uri="{C3380CC4-5D6E-409C-BE32-E72D297353CC}">
                <c16:uniqueId val="{00000018-8BC2-4B61-AB65-7C8D3B5D95DC}"/>
              </c:ext>
            </c:extLst>
          </c:dPt>
          <c:dLbls>
            <c:dLbl>
              <c:idx val="0"/>
              <c:tx>
                <c:rich>
                  <a:bodyPr/>
                  <a:lstStyle/>
                  <a:p>
                    <a:fld id="{251FFDAE-E6BC-4BBF-BE9B-0B56BF1D60A2}"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8BC2-4B61-AB65-7C8D3B5D95DC}"/>
                </c:ext>
              </c:extLst>
            </c:dLbl>
            <c:dLbl>
              <c:idx val="1"/>
              <c:tx>
                <c:rich>
                  <a:bodyPr/>
                  <a:lstStyle/>
                  <a:p>
                    <a:fld id="{0813898E-0F51-42E0-AD28-439C2621CA95}"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8BC2-4B61-AB65-7C8D3B5D95DC}"/>
                </c:ext>
              </c:extLst>
            </c:dLbl>
            <c:dLbl>
              <c:idx val="2"/>
              <c:tx>
                <c:rich>
                  <a:bodyPr/>
                  <a:lstStyle/>
                  <a:p>
                    <a:fld id="{3D164F5F-E19D-484F-AD95-7BDF806E923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8BC2-4B61-AB65-7C8D3B5D95DC}"/>
                </c:ext>
              </c:extLst>
            </c:dLbl>
            <c:dLbl>
              <c:idx val="3"/>
              <c:tx>
                <c:rich>
                  <a:bodyPr/>
                  <a:lstStyle/>
                  <a:p>
                    <a:fld id="{0708F667-B9AC-432F-B082-D9F50985EF8A}"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8BC2-4B61-AB65-7C8D3B5D95DC}"/>
                </c:ext>
              </c:extLst>
            </c:dLbl>
            <c:dLbl>
              <c:idx val="4"/>
              <c:tx>
                <c:rich>
                  <a:bodyPr/>
                  <a:lstStyle/>
                  <a:p>
                    <a:fld id="{C311F462-F243-4523-964D-0D4EB5235A39}"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8BC2-4B61-AB65-7C8D3B5D95DC}"/>
                </c:ext>
              </c:extLst>
            </c:dLbl>
            <c:dLbl>
              <c:idx val="5"/>
              <c:tx>
                <c:rich>
                  <a:bodyPr/>
                  <a:lstStyle/>
                  <a:p>
                    <a:fld id="{2263E647-5FB3-4973-B4E7-68E299A73FA7}"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8BC2-4B61-AB65-7C8D3B5D95DC}"/>
                </c:ext>
              </c:extLst>
            </c:dLbl>
            <c:dLbl>
              <c:idx val="6"/>
              <c:tx>
                <c:rich>
                  <a:bodyPr/>
                  <a:lstStyle/>
                  <a:p>
                    <a:fld id="{2951260A-8574-486B-B7CB-71F592535F72}"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8BC2-4B61-AB65-7C8D3B5D95DC}"/>
                </c:ext>
              </c:extLst>
            </c:dLbl>
            <c:dLbl>
              <c:idx val="7"/>
              <c:tx>
                <c:rich>
                  <a:bodyPr/>
                  <a:lstStyle/>
                  <a:p>
                    <a:fld id="{75BBB083-729A-4E2B-92A4-54841E9D9D04}"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8BC2-4B61-AB65-7C8D3B5D95DC}"/>
                </c:ext>
              </c:extLst>
            </c:dLbl>
            <c:dLbl>
              <c:idx val="8"/>
              <c:tx>
                <c:rich>
                  <a:bodyPr/>
                  <a:lstStyle/>
                  <a:p>
                    <a:fld id="{B9EB3223-3404-4055-96AB-F8E27CE4C11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8BC2-4B61-AB65-7C8D3B5D95DC}"/>
                </c:ext>
              </c:extLst>
            </c:dLbl>
            <c:dLbl>
              <c:idx val="9"/>
              <c:tx>
                <c:rich>
                  <a:bodyPr/>
                  <a:lstStyle/>
                  <a:p>
                    <a:fld id="{955B1FE6-336D-4083-B189-F2CD1049E064}"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8BC2-4B61-AB65-7C8D3B5D95DC}"/>
                </c:ext>
              </c:extLst>
            </c:dLbl>
            <c:dLbl>
              <c:idx val="10"/>
              <c:tx>
                <c:rich>
                  <a:bodyPr/>
                  <a:lstStyle/>
                  <a:p>
                    <a:fld id="{8384D034-2AA5-49DD-9CF1-12DC798B1A8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8BC2-4B61-AB65-7C8D3B5D95DC}"/>
                </c:ext>
              </c:extLst>
            </c:dLbl>
            <c:dLbl>
              <c:idx val="11"/>
              <c:tx>
                <c:rich>
                  <a:bodyPr/>
                  <a:lstStyle/>
                  <a:p>
                    <a:fld id="{5D8C3FFC-C888-4859-BC97-E237C5C0EBFA}"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8BC2-4B61-AB65-7C8D3B5D95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Effectiveness_Avg!$Y$116:$Y$128</c:f>
              <c:strCache>
                <c:ptCount val="12"/>
                <c:pt idx="0">
                  <c:v>12: To develop a communication strategy aiming to increase awareness with regard to ISA² and its benefits, targeting businesses and citizens, and employing user-friendly means on the ISA² website</c:v>
                </c:pt>
                <c:pt idx="1">
                  <c:v>11: To support and promote the identification of best practices, to develop guidelines to coordinate interoperability initiatives and to animate and support communities working in the field</c:v>
                </c:pt>
                <c:pt idx="2">
                  <c:v>10: To support and promote the bringing of new interoperability services and tools to maturity, and maintaining and operating existing interoperability services and tools on an interim basis</c:v>
                </c:pt>
                <c:pt idx="3">
                  <c:v>9: To support and promote the maintenance and publication of a platform allowing access to and collaboration on best practices, functioning as a means of raising awareness of existing solutions</c:v>
                </c:pt>
                <c:pt idx="4">
                  <c:v>8: To support and promote the assessment, updating, promotion of existing/new common specifications through the EU's standardisation platforms and in cooperation with standardisation organisations</c:v>
                </c:pt>
                <c:pt idx="5">
                  <c:v>7: To support and promote the maintenance, updating, promotion and monitoring of the implementation of the EIS, the EIF and the EIRA</c:v>
                </c:pt>
                <c:pt idx="6">
                  <c:v>6: To support and promote the mapping and analysis of the interoperability landscape in the EU through the establishment, maintenance and improvement of the EIRA and the EIC reuse facilitators</c:v>
                </c:pt>
                <c:pt idx="7">
                  <c:v>5: To support and promote the development of mechanisms that measure and quantify the benefits of interoperability solutions including methodologies for assessing cost-savings </c:v>
                </c:pt>
                <c:pt idx="8">
                  <c:v>4: To support and promote the identification of legislation gaps, at Union and national level, that hamper cross-border or cross-sector interoperability between European public administrations</c:v>
                </c:pt>
                <c:pt idx="9">
                  <c:v>3: To support and promote the assessment of the ICT implications of proposed or adopted Union law</c:v>
                </c:pt>
                <c:pt idx="10">
                  <c:v>2: To support and promote the development, establishment, bringing to maturity, operation and re-use of new cross-border or cross-sector interoperability solutions and common frameworks</c:v>
                </c:pt>
                <c:pt idx="11">
                  <c:v>1: To support and promote the assessment, improvement, operation and re-use of existing cross-border or cross-sector interoperability solutions and common frameworks</c:v>
                </c:pt>
              </c:strCache>
            </c:strRef>
          </c:cat>
          <c:val>
            <c:numRef>
              <c:f>Effectiveness_Avg!$AA$116:$AA$128</c:f>
              <c:numCache>
                <c:formatCode>General</c:formatCode>
                <c:ptCount val="12"/>
                <c:pt idx="0">
                  <c:v>3.3333333333333335</c:v>
                </c:pt>
                <c:pt idx="1">
                  <c:v>3.6315789473684212</c:v>
                </c:pt>
                <c:pt idx="2">
                  <c:v>3.8421052631578947</c:v>
                </c:pt>
                <c:pt idx="3">
                  <c:v>4.1052631578947372</c:v>
                </c:pt>
                <c:pt idx="4">
                  <c:v>3.8421052631578947</c:v>
                </c:pt>
                <c:pt idx="5">
                  <c:v>4.0526315789473681</c:v>
                </c:pt>
                <c:pt idx="6">
                  <c:v>3.6842105263157894</c:v>
                </c:pt>
                <c:pt idx="7">
                  <c:v>2.8823529411764706</c:v>
                </c:pt>
                <c:pt idx="8">
                  <c:v>2.8125</c:v>
                </c:pt>
                <c:pt idx="9">
                  <c:v>3.2</c:v>
                </c:pt>
                <c:pt idx="10">
                  <c:v>3.7894736842105261</c:v>
                </c:pt>
                <c:pt idx="11">
                  <c:v>3.736842105263158</c:v>
                </c:pt>
              </c:numCache>
            </c:numRef>
          </c:val>
          <c:extLst xmlns:c16r2="http://schemas.microsoft.com/office/drawing/2015/06/chart">
            <c:ext xmlns:c15="http://schemas.microsoft.com/office/drawing/2012/chart" uri="{02D57815-91ED-43cb-92C2-25804820EDAC}">
              <c15:datalabelsRange>
                <c15:f>Effectiveness_Avg!$AA$146:$AA$157</c15:f>
                <c15:dlblRangeCache>
                  <c:ptCount val="12"/>
                  <c:pt idx="0">
                    <c:v>3.33 (18)</c:v>
                  </c:pt>
                  <c:pt idx="1">
                    <c:v>3.63 (19)</c:v>
                  </c:pt>
                  <c:pt idx="2">
                    <c:v>3.84 (19)</c:v>
                  </c:pt>
                  <c:pt idx="3">
                    <c:v>4.11 (19)</c:v>
                  </c:pt>
                  <c:pt idx="4">
                    <c:v>3.84 (19)</c:v>
                  </c:pt>
                  <c:pt idx="5">
                    <c:v>4.05 (19)</c:v>
                  </c:pt>
                  <c:pt idx="6">
                    <c:v>3.68 (19)</c:v>
                  </c:pt>
                  <c:pt idx="7">
                    <c:v>2.88 (17)</c:v>
                  </c:pt>
                  <c:pt idx="8">
                    <c:v>2.81 (16)</c:v>
                  </c:pt>
                  <c:pt idx="9">
                    <c:v>3.20 (15)</c:v>
                  </c:pt>
                  <c:pt idx="10">
                    <c:v>3.79 (19)</c:v>
                  </c:pt>
                  <c:pt idx="11">
                    <c:v>3.74 (19)</c:v>
                  </c:pt>
                </c15:dlblRangeCache>
              </c15:datalabelsRange>
            </c:ext>
            <c:ext xmlns:c16="http://schemas.microsoft.com/office/drawing/2014/chart" uri="{C3380CC4-5D6E-409C-BE32-E72D297353CC}">
              <c16:uniqueId val="{00000019-8BC2-4B61-AB65-7C8D3B5D95DC}"/>
            </c:ext>
          </c:extLst>
        </c:ser>
        <c:ser>
          <c:idx val="2"/>
          <c:order val="2"/>
          <c:tx>
            <c:strRef>
              <c:f>Effectiveness_Avg!$AB$114:$AB$115</c:f>
              <c:strCache>
                <c:ptCount val="1"/>
                <c:pt idx="0">
                  <c:v>Action owners</c:v>
                </c:pt>
              </c:strCache>
            </c:strRef>
          </c:tx>
          <c:spPr>
            <a:solidFill>
              <a:schemeClr val="accent6"/>
            </a:solidFill>
            <a:ln>
              <a:solidFill>
                <a:schemeClr val="accent6"/>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A-8BC2-4B61-AB65-7C8D3B5D95DC}"/>
              </c:ext>
            </c:extLst>
          </c:dPt>
          <c:dPt>
            <c:idx val="1"/>
            <c:invertIfNegative val="0"/>
            <c:bubble3D val="0"/>
            <c:extLst xmlns:c16r2="http://schemas.microsoft.com/office/drawing/2015/06/chart">
              <c:ext xmlns:c16="http://schemas.microsoft.com/office/drawing/2014/chart" uri="{C3380CC4-5D6E-409C-BE32-E72D297353CC}">
                <c16:uniqueId val="{0000001B-8BC2-4B61-AB65-7C8D3B5D95DC}"/>
              </c:ext>
            </c:extLst>
          </c:dPt>
          <c:dPt>
            <c:idx val="2"/>
            <c:invertIfNegative val="0"/>
            <c:bubble3D val="0"/>
            <c:extLst xmlns:c16r2="http://schemas.microsoft.com/office/drawing/2015/06/chart">
              <c:ext xmlns:c16="http://schemas.microsoft.com/office/drawing/2014/chart" uri="{C3380CC4-5D6E-409C-BE32-E72D297353CC}">
                <c16:uniqueId val="{0000001C-8BC2-4B61-AB65-7C8D3B5D95DC}"/>
              </c:ext>
            </c:extLst>
          </c:dPt>
          <c:dPt>
            <c:idx val="3"/>
            <c:invertIfNegative val="0"/>
            <c:bubble3D val="0"/>
            <c:extLst xmlns:c16r2="http://schemas.microsoft.com/office/drawing/2015/06/chart">
              <c:ext xmlns:c16="http://schemas.microsoft.com/office/drawing/2014/chart" uri="{C3380CC4-5D6E-409C-BE32-E72D297353CC}">
                <c16:uniqueId val="{0000001D-8BC2-4B61-AB65-7C8D3B5D95DC}"/>
              </c:ext>
            </c:extLst>
          </c:dPt>
          <c:dPt>
            <c:idx val="4"/>
            <c:invertIfNegative val="0"/>
            <c:bubble3D val="0"/>
            <c:extLst xmlns:c16r2="http://schemas.microsoft.com/office/drawing/2015/06/chart">
              <c:ext xmlns:c16="http://schemas.microsoft.com/office/drawing/2014/chart" uri="{C3380CC4-5D6E-409C-BE32-E72D297353CC}">
                <c16:uniqueId val="{0000001E-8BC2-4B61-AB65-7C8D3B5D95DC}"/>
              </c:ext>
            </c:extLst>
          </c:dPt>
          <c:dPt>
            <c:idx val="5"/>
            <c:invertIfNegative val="0"/>
            <c:bubble3D val="0"/>
            <c:extLst xmlns:c16r2="http://schemas.microsoft.com/office/drawing/2015/06/chart">
              <c:ext xmlns:c16="http://schemas.microsoft.com/office/drawing/2014/chart" uri="{C3380CC4-5D6E-409C-BE32-E72D297353CC}">
                <c16:uniqueId val="{0000001F-8BC2-4B61-AB65-7C8D3B5D95DC}"/>
              </c:ext>
            </c:extLst>
          </c:dPt>
          <c:dPt>
            <c:idx val="6"/>
            <c:invertIfNegative val="0"/>
            <c:bubble3D val="0"/>
            <c:extLst xmlns:c16r2="http://schemas.microsoft.com/office/drawing/2015/06/chart">
              <c:ext xmlns:c16="http://schemas.microsoft.com/office/drawing/2014/chart" uri="{C3380CC4-5D6E-409C-BE32-E72D297353CC}">
                <c16:uniqueId val="{00000020-8BC2-4B61-AB65-7C8D3B5D95DC}"/>
              </c:ext>
            </c:extLst>
          </c:dPt>
          <c:dPt>
            <c:idx val="7"/>
            <c:invertIfNegative val="0"/>
            <c:bubble3D val="0"/>
            <c:extLst xmlns:c16r2="http://schemas.microsoft.com/office/drawing/2015/06/chart">
              <c:ext xmlns:c16="http://schemas.microsoft.com/office/drawing/2014/chart" uri="{C3380CC4-5D6E-409C-BE32-E72D297353CC}">
                <c16:uniqueId val="{00000021-8BC2-4B61-AB65-7C8D3B5D95DC}"/>
              </c:ext>
            </c:extLst>
          </c:dPt>
          <c:dPt>
            <c:idx val="8"/>
            <c:invertIfNegative val="0"/>
            <c:bubble3D val="0"/>
            <c:extLst xmlns:c16r2="http://schemas.microsoft.com/office/drawing/2015/06/chart">
              <c:ext xmlns:c16="http://schemas.microsoft.com/office/drawing/2014/chart" uri="{C3380CC4-5D6E-409C-BE32-E72D297353CC}">
                <c16:uniqueId val="{00000022-8BC2-4B61-AB65-7C8D3B5D95DC}"/>
              </c:ext>
            </c:extLst>
          </c:dPt>
          <c:dPt>
            <c:idx val="9"/>
            <c:invertIfNegative val="0"/>
            <c:bubble3D val="0"/>
            <c:extLst xmlns:c16r2="http://schemas.microsoft.com/office/drawing/2015/06/chart">
              <c:ext xmlns:c16="http://schemas.microsoft.com/office/drawing/2014/chart" uri="{C3380CC4-5D6E-409C-BE32-E72D297353CC}">
                <c16:uniqueId val="{00000023-8BC2-4B61-AB65-7C8D3B5D95DC}"/>
              </c:ext>
            </c:extLst>
          </c:dPt>
          <c:dPt>
            <c:idx val="10"/>
            <c:invertIfNegative val="0"/>
            <c:bubble3D val="0"/>
            <c:extLst xmlns:c16r2="http://schemas.microsoft.com/office/drawing/2015/06/chart">
              <c:ext xmlns:c16="http://schemas.microsoft.com/office/drawing/2014/chart" uri="{C3380CC4-5D6E-409C-BE32-E72D297353CC}">
                <c16:uniqueId val="{00000024-8BC2-4B61-AB65-7C8D3B5D95DC}"/>
              </c:ext>
            </c:extLst>
          </c:dPt>
          <c:dPt>
            <c:idx val="11"/>
            <c:invertIfNegative val="0"/>
            <c:bubble3D val="0"/>
            <c:extLst xmlns:c16r2="http://schemas.microsoft.com/office/drawing/2015/06/chart">
              <c:ext xmlns:c16="http://schemas.microsoft.com/office/drawing/2014/chart" uri="{C3380CC4-5D6E-409C-BE32-E72D297353CC}">
                <c16:uniqueId val="{00000025-8BC2-4B61-AB65-7C8D3B5D95DC}"/>
              </c:ext>
            </c:extLst>
          </c:dPt>
          <c:dLbls>
            <c:dLbl>
              <c:idx val="0"/>
              <c:tx>
                <c:rich>
                  <a:bodyPr/>
                  <a:lstStyle/>
                  <a:p>
                    <a:fld id="{7C68D6A5-F556-486D-854C-726201841EAF}"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A-8BC2-4B61-AB65-7C8D3B5D95DC}"/>
                </c:ext>
              </c:extLst>
            </c:dLbl>
            <c:dLbl>
              <c:idx val="1"/>
              <c:tx>
                <c:rich>
                  <a:bodyPr/>
                  <a:lstStyle/>
                  <a:p>
                    <a:fld id="{4F05F33A-00BB-409F-A447-2603BE21DCB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8BC2-4B61-AB65-7C8D3B5D95DC}"/>
                </c:ext>
              </c:extLst>
            </c:dLbl>
            <c:dLbl>
              <c:idx val="2"/>
              <c:tx>
                <c:rich>
                  <a:bodyPr/>
                  <a:lstStyle/>
                  <a:p>
                    <a:fld id="{D279C281-D288-499E-802B-308919F2853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8BC2-4B61-AB65-7C8D3B5D95DC}"/>
                </c:ext>
              </c:extLst>
            </c:dLbl>
            <c:dLbl>
              <c:idx val="3"/>
              <c:tx>
                <c:rich>
                  <a:bodyPr/>
                  <a:lstStyle/>
                  <a:p>
                    <a:fld id="{2CB7B98D-F186-4E82-9243-94F0B1EEBDB1}"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8BC2-4B61-AB65-7C8D3B5D95DC}"/>
                </c:ext>
              </c:extLst>
            </c:dLbl>
            <c:dLbl>
              <c:idx val="4"/>
              <c:tx>
                <c:rich>
                  <a:bodyPr/>
                  <a:lstStyle/>
                  <a:p>
                    <a:fld id="{D0B7CCF3-0812-4C7E-9B28-6E36D325A11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8BC2-4B61-AB65-7C8D3B5D95DC}"/>
                </c:ext>
              </c:extLst>
            </c:dLbl>
            <c:dLbl>
              <c:idx val="5"/>
              <c:tx>
                <c:rich>
                  <a:bodyPr/>
                  <a:lstStyle/>
                  <a:p>
                    <a:fld id="{27B09938-8896-4345-97C1-33A7BA9E0E8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8BC2-4B61-AB65-7C8D3B5D95DC}"/>
                </c:ext>
              </c:extLst>
            </c:dLbl>
            <c:dLbl>
              <c:idx val="6"/>
              <c:tx>
                <c:rich>
                  <a:bodyPr/>
                  <a:lstStyle/>
                  <a:p>
                    <a:fld id="{6548C329-AF76-4E06-9120-C5FB7E3A7F94}"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8BC2-4B61-AB65-7C8D3B5D95DC}"/>
                </c:ext>
              </c:extLst>
            </c:dLbl>
            <c:dLbl>
              <c:idx val="7"/>
              <c:tx>
                <c:rich>
                  <a:bodyPr/>
                  <a:lstStyle/>
                  <a:p>
                    <a:fld id="{FD8DD448-33A6-44A9-B62D-2BDD2D70FB18}"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8BC2-4B61-AB65-7C8D3B5D95DC}"/>
                </c:ext>
              </c:extLst>
            </c:dLbl>
            <c:dLbl>
              <c:idx val="8"/>
              <c:tx>
                <c:rich>
                  <a:bodyPr/>
                  <a:lstStyle/>
                  <a:p>
                    <a:fld id="{CC55CC1B-7DD6-4201-87AA-B87357EDBFC8}"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8BC2-4B61-AB65-7C8D3B5D95DC}"/>
                </c:ext>
              </c:extLst>
            </c:dLbl>
            <c:dLbl>
              <c:idx val="9"/>
              <c:tx>
                <c:rich>
                  <a:bodyPr/>
                  <a:lstStyle/>
                  <a:p>
                    <a:fld id="{1B59239E-9A99-46E5-BA76-31C07979CDEF}"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3-8BC2-4B61-AB65-7C8D3B5D95DC}"/>
                </c:ext>
              </c:extLst>
            </c:dLbl>
            <c:dLbl>
              <c:idx val="10"/>
              <c:tx>
                <c:rich>
                  <a:bodyPr/>
                  <a:lstStyle/>
                  <a:p>
                    <a:fld id="{AE3E5125-323A-476B-9F2C-FD44943F790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4-8BC2-4B61-AB65-7C8D3B5D95DC}"/>
                </c:ext>
              </c:extLst>
            </c:dLbl>
            <c:dLbl>
              <c:idx val="11"/>
              <c:tx>
                <c:rich>
                  <a:bodyPr/>
                  <a:lstStyle/>
                  <a:p>
                    <a:fld id="{1BC0DC8A-9E7F-4BEB-92F7-364D395A7A66}"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5-8BC2-4B61-AB65-7C8D3B5D95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Effectiveness_Avg!$Y$116:$Y$128</c:f>
              <c:strCache>
                <c:ptCount val="12"/>
                <c:pt idx="0">
                  <c:v>12: To develop a communication strategy aiming to increase awareness with regard to ISA² and its benefits, targeting businesses and citizens, and employing user-friendly means on the ISA² website</c:v>
                </c:pt>
                <c:pt idx="1">
                  <c:v>11: To support and promote the identification of best practices, to develop guidelines to coordinate interoperability initiatives and to animate and support communities working in the field</c:v>
                </c:pt>
                <c:pt idx="2">
                  <c:v>10: To support and promote the bringing of new interoperability services and tools to maturity, and maintaining and operating existing interoperability services and tools on an interim basis</c:v>
                </c:pt>
                <c:pt idx="3">
                  <c:v>9: To support and promote the maintenance and publication of a platform allowing access to and collaboration on best practices, functioning as a means of raising awareness of existing solutions</c:v>
                </c:pt>
                <c:pt idx="4">
                  <c:v>8: To support and promote the assessment, updating, promotion of existing/new common specifications through the EU's standardisation platforms and in cooperation with standardisation organisations</c:v>
                </c:pt>
                <c:pt idx="5">
                  <c:v>7: To support and promote the maintenance, updating, promotion and monitoring of the implementation of the EIS, the EIF and the EIRA</c:v>
                </c:pt>
                <c:pt idx="6">
                  <c:v>6: To support and promote the mapping and analysis of the interoperability landscape in the EU through the establishment, maintenance and improvement of the EIRA and the EIC reuse facilitators</c:v>
                </c:pt>
                <c:pt idx="7">
                  <c:v>5: To support and promote the development of mechanisms that measure and quantify the benefits of interoperability solutions including methodologies for assessing cost-savings </c:v>
                </c:pt>
                <c:pt idx="8">
                  <c:v>4: To support and promote the identification of legislation gaps, at Union and national level, that hamper cross-border or cross-sector interoperability between European public administrations</c:v>
                </c:pt>
                <c:pt idx="9">
                  <c:v>3: To support and promote the assessment of the ICT implications of proposed or adopted Union law</c:v>
                </c:pt>
                <c:pt idx="10">
                  <c:v>2: To support and promote the development, establishment, bringing to maturity, operation and re-use of new cross-border or cross-sector interoperability solutions and common frameworks</c:v>
                </c:pt>
                <c:pt idx="11">
                  <c:v>1: To support and promote the assessment, improvement, operation and re-use of existing cross-border or cross-sector interoperability solutions and common frameworks</c:v>
                </c:pt>
              </c:strCache>
            </c:strRef>
          </c:cat>
          <c:val>
            <c:numRef>
              <c:f>Effectiveness_Avg!$AB$116:$AB$128</c:f>
              <c:numCache>
                <c:formatCode>General</c:formatCode>
                <c:ptCount val="12"/>
                <c:pt idx="0">
                  <c:v>3.65</c:v>
                </c:pt>
                <c:pt idx="1">
                  <c:v>3.65</c:v>
                </c:pt>
                <c:pt idx="2">
                  <c:v>3.45</c:v>
                </c:pt>
                <c:pt idx="3">
                  <c:v>3.6842105263157894</c:v>
                </c:pt>
                <c:pt idx="4">
                  <c:v>3.3333333333333335</c:v>
                </c:pt>
                <c:pt idx="5">
                  <c:v>3.8421052631578947</c:v>
                </c:pt>
                <c:pt idx="6">
                  <c:v>3.6315789473684212</c:v>
                </c:pt>
                <c:pt idx="7">
                  <c:v>2.6666666666666665</c:v>
                </c:pt>
                <c:pt idx="8">
                  <c:v>2.75</c:v>
                </c:pt>
                <c:pt idx="9">
                  <c:v>3.4117647058823528</c:v>
                </c:pt>
                <c:pt idx="10">
                  <c:v>3.4</c:v>
                </c:pt>
                <c:pt idx="11">
                  <c:v>3.4</c:v>
                </c:pt>
              </c:numCache>
            </c:numRef>
          </c:val>
          <c:extLst xmlns:c16r2="http://schemas.microsoft.com/office/drawing/2015/06/chart">
            <c:ext xmlns:c15="http://schemas.microsoft.com/office/drawing/2012/chart" uri="{02D57815-91ED-43cb-92C2-25804820EDAC}">
              <c15:datalabelsRange>
                <c15:f>Effectiveness_Avg!$AB$146:$AB$157</c15:f>
                <c15:dlblRangeCache>
                  <c:ptCount val="12"/>
                  <c:pt idx="0">
                    <c:v>3.65 (20)</c:v>
                  </c:pt>
                  <c:pt idx="1">
                    <c:v>3.65 (20)</c:v>
                  </c:pt>
                  <c:pt idx="2">
                    <c:v>3.45 (20)</c:v>
                  </c:pt>
                  <c:pt idx="3">
                    <c:v>3.68 (19)</c:v>
                  </c:pt>
                  <c:pt idx="4">
                    <c:v>3.33 (18)</c:v>
                  </c:pt>
                  <c:pt idx="5">
                    <c:v>3.84 (19)</c:v>
                  </c:pt>
                  <c:pt idx="6">
                    <c:v>3.63 (19)</c:v>
                  </c:pt>
                  <c:pt idx="7">
                    <c:v>2.67 (18)</c:v>
                  </c:pt>
                  <c:pt idx="8">
                    <c:v>2.75 (16)</c:v>
                  </c:pt>
                  <c:pt idx="9">
                    <c:v>3.41 (17)</c:v>
                  </c:pt>
                  <c:pt idx="10">
                    <c:v>3.40 (20)</c:v>
                  </c:pt>
                  <c:pt idx="11">
                    <c:v>3.40 (20)</c:v>
                  </c:pt>
                </c15:dlblRangeCache>
              </c15:datalabelsRange>
            </c:ext>
            <c:ext xmlns:c16="http://schemas.microsoft.com/office/drawing/2014/chart" uri="{C3380CC4-5D6E-409C-BE32-E72D297353CC}">
              <c16:uniqueId val="{00000026-8BC2-4B61-AB65-7C8D3B5D95DC}"/>
            </c:ext>
          </c:extLst>
        </c:ser>
        <c:dLbls>
          <c:showLegendKey val="0"/>
          <c:showVal val="1"/>
          <c:showCatName val="0"/>
          <c:showSerName val="0"/>
          <c:showPercent val="0"/>
          <c:showBubbleSize val="0"/>
        </c:dLbls>
        <c:gapWidth val="150"/>
        <c:axId val="105326080"/>
        <c:axId val="105327616"/>
      </c:barChart>
      <c:catAx>
        <c:axId val="105326080"/>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5327616"/>
        <c:crosses val="autoZero"/>
        <c:auto val="0"/>
        <c:lblAlgn val="ctr"/>
        <c:lblOffset val="100"/>
        <c:noMultiLvlLbl val="0"/>
      </c:catAx>
      <c:valAx>
        <c:axId val="10532761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5326080"/>
        <c:crosses val="autoZero"/>
        <c:crossBetween val="between"/>
        <c:majorUnit val="1"/>
      </c:valAx>
      <c:spPr>
        <a:solidFill>
          <a:schemeClr val="bg1"/>
        </a:solidFill>
        <a:ln>
          <a:noFill/>
        </a:ln>
        <a:effectLst/>
      </c:spPr>
    </c:plotArea>
    <c:legend>
      <c:legendPos val="b"/>
      <c:layout>
        <c:manualLayout>
          <c:xMode val="edge"/>
          <c:yMode val="edge"/>
          <c:x val="0.18387911737046608"/>
          <c:y val="0.97460975499473557"/>
          <c:w val="0.62781012333573527"/>
          <c:h val="2.5390278692823835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A34643-C9F5-453F-838A-935910DEF0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9CABAC-3E1E-44D3-A91E-951BD6B8386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E13D72-4F9D-45F8-936B-847B700DD25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F51A20-8338-484B-AB1F-4DC3F7C19EF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F8AFA4-7907-49CD-BC7A-74E6AC8C5E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C33FED-C74D-4F6F-968B-3E35A0957B3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41C9A6-9AB6-4FF1-88E2-A19A91440EB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89C7CE-0617-4E35-931F-5F0A87B3DF1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8968B0-10E5-459C-892E-4A2E68C0DAC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FF5833-F56C-46BF-A984-0BD392F5EF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1522FA-FA01-4070-ADC4-0C8ADD95FD5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1A4BBCB-9996-491F-A39B-5FA800D4200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3DFA6E-A339-4B23-8189-DB8F954C599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B386CE-352E-46A0-BD3C-3A530EE52F5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DFBA1D-8A0E-4F3A-A3AB-32DD94A9797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1E34D2-C841-4C64-8760-AB0D2F81CB7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058CD80-A912-4706-8A38-87CDA3831FE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0779BA-3DCC-4EE3-BD42-8E726C927B1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9054-F413-4063-88C2-A8B6A5C7F43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E40077-CD87-4490-843F-BA6C7F5D712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C8110B-C9A3-4FC5-9A20-6CEF859EAD5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8723D2-B93B-456D-9309-3BED2BBB7F2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110DC83-9B4A-4394-A86A-4FBE8C503A0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366106-D18F-47F8-9E8D-16509C77D6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6DF9B6-937F-48C2-9FE0-25445344808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5378D4-42BB-4693-9026-38623DF8E63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927D06-7CA7-4466-BD4E-FFCFA36D394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4A42E-F4D1-4673-B793-F08E9F6D70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EADAB2-4198-4199-A79D-5A26E631AA1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57B31-E791-4C80-8EDC-08591C273F7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F894D1-F421-4414-84FD-AD0BB6084AE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A03995-B25F-4B2C-B62A-71218F2417A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D061FF8-805F-4A0E-97BA-75B50D6EDB9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D8D190-6DCC-4740-BF39-3672CA453B3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28B43F-D8BA-45D0-B4EB-E7D0FC5A29B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DC707E-E680-4127-B622-72D82D53923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A34643-C9F5-453F-838A-935910DEF0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B9E1941-FBEC-4A33-8E65-96EEE9090DA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B62DE1-5D82-4000-B79B-02E95956B41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9510919-262D-4B55-B175-CECC013E944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615E77-F66E-4715-BC83-CC6C5B67624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0BF68C-D9A8-49EA-BB44-AB311FB3105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3FF027-DD67-4C89-A66E-1773BBC7DFD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C3CA644-A036-47A7-BBAA-12B84C48EDA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3201CE7-35EB-45D4-8424-7B6256E5D09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FF5833-F56C-46BF-A984-0BD392F5EF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8AE8F14-5596-4517-8880-69404E6EBCF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E30AF2-520C-4304-86A1-B1A7AE8AA08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653AD1-FDBF-4785-8586-1B9133084B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37017A-BCA1-474C-83CD-8A3CEA491B6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2A9CF9C-33E6-423B-9ECB-01D2A41F675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D419EA-ADBE-44FA-A163-8CCA8DFD55A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740A5E-CAE4-43ED-9192-F31B2BE3B9E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3F94D6-CB97-4665-B1CB-3C9A35A49AC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9054-F413-4063-88C2-A8B6A5C7F43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451642-89B7-4A02-9C8C-5E20115D52F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7471C7-0596-4BE0-9277-80877C55ED3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F40147-B65C-459F-A3F7-C5C60FDC21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4F0F57-A912-4713-A0C1-732066E81FB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9583B1-4813-43AE-A076-9F7ACF107EC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2AF3E0-93B1-4718-9F78-0074266E075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F51BE9-469E-4084-ADD8-EACA02CF720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AFD119-9B09-4C8E-B564-630C1D833D9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4A42E-F4D1-4673-B793-F08E9F6D70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FD02788-A3F5-4959-A3E5-6A1408A8DC5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268F1F-631B-461A-8E7C-05F805D2516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DF47DC-7DFB-4B7C-9E49-C0354F1092D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CD6D43-B46E-49BF-8174-A895157943B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2524D45-4AE4-4D09-9883-255E4F249E9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4AF419-661E-4A53-AF5E-ED01E2E05E8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B90DE5-5BEF-4682-A006-F825310D60E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31360C-22FC-41C9-941C-FEB5931DC0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A34643-C9F5-453F-838A-935910DEF0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FA66D29-801B-472E-9D0F-45325E3CAAB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E2DDD7-C687-40D7-870D-B89AE857040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D2B32CC-F6AF-4EF2-8F90-50506C79712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3E218A-83AC-4364-B010-EB791852AA3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A8C790-9C63-45ED-9982-F850A2A57A5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0CC12F9-7B7C-4B93-80A8-0A7BB63DCF7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1A18D7-C833-4929-8673-282784DDECF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CEA80D-45F7-4268-B58E-A62D5AEEA51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FF5833-F56C-46BF-A984-0BD392F5EF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B0A9AA-4059-4513-90C9-E8FF1E6D668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545C3B-061D-4744-99E5-72959231964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3693AE-37F1-428E-98B0-A58DB83CE21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C3C637D-9397-4277-8D6D-95EA210EC8A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20776C-8287-4DB4-88DA-8274B2A0595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CFE15E0-22D5-4373-8266-B3504383589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D97F2C-A0A2-49F1-893B-C7881BD2903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CC156B-4631-476D-AB60-D66DE11629C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9054-F413-4063-88C2-A8B6A5C7F43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D12D51-9933-4E62-975C-E724E9CECD2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634FBA-0343-4C98-8D1A-DB0EAC1D171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A57139-92D9-4E4F-9205-92914CA15F9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895084-8547-40A0-AF02-9303D87F353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281BCF-74C3-42E4-8EC6-6C5EF207AA5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48951E-BDFA-4DE7-9C6B-EA314FE9ADD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DD8521-608E-4842-9D7D-DF1A95011C6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195516-1535-4624-97D8-E868A43861D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4A42E-F4D1-4673-B793-F08E9F6D70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B7CFE5-46F4-4A02-953C-FEF8D4ABFD6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C86F271-8AF7-49DB-BD43-C6C8EF507E1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EB1F2C-19E2-4E45-9DDE-87B5A024458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59E2EEB-08F8-47B5-A540-AC1F9AA7A3F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F0E14D-5DC9-4FF1-9C72-CA7219444DC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FE803B-F992-4765-AA9B-ECE0DF8FF9B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03C067D-A6E8-47EE-940E-547644A3620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FE2C4C9-926A-43A3-9D41-7F2BFE54BF9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manualLayout>
          <c:layoutTarget val="inner"/>
          <c:xMode val="edge"/>
          <c:yMode val="edge"/>
          <c:x val="0.49575818588818699"/>
          <c:y val="1.03734439834025E-2"/>
          <c:w val="0.47423401511992502"/>
          <c:h val="0.91034011827359795"/>
        </c:manualLayout>
      </c:layout>
      <c:barChart>
        <c:barDir val="bar"/>
        <c:grouping val="clustered"/>
        <c:varyColors val="0"/>
        <c:ser>
          <c:idx val="0"/>
          <c:order val="0"/>
          <c:tx>
            <c:strRef>
              <c:f>Effectiveness_Avg!$Z$30:$Z$31</c:f>
              <c:strCache>
                <c:ptCount val="1"/>
                <c:pt idx="0">
                  <c:v>Standardisation organisations</c:v>
                </c:pt>
              </c:strCache>
            </c:strRef>
          </c:tx>
          <c:spPr>
            <a:solidFill>
              <a:schemeClr val="accent2"/>
            </a:solidFill>
            <a:ln>
              <a:solidFill>
                <a:schemeClr val="accent2"/>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8A6-4153-90E5-C97EE0C071BE}"/>
              </c:ext>
            </c:extLst>
          </c:dPt>
          <c:dPt>
            <c:idx val="1"/>
            <c:invertIfNegative val="0"/>
            <c:bubble3D val="0"/>
            <c:extLst xmlns:c16r2="http://schemas.microsoft.com/office/drawing/2015/06/chart">
              <c:ext xmlns:c16="http://schemas.microsoft.com/office/drawing/2014/chart" uri="{C3380CC4-5D6E-409C-BE32-E72D297353CC}">
                <c16:uniqueId val="{00000001-88A6-4153-90E5-C97EE0C071BE}"/>
              </c:ext>
            </c:extLst>
          </c:dPt>
          <c:dPt>
            <c:idx val="2"/>
            <c:invertIfNegative val="0"/>
            <c:bubble3D val="0"/>
            <c:extLst xmlns:c16r2="http://schemas.microsoft.com/office/drawing/2015/06/chart">
              <c:ext xmlns:c16="http://schemas.microsoft.com/office/drawing/2014/chart" uri="{C3380CC4-5D6E-409C-BE32-E72D297353CC}">
                <c16:uniqueId val="{00000002-88A6-4153-90E5-C97EE0C071BE}"/>
              </c:ext>
            </c:extLst>
          </c:dPt>
          <c:dPt>
            <c:idx val="3"/>
            <c:invertIfNegative val="0"/>
            <c:bubble3D val="0"/>
            <c:extLst xmlns:c16r2="http://schemas.microsoft.com/office/drawing/2015/06/chart">
              <c:ext xmlns:c16="http://schemas.microsoft.com/office/drawing/2014/chart" uri="{C3380CC4-5D6E-409C-BE32-E72D297353CC}">
                <c16:uniqueId val="{00000003-88A6-4153-90E5-C97EE0C071BE}"/>
              </c:ext>
            </c:extLst>
          </c:dPt>
          <c:dPt>
            <c:idx val="4"/>
            <c:invertIfNegative val="0"/>
            <c:bubble3D val="0"/>
            <c:extLst xmlns:c16r2="http://schemas.microsoft.com/office/drawing/2015/06/chart">
              <c:ext xmlns:c16="http://schemas.microsoft.com/office/drawing/2014/chart" uri="{C3380CC4-5D6E-409C-BE32-E72D297353CC}">
                <c16:uniqueId val="{00000004-88A6-4153-90E5-C97EE0C071BE}"/>
              </c:ext>
            </c:extLst>
          </c:dPt>
          <c:dPt>
            <c:idx val="5"/>
            <c:invertIfNegative val="0"/>
            <c:bubble3D val="0"/>
            <c:extLst xmlns:c16r2="http://schemas.microsoft.com/office/drawing/2015/06/chart">
              <c:ext xmlns:c16="http://schemas.microsoft.com/office/drawing/2014/chart" uri="{C3380CC4-5D6E-409C-BE32-E72D297353CC}">
                <c16:uniqueId val="{00000005-88A6-4153-90E5-C97EE0C071BE}"/>
              </c:ext>
            </c:extLst>
          </c:dPt>
          <c:dPt>
            <c:idx val="6"/>
            <c:invertIfNegative val="0"/>
            <c:bubble3D val="0"/>
            <c:extLst xmlns:c16r2="http://schemas.microsoft.com/office/drawing/2015/06/chart">
              <c:ext xmlns:c16="http://schemas.microsoft.com/office/drawing/2014/chart" uri="{C3380CC4-5D6E-409C-BE32-E72D297353CC}">
                <c16:uniqueId val="{00000006-88A6-4153-90E5-C97EE0C071BE}"/>
              </c:ext>
            </c:extLst>
          </c:dPt>
          <c:dPt>
            <c:idx val="7"/>
            <c:invertIfNegative val="0"/>
            <c:bubble3D val="0"/>
            <c:extLst xmlns:c16r2="http://schemas.microsoft.com/office/drawing/2015/06/chart">
              <c:ext xmlns:c16="http://schemas.microsoft.com/office/drawing/2014/chart" uri="{C3380CC4-5D6E-409C-BE32-E72D297353CC}">
                <c16:uniqueId val="{00000007-88A6-4153-90E5-C97EE0C071BE}"/>
              </c:ext>
            </c:extLst>
          </c:dPt>
          <c:dPt>
            <c:idx val="8"/>
            <c:invertIfNegative val="0"/>
            <c:bubble3D val="0"/>
            <c:extLst xmlns:c16r2="http://schemas.microsoft.com/office/drawing/2015/06/chart">
              <c:ext xmlns:c16="http://schemas.microsoft.com/office/drawing/2014/chart" uri="{C3380CC4-5D6E-409C-BE32-E72D297353CC}">
                <c16:uniqueId val="{00000008-88A6-4153-90E5-C97EE0C071BE}"/>
              </c:ext>
            </c:extLst>
          </c:dPt>
          <c:dLbls>
            <c:dLbl>
              <c:idx val="0"/>
              <c:tx>
                <c:rich>
                  <a:bodyPr/>
                  <a:lstStyle/>
                  <a:p>
                    <a:fld id="{9697EF02-063F-46CC-8F79-758B014C71A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88A6-4153-90E5-C97EE0C071BE}"/>
                </c:ext>
              </c:extLst>
            </c:dLbl>
            <c:dLbl>
              <c:idx val="1"/>
              <c:tx>
                <c:rich>
                  <a:bodyPr/>
                  <a:lstStyle/>
                  <a:p>
                    <a:fld id="{22906258-A3F6-4D2B-B7DF-BB4243567E9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88A6-4153-90E5-C97EE0C071BE}"/>
                </c:ext>
              </c:extLst>
            </c:dLbl>
            <c:dLbl>
              <c:idx val="2"/>
              <c:tx>
                <c:rich>
                  <a:bodyPr/>
                  <a:lstStyle/>
                  <a:p>
                    <a:fld id="{B8C8F72C-D2AA-4916-A90A-266ABF6CE3E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88A6-4153-90E5-C97EE0C071BE}"/>
                </c:ext>
              </c:extLst>
            </c:dLbl>
            <c:dLbl>
              <c:idx val="3"/>
              <c:tx>
                <c:rich>
                  <a:bodyPr/>
                  <a:lstStyle/>
                  <a:p>
                    <a:fld id="{79B271D1-8AC7-4576-B60F-915431F5806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88A6-4153-90E5-C97EE0C071BE}"/>
                </c:ext>
              </c:extLst>
            </c:dLbl>
            <c:dLbl>
              <c:idx val="4"/>
              <c:tx>
                <c:rich>
                  <a:bodyPr/>
                  <a:lstStyle/>
                  <a:p>
                    <a:fld id="{849440D4-53DF-4A63-8C51-B426A90459A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88A6-4153-90E5-C97EE0C071BE}"/>
                </c:ext>
              </c:extLst>
            </c:dLbl>
            <c:dLbl>
              <c:idx val="5"/>
              <c:tx>
                <c:rich>
                  <a:bodyPr/>
                  <a:lstStyle/>
                  <a:p>
                    <a:fld id="{4DCD3485-F860-463B-B30C-8EA7809A10E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88A6-4153-90E5-C97EE0C071BE}"/>
                </c:ext>
              </c:extLst>
            </c:dLbl>
            <c:dLbl>
              <c:idx val="6"/>
              <c:tx>
                <c:rich>
                  <a:bodyPr/>
                  <a:lstStyle/>
                  <a:p>
                    <a:fld id="{5D958CA1-6810-48D6-8707-87B497D4673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88A6-4153-90E5-C97EE0C071BE}"/>
                </c:ext>
              </c:extLst>
            </c:dLbl>
            <c:dLbl>
              <c:idx val="7"/>
              <c:tx>
                <c:rich>
                  <a:bodyPr/>
                  <a:lstStyle/>
                  <a:p>
                    <a:fld id="{2389E84F-BC68-48DA-8777-478D7A0D705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88A6-4153-90E5-C97EE0C071BE}"/>
                </c:ext>
              </c:extLst>
            </c:dLbl>
            <c:dLbl>
              <c:idx val="8"/>
              <c:tx>
                <c:rich>
                  <a:bodyPr/>
                  <a:lstStyle/>
                  <a:p>
                    <a:fld id="{4B70F73E-0247-4C71-8041-94DFB17E18B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88A6-4153-90E5-C97EE0C071B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Effectiveness_Avg!$Y$32:$Y$41</c:f>
              <c:strCache>
                <c:ptCount val="9"/>
                <c:pt idx="0">
                  <c:v>Take-up and re-use of the ISA² programme’s results by European public administrations</c:v>
                </c:pt>
                <c:pt idx="1">
                  <c:v>Reduction of the cost and administrative burden of cross-border interaction, removal of administrative e-barriers and contribution to the swift implementation of ICT systems supporting EU legislation</c:v>
                </c:pt>
                <c:pt idx="2">
                  <c:v>More effective, simplified and user-friendly e-administrations in European public administrations</c:v>
                </c:pt>
                <c:pt idx="3">
                  <c:v>Increased speed, efficiency and quality in the creation and delivery of cross-border and cross-sector electronic public services to meet the needs of businesses and citizens</c:v>
                </c:pt>
                <c:pt idx="4">
                  <c:v>Improved efficiency and productivity of the European public administrations, which can be a strong driver of economic growth through its support for, and governance of, the private sector</c:v>
                </c:pt>
                <c:pt idx="5">
                  <c:v>Efficient and effective electronic cross-border or cross-sectoral interactions between European Public Administrations as well as between European public administrations and businesses/citizens</c:v>
                </c:pt>
                <c:pt idx="6">
                  <c:v>Contribution to the successful achievement of the Digital Single Market</c:v>
                </c:pt>
                <c:pt idx="7">
                  <c:v>Advancement of Union policies and activities by supporting their implementation</c:v>
                </c:pt>
                <c:pt idx="8">
                  <c:v>A coherent interoperability landscape in the Union based on a holistic approach to interoperability</c:v>
                </c:pt>
              </c:strCache>
            </c:strRef>
          </c:cat>
          <c:val>
            <c:numRef>
              <c:f>Effectiveness_Avg!$Z$32:$Z$41</c:f>
              <c:numCache>
                <c:formatCode>General</c:formatCode>
                <c:ptCount val="9"/>
                <c:pt idx="0">
                  <c:v>3</c:v>
                </c:pt>
                <c:pt idx="1">
                  <c:v>3</c:v>
                </c:pt>
                <c:pt idx="2">
                  <c:v>3</c:v>
                </c:pt>
                <c:pt idx="3">
                  <c:v>3</c:v>
                </c:pt>
                <c:pt idx="4">
                  <c:v>3</c:v>
                </c:pt>
                <c:pt idx="5">
                  <c:v>3</c:v>
                </c:pt>
                <c:pt idx="6">
                  <c:v>3</c:v>
                </c:pt>
                <c:pt idx="7">
                  <c:v>3</c:v>
                </c:pt>
                <c:pt idx="8">
                  <c:v>3</c:v>
                </c:pt>
              </c:numCache>
            </c:numRef>
          </c:val>
          <c:extLst xmlns:c16r2="http://schemas.microsoft.com/office/drawing/2015/06/chart">
            <c:ext xmlns:c15="http://schemas.microsoft.com/office/drawing/2012/chart" uri="{02D57815-91ED-43cb-92C2-25804820EDAC}">
              <c15:datalabelsRange>
                <c15:f>Effectiveness_Avg!$Z$56:$Z$64</c15:f>
                <c15:dlblRangeCache>
                  <c:ptCount val="9"/>
                  <c:pt idx="0">
                    <c:v>3.00 (1)</c:v>
                  </c:pt>
                  <c:pt idx="1">
                    <c:v>3.00 (1)</c:v>
                  </c:pt>
                  <c:pt idx="2">
                    <c:v>3.00 (1)</c:v>
                  </c:pt>
                  <c:pt idx="3">
                    <c:v>3.00 (1)</c:v>
                  </c:pt>
                  <c:pt idx="4">
                    <c:v>3.00 (1)</c:v>
                  </c:pt>
                  <c:pt idx="5">
                    <c:v>3.00 (1)</c:v>
                  </c:pt>
                  <c:pt idx="6">
                    <c:v>3.00 (1)</c:v>
                  </c:pt>
                  <c:pt idx="7">
                    <c:v>3.00 (1)</c:v>
                  </c:pt>
                  <c:pt idx="8">
                    <c:v>3.00 (1)</c:v>
                  </c:pt>
                </c15:dlblRangeCache>
              </c15:datalabelsRange>
            </c:ext>
            <c:ext xmlns:c16="http://schemas.microsoft.com/office/drawing/2014/chart" uri="{C3380CC4-5D6E-409C-BE32-E72D297353CC}">
              <c16:uniqueId val="{00000009-88A6-4153-90E5-C97EE0C071BE}"/>
            </c:ext>
          </c:extLst>
        </c:ser>
        <c:ser>
          <c:idx val="1"/>
          <c:order val="1"/>
          <c:tx>
            <c:strRef>
              <c:f>Effectiveness_Avg!$AA$30:$AA$31</c:f>
              <c:strCache>
                <c:ptCount val="1"/>
                <c:pt idx="0">
                  <c:v>Solution users</c:v>
                </c:pt>
              </c:strCache>
            </c:strRef>
          </c:tx>
          <c:spPr>
            <a:solidFill>
              <a:schemeClr val="accent4"/>
            </a:solidFill>
            <a:ln>
              <a:solidFill>
                <a:schemeClr val="accent4"/>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A-88A6-4153-90E5-C97EE0C071BE}"/>
              </c:ext>
            </c:extLst>
          </c:dPt>
          <c:dPt>
            <c:idx val="1"/>
            <c:invertIfNegative val="0"/>
            <c:bubble3D val="0"/>
            <c:extLst xmlns:c16r2="http://schemas.microsoft.com/office/drawing/2015/06/chart">
              <c:ext xmlns:c16="http://schemas.microsoft.com/office/drawing/2014/chart" uri="{C3380CC4-5D6E-409C-BE32-E72D297353CC}">
                <c16:uniqueId val="{0000000B-88A6-4153-90E5-C97EE0C071BE}"/>
              </c:ext>
            </c:extLst>
          </c:dPt>
          <c:dPt>
            <c:idx val="2"/>
            <c:invertIfNegative val="0"/>
            <c:bubble3D val="0"/>
            <c:extLst xmlns:c16r2="http://schemas.microsoft.com/office/drawing/2015/06/chart">
              <c:ext xmlns:c16="http://schemas.microsoft.com/office/drawing/2014/chart" uri="{C3380CC4-5D6E-409C-BE32-E72D297353CC}">
                <c16:uniqueId val="{0000000C-88A6-4153-90E5-C97EE0C071BE}"/>
              </c:ext>
            </c:extLst>
          </c:dPt>
          <c:dPt>
            <c:idx val="3"/>
            <c:invertIfNegative val="0"/>
            <c:bubble3D val="0"/>
            <c:extLst xmlns:c16r2="http://schemas.microsoft.com/office/drawing/2015/06/chart">
              <c:ext xmlns:c16="http://schemas.microsoft.com/office/drawing/2014/chart" uri="{C3380CC4-5D6E-409C-BE32-E72D297353CC}">
                <c16:uniqueId val="{0000000D-88A6-4153-90E5-C97EE0C071BE}"/>
              </c:ext>
            </c:extLst>
          </c:dPt>
          <c:dPt>
            <c:idx val="4"/>
            <c:invertIfNegative val="0"/>
            <c:bubble3D val="0"/>
            <c:extLst xmlns:c16r2="http://schemas.microsoft.com/office/drawing/2015/06/chart">
              <c:ext xmlns:c16="http://schemas.microsoft.com/office/drawing/2014/chart" uri="{C3380CC4-5D6E-409C-BE32-E72D297353CC}">
                <c16:uniqueId val="{0000000E-88A6-4153-90E5-C97EE0C071BE}"/>
              </c:ext>
            </c:extLst>
          </c:dPt>
          <c:dPt>
            <c:idx val="5"/>
            <c:invertIfNegative val="0"/>
            <c:bubble3D val="0"/>
            <c:extLst xmlns:c16r2="http://schemas.microsoft.com/office/drawing/2015/06/chart">
              <c:ext xmlns:c16="http://schemas.microsoft.com/office/drawing/2014/chart" uri="{C3380CC4-5D6E-409C-BE32-E72D297353CC}">
                <c16:uniqueId val="{0000000F-88A6-4153-90E5-C97EE0C071BE}"/>
              </c:ext>
            </c:extLst>
          </c:dPt>
          <c:dPt>
            <c:idx val="6"/>
            <c:invertIfNegative val="0"/>
            <c:bubble3D val="0"/>
            <c:extLst xmlns:c16r2="http://schemas.microsoft.com/office/drawing/2015/06/chart">
              <c:ext xmlns:c16="http://schemas.microsoft.com/office/drawing/2014/chart" uri="{C3380CC4-5D6E-409C-BE32-E72D297353CC}">
                <c16:uniqueId val="{00000010-88A6-4153-90E5-C97EE0C071BE}"/>
              </c:ext>
            </c:extLst>
          </c:dPt>
          <c:dPt>
            <c:idx val="7"/>
            <c:invertIfNegative val="0"/>
            <c:bubble3D val="0"/>
            <c:extLst xmlns:c16r2="http://schemas.microsoft.com/office/drawing/2015/06/chart">
              <c:ext xmlns:c16="http://schemas.microsoft.com/office/drawing/2014/chart" uri="{C3380CC4-5D6E-409C-BE32-E72D297353CC}">
                <c16:uniqueId val="{00000011-88A6-4153-90E5-C97EE0C071BE}"/>
              </c:ext>
            </c:extLst>
          </c:dPt>
          <c:dPt>
            <c:idx val="8"/>
            <c:invertIfNegative val="0"/>
            <c:bubble3D val="0"/>
            <c:extLst xmlns:c16r2="http://schemas.microsoft.com/office/drawing/2015/06/chart">
              <c:ext xmlns:c16="http://schemas.microsoft.com/office/drawing/2014/chart" uri="{C3380CC4-5D6E-409C-BE32-E72D297353CC}">
                <c16:uniqueId val="{00000012-88A6-4153-90E5-C97EE0C071BE}"/>
              </c:ext>
            </c:extLst>
          </c:dPt>
          <c:dLbls>
            <c:dLbl>
              <c:idx val="0"/>
              <c:tx>
                <c:rich>
                  <a:bodyPr/>
                  <a:lstStyle/>
                  <a:p>
                    <a:fld id="{E3A5D362-4C3F-4072-B2E6-8CEFBE50D507}"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88A6-4153-90E5-C97EE0C071BE}"/>
                </c:ext>
              </c:extLst>
            </c:dLbl>
            <c:dLbl>
              <c:idx val="1"/>
              <c:tx>
                <c:rich>
                  <a:bodyPr/>
                  <a:lstStyle/>
                  <a:p>
                    <a:fld id="{94C2453E-F72F-4C03-9D2E-5105A25F39B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88A6-4153-90E5-C97EE0C071BE}"/>
                </c:ext>
              </c:extLst>
            </c:dLbl>
            <c:dLbl>
              <c:idx val="2"/>
              <c:tx>
                <c:rich>
                  <a:bodyPr/>
                  <a:lstStyle/>
                  <a:p>
                    <a:fld id="{07F1455F-46EA-4F9B-8633-7F5C8544B8A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88A6-4153-90E5-C97EE0C071BE}"/>
                </c:ext>
              </c:extLst>
            </c:dLbl>
            <c:dLbl>
              <c:idx val="3"/>
              <c:tx>
                <c:rich>
                  <a:bodyPr/>
                  <a:lstStyle/>
                  <a:p>
                    <a:fld id="{8F446551-36C4-412C-9CF3-EEE88C67891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88A6-4153-90E5-C97EE0C071BE}"/>
                </c:ext>
              </c:extLst>
            </c:dLbl>
            <c:dLbl>
              <c:idx val="4"/>
              <c:tx>
                <c:rich>
                  <a:bodyPr/>
                  <a:lstStyle/>
                  <a:p>
                    <a:fld id="{A1727642-D2A3-487F-BFC3-6E8B6ABBE79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88A6-4153-90E5-C97EE0C071BE}"/>
                </c:ext>
              </c:extLst>
            </c:dLbl>
            <c:dLbl>
              <c:idx val="5"/>
              <c:tx>
                <c:rich>
                  <a:bodyPr/>
                  <a:lstStyle/>
                  <a:p>
                    <a:fld id="{35167754-AE32-40FD-9B22-93076E00111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88A6-4153-90E5-C97EE0C071BE}"/>
                </c:ext>
              </c:extLst>
            </c:dLbl>
            <c:dLbl>
              <c:idx val="6"/>
              <c:tx>
                <c:rich>
                  <a:bodyPr/>
                  <a:lstStyle/>
                  <a:p>
                    <a:fld id="{A428C7AA-3DA8-4572-815A-534DBED52E6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88A6-4153-90E5-C97EE0C071BE}"/>
                </c:ext>
              </c:extLst>
            </c:dLbl>
            <c:dLbl>
              <c:idx val="7"/>
              <c:tx>
                <c:rich>
                  <a:bodyPr/>
                  <a:lstStyle/>
                  <a:p>
                    <a:fld id="{A1A6C581-673E-4B8E-9C99-DBF5408632C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88A6-4153-90E5-C97EE0C071BE}"/>
                </c:ext>
              </c:extLst>
            </c:dLbl>
            <c:dLbl>
              <c:idx val="8"/>
              <c:tx>
                <c:rich>
                  <a:bodyPr/>
                  <a:lstStyle/>
                  <a:p>
                    <a:fld id="{A3C70D4D-B28B-45AC-8196-058133BB2EF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88A6-4153-90E5-C97EE0C071B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Effectiveness_Avg!$Y$32:$Y$41</c:f>
              <c:strCache>
                <c:ptCount val="9"/>
                <c:pt idx="0">
                  <c:v>Take-up and re-use of the ISA² programme’s results by European public administrations</c:v>
                </c:pt>
                <c:pt idx="1">
                  <c:v>Reduction of the cost and administrative burden of cross-border interaction, removal of administrative e-barriers and contribution to the swift implementation of ICT systems supporting EU legislation</c:v>
                </c:pt>
                <c:pt idx="2">
                  <c:v>More effective, simplified and user-friendly e-administrations in European public administrations</c:v>
                </c:pt>
                <c:pt idx="3">
                  <c:v>Increased speed, efficiency and quality in the creation and delivery of cross-border and cross-sector electronic public services to meet the needs of businesses and citizens</c:v>
                </c:pt>
                <c:pt idx="4">
                  <c:v>Improved efficiency and productivity of the European public administrations, which can be a strong driver of economic growth through its support for, and governance of, the private sector</c:v>
                </c:pt>
                <c:pt idx="5">
                  <c:v>Efficient and effective electronic cross-border or cross-sectoral interactions between European Public Administrations as well as between European public administrations and businesses/citizens</c:v>
                </c:pt>
                <c:pt idx="6">
                  <c:v>Contribution to the successful achievement of the Digital Single Market</c:v>
                </c:pt>
                <c:pt idx="7">
                  <c:v>Advancement of Union policies and activities by supporting their implementation</c:v>
                </c:pt>
                <c:pt idx="8">
                  <c:v>A coherent interoperability landscape in the Union based on a holistic approach to interoperability</c:v>
                </c:pt>
              </c:strCache>
            </c:strRef>
          </c:cat>
          <c:val>
            <c:numRef>
              <c:f>Effectiveness_Avg!$AA$32:$AA$41</c:f>
              <c:numCache>
                <c:formatCode>General</c:formatCode>
                <c:ptCount val="9"/>
                <c:pt idx="0">
                  <c:v>3.1176470588235294</c:v>
                </c:pt>
                <c:pt idx="1">
                  <c:v>3.3636363636363638</c:v>
                </c:pt>
                <c:pt idx="2">
                  <c:v>3.4054054054054053</c:v>
                </c:pt>
                <c:pt idx="3">
                  <c:v>3.3684210526315788</c:v>
                </c:pt>
                <c:pt idx="4">
                  <c:v>3.3243243243243241</c:v>
                </c:pt>
                <c:pt idx="5">
                  <c:v>3.358974358974359</c:v>
                </c:pt>
                <c:pt idx="6">
                  <c:v>3.40625</c:v>
                </c:pt>
                <c:pt idx="7">
                  <c:v>3.1176470588235294</c:v>
                </c:pt>
                <c:pt idx="8">
                  <c:v>3.5135135135135136</c:v>
                </c:pt>
              </c:numCache>
            </c:numRef>
          </c:val>
          <c:extLst xmlns:c16r2="http://schemas.microsoft.com/office/drawing/2015/06/chart">
            <c:ext xmlns:c15="http://schemas.microsoft.com/office/drawing/2012/chart" uri="{02D57815-91ED-43cb-92C2-25804820EDAC}">
              <c15:datalabelsRange>
                <c15:f>Effectiveness_Avg!$AA$56:$AA$64</c15:f>
                <c15:dlblRangeCache>
                  <c:ptCount val="9"/>
                  <c:pt idx="0">
                    <c:v>3.12 (34)</c:v>
                  </c:pt>
                  <c:pt idx="1">
                    <c:v>3.36 (33)</c:v>
                  </c:pt>
                  <c:pt idx="2">
                    <c:v>3.41 (37)</c:v>
                  </c:pt>
                  <c:pt idx="3">
                    <c:v>3.37 (38)</c:v>
                  </c:pt>
                  <c:pt idx="4">
                    <c:v>3.32 (37)</c:v>
                  </c:pt>
                  <c:pt idx="5">
                    <c:v>3.36 (39)</c:v>
                  </c:pt>
                  <c:pt idx="6">
                    <c:v>3.41 (32)</c:v>
                  </c:pt>
                  <c:pt idx="7">
                    <c:v>3.12 (34)</c:v>
                  </c:pt>
                  <c:pt idx="8">
                    <c:v>3.51 (37)</c:v>
                  </c:pt>
                </c15:dlblRangeCache>
              </c15:datalabelsRange>
            </c:ext>
            <c:ext xmlns:c16="http://schemas.microsoft.com/office/drawing/2014/chart" uri="{C3380CC4-5D6E-409C-BE32-E72D297353CC}">
              <c16:uniqueId val="{00000013-88A6-4153-90E5-C97EE0C071BE}"/>
            </c:ext>
          </c:extLst>
        </c:ser>
        <c:ser>
          <c:idx val="2"/>
          <c:order val="2"/>
          <c:tx>
            <c:strRef>
              <c:f>Effectiveness_Avg!$AB$30:$AB$31</c:f>
              <c:strCache>
                <c:ptCount val="1"/>
                <c:pt idx="0">
                  <c:v>Programme governance</c:v>
                </c:pt>
              </c:strCache>
            </c:strRef>
          </c:tx>
          <c:spPr>
            <a:solidFill>
              <a:schemeClr val="accent5"/>
            </a:solidFill>
            <a:ln>
              <a:solidFill>
                <a:schemeClr val="accent5"/>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4-88A6-4153-90E5-C97EE0C071BE}"/>
              </c:ext>
            </c:extLst>
          </c:dPt>
          <c:dPt>
            <c:idx val="1"/>
            <c:invertIfNegative val="0"/>
            <c:bubble3D val="0"/>
            <c:extLst xmlns:c16r2="http://schemas.microsoft.com/office/drawing/2015/06/chart">
              <c:ext xmlns:c16="http://schemas.microsoft.com/office/drawing/2014/chart" uri="{C3380CC4-5D6E-409C-BE32-E72D297353CC}">
                <c16:uniqueId val="{00000015-88A6-4153-90E5-C97EE0C071BE}"/>
              </c:ext>
            </c:extLst>
          </c:dPt>
          <c:dPt>
            <c:idx val="2"/>
            <c:invertIfNegative val="0"/>
            <c:bubble3D val="0"/>
            <c:extLst xmlns:c16r2="http://schemas.microsoft.com/office/drawing/2015/06/chart">
              <c:ext xmlns:c16="http://schemas.microsoft.com/office/drawing/2014/chart" uri="{C3380CC4-5D6E-409C-BE32-E72D297353CC}">
                <c16:uniqueId val="{00000016-88A6-4153-90E5-C97EE0C071BE}"/>
              </c:ext>
            </c:extLst>
          </c:dPt>
          <c:dPt>
            <c:idx val="3"/>
            <c:invertIfNegative val="0"/>
            <c:bubble3D val="0"/>
            <c:extLst xmlns:c16r2="http://schemas.microsoft.com/office/drawing/2015/06/chart">
              <c:ext xmlns:c16="http://schemas.microsoft.com/office/drawing/2014/chart" uri="{C3380CC4-5D6E-409C-BE32-E72D297353CC}">
                <c16:uniqueId val="{00000017-88A6-4153-90E5-C97EE0C071BE}"/>
              </c:ext>
            </c:extLst>
          </c:dPt>
          <c:dPt>
            <c:idx val="4"/>
            <c:invertIfNegative val="0"/>
            <c:bubble3D val="0"/>
            <c:extLst xmlns:c16r2="http://schemas.microsoft.com/office/drawing/2015/06/chart">
              <c:ext xmlns:c16="http://schemas.microsoft.com/office/drawing/2014/chart" uri="{C3380CC4-5D6E-409C-BE32-E72D297353CC}">
                <c16:uniqueId val="{00000018-88A6-4153-90E5-C97EE0C071BE}"/>
              </c:ext>
            </c:extLst>
          </c:dPt>
          <c:dPt>
            <c:idx val="5"/>
            <c:invertIfNegative val="0"/>
            <c:bubble3D val="0"/>
            <c:extLst xmlns:c16r2="http://schemas.microsoft.com/office/drawing/2015/06/chart">
              <c:ext xmlns:c16="http://schemas.microsoft.com/office/drawing/2014/chart" uri="{C3380CC4-5D6E-409C-BE32-E72D297353CC}">
                <c16:uniqueId val="{00000019-88A6-4153-90E5-C97EE0C071BE}"/>
              </c:ext>
            </c:extLst>
          </c:dPt>
          <c:dPt>
            <c:idx val="6"/>
            <c:invertIfNegative val="0"/>
            <c:bubble3D val="0"/>
            <c:extLst xmlns:c16r2="http://schemas.microsoft.com/office/drawing/2015/06/chart">
              <c:ext xmlns:c16="http://schemas.microsoft.com/office/drawing/2014/chart" uri="{C3380CC4-5D6E-409C-BE32-E72D297353CC}">
                <c16:uniqueId val="{0000001A-88A6-4153-90E5-C97EE0C071BE}"/>
              </c:ext>
            </c:extLst>
          </c:dPt>
          <c:dPt>
            <c:idx val="7"/>
            <c:invertIfNegative val="0"/>
            <c:bubble3D val="0"/>
            <c:extLst xmlns:c16r2="http://schemas.microsoft.com/office/drawing/2015/06/chart">
              <c:ext xmlns:c16="http://schemas.microsoft.com/office/drawing/2014/chart" uri="{C3380CC4-5D6E-409C-BE32-E72D297353CC}">
                <c16:uniqueId val="{0000001B-88A6-4153-90E5-C97EE0C071BE}"/>
              </c:ext>
            </c:extLst>
          </c:dPt>
          <c:dPt>
            <c:idx val="8"/>
            <c:invertIfNegative val="0"/>
            <c:bubble3D val="0"/>
            <c:extLst xmlns:c16r2="http://schemas.microsoft.com/office/drawing/2015/06/chart">
              <c:ext xmlns:c16="http://schemas.microsoft.com/office/drawing/2014/chart" uri="{C3380CC4-5D6E-409C-BE32-E72D297353CC}">
                <c16:uniqueId val="{0000001C-88A6-4153-90E5-C97EE0C071BE}"/>
              </c:ext>
            </c:extLst>
          </c:dPt>
          <c:dLbls>
            <c:dLbl>
              <c:idx val="0"/>
              <c:tx>
                <c:rich>
                  <a:bodyPr/>
                  <a:lstStyle/>
                  <a:p>
                    <a:fld id="{D0E87F3C-DEAF-4356-A005-AE6811F6358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4-88A6-4153-90E5-C97EE0C071BE}"/>
                </c:ext>
              </c:extLst>
            </c:dLbl>
            <c:dLbl>
              <c:idx val="1"/>
              <c:tx>
                <c:rich>
                  <a:bodyPr/>
                  <a:lstStyle/>
                  <a:p>
                    <a:fld id="{CE17AD35-6AAA-4BB7-94E7-B55245AB12C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88A6-4153-90E5-C97EE0C071BE}"/>
                </c:ext>
              </c:extLst>
            </c:dLbl>
            <c:dLbl>
              <c:idx val="2"/>
              <c:tx>
                <c:rich>
                  <a:bodyPr/>
                  <a:lstStyle/>
                  <a:p>
                    <a:fld id="{881EF3F9-82C3-40F5-AB45-D149C892179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88A6-4153-90E5-C97EE0C071BE}"/>
                </c:ext>
              </c:extLst>
            </c:dLbl>
            <c:dLbl>
              <c:idx val="3"/>
              <c:tx>
                <c:rich>
                  <a:bodyPr/>
                  <a:lstStyle/>
                  <a:p>
                    <a:fld id="{B1422155-0951-4099-B9C4-84CBCEB4A7E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88A6-4153-90E5-C97EE0C071BE}"/>
                </c:ext>
              </c:extLst>
            </c:dLbl>
            <c:dLbl>
              <c:idx val="4"/>
              <c:tx>
                <c:rich>
                  <a:bodyPr/>
                  <a:lstStyle/>
                  <a:p>
                    <a:fld id="{CA00B8AF-7798-4C7B-A319-028FDFFC246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88A6-4153-90E5-C97EE0C071BE}"/>
                </c:ext>
              </c:extLst>
            </c:dLbl>
            <c:dLbl>
              <c:idx val="5"/>
              <c:tx>
                <c:rich>
                  <a:bodyPr/>
                  <a:lstStyle/>
                  <a:p>
                    <a:fld id="{37AE0985-8298-4BAE-80E4-18A0FD6912B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88A6-4153-90E5-C97EE0C071BE}"/>
                </c:ext>
              </c:extLst>
            </c:dLbl>
            <c:dLbl>
              <c:idx val="6"/>
              <c:tx>
                <c:rich>
                  <a:bodyPr/>
                  <a:lstStyle/>
                  <a:p>
                    <a:fld id="{8D2EB7A4-A327-4381-922E-2EC78E92FAA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88A6-4153-90E5-C97EE0C071BE}"/>
                </c:ext>
              </c:extLst>
            </c:dLbl>
            <c:dLbl>
              <c:idx val="7"/>
              <c:tx>
                <c:rich>
                  <a:bodyPr/>
                  <a:lstStyle/>
                  <a:p>
                    <a:fld id="{4FFAA18B-9E8E-4E0F-B344-53EB4AE67F9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88A6-4153-90E5-C97EE0C071BE}"/>
                </c:ext>
              </c:extLst>
            </c:dLbl>
            <c:dLbl>
              <c:idx val="8"/>
              <c:tx>
                <c:rich>
                  <a:bodyPr/>
                  <a:lstStyle/>
                  <a:p>
                    <a:fld id="{FC2FF72E-15BC-4426-BEDE-EA33BE6FAFD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88A6-4153-90E5-C97EE0C071B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Effectiveness_Avg!$Y$32:$Y$41</c:f>
              <c:strCache>
                <c:ptCount val="9"/>
                <c:pt idx="0">
                  <c:v>Take-up and re-use of the ISA² programme’s results by European public administrations</c:v>
                </c:pt>
                <c:pt idx="1">
                  <c:v>Reduction of the cost and administrative burden of cross-border interaction, removal of administrative e-barriers and contribution to the swift implementation of ICT systems supporting EU legislation</c:v>
                </c:pt>
                <c:pt idx="2">
                  <c:v>More effective, simplified and user-friendly e-administrations in European public administrations</c:v>
                </c:pt>
                <c:pt idx="3">
                  <c:v>Increased speed, efficiency and quality in the creation and delivery of cross-border and cross-sector electronic public services to meet the needs of businesses and citizens</c:v>
                </c:pt>
                <c:pt idx="4">
                  <c:v>Improved efficiency and productivity of the European public administrations, which can be a strong driver of economic growth through its support for, and governance of, the private sector</c:v>
                </c:pt>
                <c:pt idx="5">
                  <c:v>Efficient and effective electronic cross-border or cross-sectoral interactions between European Public Administrations as well as between European public administrations and businesses/citizens</c:v>
                </c:pt>
                <c:pt idx="6">
                  <c:v>Contribution to the successful achievement of the Digital Single Market</c:v>
                </c:pt>
                <c:pt idx="7">
                  <c:v>Advancement of Union policies and activities by supporting their implementation</c:v>
                </c:pt>
                <c:pt idx="8">
                  <c:v>A coherent interoperability landscape in the Union based on a holistic approach to interoperability</c:v>
                </c:pt>
              </c:strCache>
            </c:strRef>
          </c:cat>
          <c:val>
            <c:numRef>
              <c:f>Effectiveness_Avg!$AB$32:$AB$41</c:f>
              <c:numCache>
                <c:formatCode>General</c:formatCode>
                <c:ptCount val="9"/>
                <c:pt idx="0">
                  <c:v>3.263157894736842</c:v>
                </c:pt>
                <c:pt idx="1">
                  <c:v>3</c:v>
                </c:pt>
                <c:pt idx="2">
                  <c:v>2.7647058823529411</c:v>
                </c:pt>
                <c:pt idx="3">
                  <c:v>3.1764705882352939</c:v>
                </c:pt>
                <c:pt idx="4">
                  <c:v>2.9444444444444446</c:v>
                </c:pt>
                <c:pt idx="5">
                  <c:v>3.3157894736842106</c:v>
                </c:pt>
                <c:pt idx="6">
                  <c:v>3.1578947368421053</c:v>
                </c:pt>
                <c:pt idx="7">
                  <c:v>3.5555555555555554</c:v>
                </c:pt>
                <c:pt idx="8">
                  <c:v>3.4736842105263159</c:v>
                </c:pt>
              </c:numCache>
            </c:numRef>
          </c:val>
          <c:extLst xmlns:c16r2="http://schemas.microsoft.com/office/drawing/2015/06/chart">
            <c:ext xmlns:c15="http://schemas.microsoft.com/office/drawing/2012/chart" uri="{02D57815-91ED-43cb-92C2-25804820EDAC}">
              <c15:datalabelsRange>
                <c15:f>Effectiveness_Avg!$AB$56:$AB$64</c15:f>
                <c15:dlblRangeCache>
                  <c:ptCount val="9"/>
                  <c:pt idx="0">
                    <c:v>3.26 (19)</c:v>
                  </c:pt>
                  <c:pt idx="1">
                    <c:v>3.00 (18)</c:v>
                  </c:pt>
                  <c:pt idx="2">
                    <c:v>2.76 (17)</c:v>
                  </c:pt>
                  <c:pt idx="3">
                    <c:v>3.18 (17)</c:v>
                  </c:pt>
                  <c:pt idx="4">
                    <c:v>2.94 (18)</c:v>
                  </c:pt>
                  <c:pt idx="5">
                    <c:v>3.32 (19)</c:v>
                  </c:pt>
                  <c:pt idx="6">
                    <c:v>3.16 (19)</c:v>
                  </c:pt>
                  <c:pt idx="7">
                    <c:v>3.56 (18)</c:v>
                  </c:pt>
                  <c:pt idx="8">
                    <c:v>3.47 (19)</c:v>
                  </c:pt>
                </c15:dlblRangeCache>
              </c15:datalabelsRange>
            </c:ext>
            <c:ext xmlns:c16="http://schemas.microsoft.com/office/drawing/2014/chart" uri="{C3380CC4-5D6E-409C-BE32-E72D297353CC}">
              <c16:uniqueId val="{0000001D-88A6-4153-90E5-C97EE0C071BE}"/>
            </c:ext>
          </c:extLst>
        </c:ser>
        <c:ser>
          <c:idx val="3"/>
          <c:order val="3"/>
          <c:tx>
            <c:strRef>
              <c:f>Effectiveness_Avg!$AC$30:$AC$31</c:f>
              <c:strCache>
                <c:ptCount val="1"/>
                <c:pt idx="0">
                  <c:v>Action owners</c:v>
                </c:pt>
              </c:strCache>
            </c:strRef>
          </c:tx>
          <c:spPr>
            <a:solidFill>
              <a:schemeClr val="accent6"/>
            </a:solidFill>
            <a:ln>
              <a:solidFill>
                <a:schemeClr val="accent6"/>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E-88A6-4153-90E5-C97EE0C071BE}"/>
              </c:ext>
            </c:extLst>
          </c:dPt>
          <c:dPt>
            <c:idx val="1"/>
            <c:invertIfNegative val="0"/>
            <c:bubble3D val="0"/>
            <c:extLst xmlns:c16r2="http://schemas.microsoft.com/office/drawing/2015/06/chart">
              <c:ext xmlns:c16="http://schemas.microsoft.com/office/drawing/2014/chart" uri="{C3380CC4-5D6E-409C-BE32-E72D297353CC}">
                <c16:uniqueId val="{0000001F-88A6-4153-90E5-C97EE0C071BE}"/>
              </c:ext>
            </c:extLst>
          </c:dPt>
          <c:dPt>
            <c:idx val="2"/>
            <c:invertIfNegative val="0"/>
            <c:bubble3D val="0"/>
            <c:extLst xmlns:c16r2="http://schemas.microsoft.com/office/drawing/2015/06/chart">
              <c:ext xmlns:c16="http://schemas.microsoft.com/office/drawing/2014/chart" uri="{C3380CC4-5D6E-409C-BE32-E72D297353CC}">
                <c16:uniqueId val="{00000020-88A6-4153-90E5-C97EE0C071BE}"/>
              </c:ext>
            </c:extLst>
          </c:dPt>
          <c:dPt>
            <c:idx val="3"/>
            <c:invertIfNegative val="0"/>
            <c:bubble3D val="0"/>
            <c:extLst xmlns:c16r2="http://schemas.microsoft.com/office/drawing/2015/06/chart">
              <c:ext xmlns:c16="http://schemas.microsoft.com/office/drawing/2014/chart" uri="{C3380CC4-5D6E-409C-BE32-E72D297353CC}">
                <c16:uniqueId val="{00000021-88A6-4153-90E5-C97EE0C071BE}"/>
              </c:ext>
            </c:extLst>
          </c:dPt>
          <c:dPt>
            <c:idx val="4"/>
            <c:invertIfNegative val="0"/>
            <c:bubble3D val="0"/>
            <c:extLst xmlns:c16r2="http://schemas.microsoft.com/office/drawing/2015/06/chart">
              <c:ext xmlns:c16="http://schemas.microsoft.com/office/drawing/2014/chart" uri="{C3380CC4-5D6E-409C-BE32-E72D297353CC}">
                <c16:uniqueId val="{00000022-88A6-4153-90E5-C97EE0C071BE}"/>
              </c:ext>
            </c:extLst>
          </c:dPt>
          <c:dPt>
            <c:idx val="5"/>
            <c:invertIfNegative val="0"/>
            <c:bubble3D val="0"/>
            <c:extLst xmlns:c16r2="http://schemas.microsoft.com/office/drawing/2015/06/chart">
              <c:ext xmlns:c16="http://schemas.microsoft.com/office/drawing/2014/chart" uri="{C3380CC4-5D6E-409C-BE32-E72D297353CC}">
                <c16:uniqueId val="{00000023-88A6-4153-90E5-C97EE0C071BE}"/>
              </c:ext>
            </c:extLst>
          </c:dPt>
          <c:dPt>
            <c:idx val="6"/>
            <c:invertIfNegative val="0"/>
            <c:bubble3D val="0"/>
            <c:extLst xmlns:c16r2="http://schemas.microsoft.com/office/drawing/2015/06/chart">
              <c:ext xmlns:c16="http://schemas.microsoft.com/office/drawing/2014/chart" uri="{C3380CC4-5D6E-409C-BE32-E72D297353CC}">
                <c16:uniqueId val="{00000024-88A6-4153-90E5-C97EE0C071BE}"/>
              </c:ext>
            </c:extLst>
          </c:dPt>
          <c:dPt>
            <c:idx val="7"/>
            <c:invertIfNegative val="0"/>
            <c:bubble3D val="0"/>
            <c:extLst xmlns:c16r2="http://schemas.microsoft.com/office/drawing/2015/06/chart">
              <c:ext xmlns:c16="http://schemas.microsoft.com/office/drawing/2014/chart" uri="{C3380CC4-5D6E-409C-BE32-E72D297353CC}">
                <c16:uniqueId val="{00000025-88A6-4153-90E5-C97EE0C071BE}"/>
              </c:ext>
            </c:extLst>
          </c:dPt>
          <c:dPt>
            <c:idx val="8"/>
            <c:invertIfNegative val="0"/>
            <c:bubble3D val="0"/>
            <c:extLst xmlns:c16r2="http://schemas.microsoft.com/office/drawing/2015/06/chart">
              <c:ext xmlns:c16="http://schemas.microsoft.com/office/drawing/2014/chart" uri="{C3380CC4-5D6E-409C-BE32-E72D297353CC}">
                <c16:uniqueId val="{00000026-88A6-4153-90E5-C97EE0C071BE}"/>
              </c:ext>
            </c:extLst>
          </c:dPt>
          <c:dLbls>
            <c:dLbl>
              <c:idx val="0"/>
              <c:tx>
                <c:rich>
                  <a:bodyPr/>
                  <a:lstStyle/>
                  <a:p>
                    <a:fld id="{B7AD64DC-9015-4AD7-8CA5-5CA53C94236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E-88A6-4153-90E5-C97EE0C071BE}"/>
                </c:ext>
              </c:extLst>
            </c:dLbl>
            <c:dLbl>
              <c:idx val="1"/>
              <c:tx>
                <c:rich>
                  <a:bodyPr/>
                  <a:lstStyle/>
                  <a:p>
                    <a:fld id="{F87D9DE8-7067-4D54-97C6-5681E08D5B2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88A6-4153-90E5-C97EE0C071BE}"/>
                </c:ext>
              </c:extLst>
            </c:dLbl>
            <c:dLbl>
              <c:idx val="2"/>
              <c:tx>
                <c:rich>
                  <a:bodyPr/>
                  <a:lstStyle/>
                  <a:p>
                    <a:fld id="{D15B659A-6075-4AE0-A247-2AAFF61B5BC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88A6-4153-90E5-C97EE0C071BE}"/>
                </c:ext>
              </c:extLst>
            </c:dLbl>
            <c:dLbl>
              <c:idx val="3"/>
              <c:tx>
                <c:rich>
                  <a:bodyPr/>
                  <a:lstStyle/>
                  <a:p>
                    <a:fld id="{C7FFAD4D-3A43-427E-B836-667C6957AFF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88A6-4153-90E5-C97EE0C071BE}"/>
                </c:ext>
              </c:extLst>
            </c:dLbl>
            <c:dLbl>
              <c:idx val="4"/>
              <c:tx>
                <c:rich>
                  <a:bodyPr/>
                  <a:lstStyle/>
                  <a:p>
                    <a:fld id="{3CC90C07-3748-4CCE-9B6E-AE4A79A2030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88A6-4153-90E5-C97EE0C071BE}"/>
                </c:ext>
              </c:extLst>
            </c:dLbl>
            <c:dLbl>
              <c:idx val="5"/>
              <c:tx>
                <c:rich>
                  <a:bodyPr/>
                  <a:lstStyle/>
                  <a:p>
                    <a:fld id="{FF010D76-7050-49B8-A00D-26BE5BD6B80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3-88A6-4153-90E5-C97EE0C071BE}"/>
                </c:ext>
              </c:extLst>
            </c:dLbl>
            <c:dLbl>
              <c:idx val="6"/>
              <c:tx>
                <c:rich>
                  <a:bodyPr/>
                  <a:lstStyle/>
                  <a:p>
                    <a:fld id="{DF72513D-1684-46B7-8618-097BA47631D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4-88A6-4153-90E5-C97EE0C071BE}"/>
                </c:ext>
              </c:extLst>
            </c:dLbl>
            <c:dLbl>
              <c:idx val="7"/>
              <c:tx>
                <c:rich>
                  <a:bodyPr/>
                  <a:lstStyle/>
                  <a:p>
                    <a:fld id="{965F4B3C-43DA-4EE6-B194-C129BE9C171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5-88A6-4153-90E5-C97EE0C071BE}"/>
                </c:ext>
              </c:extLst>
            </c:dLbl>
            <c:dLbl>
              <c:idx val="8"/>
              <c:tx>
                <c:rich>
                  <a:bodyPr/>
                  <a:lstStyle/>
                  <a:p>
                    <a:fld id="{EEDAF35D-4251-4338-A4B0-AE5AD11AC49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6-88A6-4153-90E5-C97EE0C071B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Effectiveness_Avg!$Y$32:$Y$41</c:f>
              <c:strCache>
                <c:ptCount val="9"/>
                <c:pt idx="0">
                  <c:v>Take-up and re-use of the ISA² programme’s results by European public administrations</c:v>
                </c:pt>
                <c:pt idx="1">
                  <c:v>Reduction of the cost and administrative burden of cross-border interaction, removal of administrative e-barriers and contribution to the swift implementation of ICT systems supporting EU legislation</c:v>
                </c:pt>
                <c:pt idx="2">
                  <c:v>More effective, simplified and user-friendly e-administrations in European public administrations</c:v>
                </c:pt>
                <c:pt idx="3">
                  <c:v>Increased speed, efficiency and quality in the creation and delivery of cross-border and cross-sector electronic public services to meet the needs of businesses and citizens</c:v>
                </c:pt>
                <c:pt idx="4">
                  <c:v>Improved efficiency and productivity of the European public administrations, which can be a strong driver of economic growth through its support for, and governance of, the private sector</c:v>
                </c:pt>
                <c:pt idx="5">
                  <c:v>Efficient and effective electronic cross-border or cross-sectoral interactions between European Public Administrations as well as between European public administrations and businesses/citizens</c:v>
                </c:pt>
                <c:pt idx="6">
                  <c:v>Contribution to the successful achievement of the Digital Single Market</c:v>
                </c:pt>
                <c:pt idx="7">
                  <c:v>Advancement of Union policies and activities by supporting their implementation</c:v>
                </c:pt>
                <c:pt idx="8">
                  <c:v>A coherent interoperability landscape in the Union based on a holistic approach to interoperability</c:v>
                </c:pt>
              </c:strCache>
            </c:strRef>
          </c:cat>
          <c:val>
            <c:numRef>
              <c:f>Effectiveness_Avg!$AC$32:$AC$41</c:f>
              <c:numCache>
                <c:formatCode>General</c:formatCode>
                <c:ptCount val="9"/>
                <c:pt idx="0">
                  <c:v>3.4</c:v>
                </c:pt>
                <c:pt idx="1">
                  <c:v>3</c:v>
                </c:pt>
                <c:pt idx="2">
                  <c:v>3.1176470588235294</c:v>
                </c:pt>
                <c:pt idx="3">
                  <c:v>3.1666666666666665</c:v>
                </c:pt>
                <c:pt idx="4">
                  <c:v>2.95</c:v>
                </c:pt>
                <c:pt idx="5">
                  <c:v>3.3333333333333335</c:v>
                </c:pt>
                <c:pt idx="6">
                  <c:v>3.0952380952380953</c:v>
                </c:pt>
                <c:pt idx="7">
                  <c:v>3.2105263157894739</c:v>
                </c:pt>
                <c:pt idx="8">
                  <c:v>3.45</c:v>
                </c:pt>
              </c:numCache>
            </c:numRef>
          </c:val>
          <c:extLst xmlns:c16r2="http://schemas.microsoft.com/office/drawing/2015/06/chart">
            <c:ext xmlns:c15="http://schemas.microsoft.com/office/drawing/2012/chart" uri="{02D57815-91ED-43cb-92C2-25804820EDAC}">
              <c15:datalabelsRange>
                <c15:f>Effectiveness_Avg!$AC$56:$AC$64</c15:f>
                <c15:dlblRangeCache>
                  <c:ptCount val="9"/>
                  <c:pt idx="0">
                    <c:v>3.40 (20)</c:v>
                  </c:pt>
                  <c:pt idx="1">
                    <c:v>3.00 (20)</c:v>
                  </c:pt>
                  <c:pt idx="2">
                    <c:v>3.12 (17)</c:v>
                  </c:pt>
                  <c:pt idx="3">
                    <c:v>3.17 (18)</c:v>
                  </c:pt>
                  <c:pt idx="4">
                    <c:v>2.95 (20)</c:v>
                  </c:pt>
                  <c:pt idx="5">
                    <c:v>3.33 (21)</c:v>
                  </c:pt>
                  <c:pt idx="6">
                    <c:v>3.10 (21)</c:v>
                  </c:pt>
                  <c:pt idx="7">
                    <c:v>3.21 (19)</c:v>
                  </c:pt>
                  <c:pt idx="8">
                    <c:v>3.45 (20)</c:v>
                  </c:pt>
                </c15:dlblRangeCache>
              </c15:datalabelsRange>
            </c:ext>
            <c:ext xmlns:c16="http://schemas.microsoft.com/office/drawing/2014/chart" uri="{C3380CC4-5D6E-409C-BE32-E72D297353CC}">
              <c16:uniqueId val="{00000027-88A6-4153-90E5-C97EE0C071BE}"/>
            </c:ext>
          </c:extLst>
        </c:ser>
        <c:dLbls>
          <c:dLblPos val="outEnd"/>
          <c:showLegendKey val="0"/>
          <c:showVal val="1"/>
          <c:showCatName val="0"/>
          <c:showSerName val="0"/>
          <c:showPercent val="0"/>
          <c:showBubbleSize val="0"/>
        </c:dLbls>
        <c:gapWidth val="182"/>
        <c:axId val="106287488"/>
        <c:axId val="106289024"/>
      </c:barChart>
      <c:catAx>
        <c:axId val="10628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289024"/>
        <c:crosses val="autoZero"/>
        <c:auto val="1"/>
        <c:lblAlgn val="ctr"/>
        <c:lblOffset val="100"/>
        <c:noMultiLvlLbl val="0"/>
      </c:catAx>
      <c:valAx>
        <c:axId val="106289024"/>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2874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dynamique5</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265898-5C89-4343-B135-36203717BE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C0E394-42BE-4A48-9F16-E7E5B1B9204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5501DE-CDD1-45AA-A93A-BA4B8DCA4FD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D8CBE2-0AFC-41C0-A8D6-055987D5A0F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C9D0C4-2A96-4248-8E5F-013B9179F4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B43DE4-4039-48FA-9648-B85BEB205F5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5DAC01-C490-43D5-884F-78451B68CC2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4E498F-20A0-46C2-B097-2CA20D01475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2BB282-9854-4DCA-8C4E-FDF987D112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8F4F55-FE5A-442E-8290-B7854408129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A8B9714-45EC-4FA9-B855-6281F9E686B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DF8F5-48AE-49F9-84A1-B36286D9965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265898-5C89-4343-B135-36203717BE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C9D0C4-2A96-4248-8E5F-013B9179F4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2BB282-9854-4DCA-8C4E-FDF987D112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036C72-11B1-4C7B-A1A8-19E4CCA9BA7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8CFD8F-1149-462F-8535-D12F387C012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08D82A-5BDC-43F4-AEFD-3573E4E5178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141D8E-BB0B-4D66-8781-F408546A553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061FC21-83C5-4B9A-9537-8CC04C0DFF8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1D01B8-ABD7-4151-9ADF-5D54C49D52B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AB7C1E-4316-47F6-B64A-525CFE9D6F5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88A8C2-BA26-452E-B495-73342D9CCB8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1F186F-8477-4D06-8783-C52DFFCE05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265898-5C89-4343-B135-36203717BE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C9D0C4-2A96-4248-8E5F-013B9179F4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2BB282-9854-4DCA-8C4E-FDF987D112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86BC1A-E7B7-4025-9DDC-E9F052104EB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47B29F-84B8-4985-B0D9-BF8643F20F9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E097EE-010C-4DFA-AF6C-3822BA601E5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979013-DA3F-4370-B447-88DD27CAD5A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4C27874-582A-4B2E-8A91-2D21CDA0CE5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498E6B-3E82-4C3E-A9BC-04591DB8A5D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560AC9C-014D-42A0-808C-2F764F81923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D6EB6B-1CD3-41B2-B8C7-FB7CC258D2C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47CC4B-3BEF-4305-A545-B1A26DF0089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Effectiveness_Avg!$Z$68:$Z$69</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AC3-4445-9738-A1F1691AC3B1}"/>
              </c:ext>
            </c:extLst>
          </c:dPt>
          <c:dPt>
            <c:idx val="1"/>
            <c:invertIfNegative val="0"/>
            <c:bubble3D val="0"/>
            <c:extLst xmlns:c16r2="http://schemas.microsoft.com/office/drawing/2015/06/chart">
              <c:ext xmlns:c16="http://schemas.microsoft.com/office/drawing/2014/chart" uri="{C3380CC4-5D6E-409C-BE32-E72D297353CC}">
                <c16:uniqueId val="{00000001-8AC3-4445-9738-A1F1691AC3B1}"/>
              </c:ext>
            </c:extLst>
          </c:dPt>
          <c:dPt>
            <c:idx val="2"/>
            <c:invertIfNegative val="0"/>
            <c:bubble3D val="0"/>
            <c:extLst xmlns:c16r2="http://schemas.microsoft.com/office/drawing/2015/06/chart">
              <c:ext xmlns:c16="http://schemas.microsoft.com/office/drawing/2014/chart" uri="{C3380CC4-5D6E-409C-BE32-E72D297353CC}">
                <c16:uniqueId val="{00000002-8AC3-4445-9738-A1F1691AC3B1}"/>
              </c:ext>
            </c:extLst>
          </c:dPt>
          <c:dPt>
            <c:idx val="3"/>
            <c:invertIfNegative val="0"/>
            <c:bubble3D val="0"/>
            <c:extLst xmlns:c16r2="http://schemas.microsoft.com/office/drawing/2015/06/chart">
              <c:ext xmlns:c16="http://schemas.microsoft.com/office/drawing/2014/chart" uri="{C3380CC4-5D6E-409C-BE32-E72D297353CC}">
                <c16:uniqueId val="{00000003-8AC3-4445-9738-A1F1691AC3B1}"/>
              </c:ext>
            </c:extLst>
          </c:dPt>
          <c:dLbls>
            <c:dLbl>
              <c:idx val="0"/>
              <c:tx>
                <c:rich>
                  <a:bodyPr/>
                  <a:lstStyle/>
                  <a:p>
                    <a:fld id="{9E709B4F-5650-4467-B433-38980F9E462E}"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8AC3-4445-9738-A1F1691AC3B1}"/>
                </c:ext>
              </c:extLst>
            </c:dLbl>
            <c:dLbl>
              <c:idx val="1"/>
              <c:tx>
                <c:rich>
                  <a:bodyPr/>
                  <a:lstStyle/>
                  <a:p>
                    <a:fld id="{4F7D1F00-FF96-4B0D-A9D9-8C30E9D6205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8AC3-4445-9738-A1F1691AC3B1}"/>
                </c:ext>
              </c:extLst>
            </c:dLbl>
            <c:dLbl>
              <c:idx val="2"/>
              <c:tx>
                <c:rich>
                  <a:bodyPr/>
                  <a:lstStyle/>
                  <a:p>
                    <a:fld id="{2450FCA8-A839-4DB4-B7AE-C96ABFA75B3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8AC3-4445-9738-A1F1691AC3B1}"/>
                </c:ext>
              </c:extLst>
            </c:dLbl>
            <c:dLbl>
              <c:idx val="3"/>
              <c:tx>
                <c:rich>
                  <a:bodyPr/>
                  <a:lstStyle/>
                  <a:p>
                    <a:fld id="{AB9A6C33-17A7-4A79-9730-5586832CCAA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8AC3-4445-9738-A1F1691AC3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Effectiveness_Avg!$Y$70:$Y$74</c:f>
              <c:strCache>
                <c:ptCount val="4"/>
                <c:pt idx="0">
                  <c:v>The need for European public administrations to increase their efficiency due to budget constraints</c:v>
                </c:pt>
                <c:pt idx="1">
                  <c:v>National initiatives related to the ICT modernisation of the public sector</c:v>
                </c:pt>
                <c:pt idx="2">
                  <c:v>Calls for common standards and frameworks from public administrations</c:v>
                </c:pt>
                <c:pt idx="3">
                  <c:v>Calls for common standards and frameworks from industry</c:v>
                </c:pt>
              </c:strCache>
            </c:strRef>
          </c:cat>
          <c:val>
            <c:numRef>
              <c:f>Effectiveness_Avg!$Z$70:$Z$74</c:f>
              <c:numCache>
                <c:formatCode>General</c:formatCode>
                <c:ptCount val="4"/>
                <c:pt idx="0">
                  <c:v>3.7560975609756095</c:v>
                </c:pt>
                <c:pt idx="1">
                  <c:v>3.5789473684210527</c:v>
                </c:pt>
                <c:pt idx="2">
                  <c:v>3.9743589743589745</c:v>
                </c:pt>
                <c:pt idx="3">
                  <c:v>3.8888888888888888</c:v>
                </c:pt>
              </c:numCache>
            </c:numRef>
          </c:val>
          <c:extLst xmlns:c16r2="http://schemas.microsoft.com/office/drawing/2015/06/chart">
            <c:ext xmlns:c15="http://schemas.microsoft.com/office/drawing/2012/chart" uri="{02D57815-91ED-43cb-92C2-25804820EDAC}">
              <c15:datalabelsRange>
                <c15:f>Effectiveness_Avg!$Z$84:$Z$87</c15:f>
                <c15:dlblRangeCache>
                  <c:ptCount val="4"/>
                  <c:pt idx="0">
                    <c:v>3.76 (41)</c:v>
                  </c:pt>
                  <c:pt idx="1">
                    <c:v>3.58 (38)</c:v>
                  </c:pt>
                  <c:pt idx="2">
                    <c:v>3.97 (39)</c:v>
                  </c:pt>
                  <c:pt idx="3">
                    <c:v>3.89 (36)</c:v>
                  </c:pt>
                </c15:dlblRangeCache>
              </c15:datalabelsRange>
            </c:ext>
            <c:ext xmlns:c16="http://schemas.microsoft.com/office/drawing/2014/chart" uri="{C3380CC4-5D6E-409C-BE32-E72D297353CC}">
              <c16:uniqueId val="{00000004-8AC3-4445-9738-A1F1691AC3B1}"/>
            </c:ext>
          </c:extLst>
        </c:ser>
        <c:ser>
          <c:idx val="1"/>
          <c:order val="1"/>
          <c:tx>
            <c:strRef>
              <c:f>Effectiveness_Avg!$AA$68:$AA$69</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5-8AC3-4445-9738-A1F1691AC3B1}"/>
              </c:ext>
            </c:extLst>
          </c:dPt>
          <c:dPt>
            <c:idx val="1"/>
            <c:invertIfNegative val="0"/>
            <c:bubble3D val="0"/>
            <c:extLst xmlns:c16r2="http://schemas.microsoft.com/office/drawing/2015/06/chart">
              <c:ext xmlns:c16="http://schemas.microsoft.com/office/drawing/2014/chart" uri="{C3380CC4-5D6E-409C-BE32-E72D297353CC}">
                <c16:uniqueId val="{00000006-8AC3-4445-9738-A1F1691AC3B1}"/>
              </c:ext>
            </c:extLst>
          </c:dPt>
          <c:dPt>
            <c:idx val="2"/>
            <c:invertIfNegative val="0"/>
            <c:bubble3D val="0"/>
            <c:extLst xmlns:c16r2="http://schemas.microsoft.com/office/drawing/2015/06/chart">
              <c:ext xmlns:c16="http://schemas.microsoft.com/office/drawing/2014/chart" uri="{C3380CC4-5D6E-409C-BE32-E72D297353CC}">
                <c16:uniqueId val="{00000007-8AC3-4445-9738-A1F1691AC3B1}"/>
              </c:ext>
            </c:extLst>
          </c:dPt>
          <c:dPt>
            <c:idx val="3"/>
            <c:invertIfNegative val="0"/>
            <c:bubble3D val="0"/>
            <c:extLst xmlns:c16r2="http://schemas.microsoft.com/office/drawing/2015/06/chart">
              <c:ext xmlns:c16="http://schemas.microsoft.com/office/drawing/2014/chart" uri="{C3380CC4-5D6E-409C-BE32-E72D297353CC}">
                <c16:uniqueId val="{00000008-8AC3-4445-9738-A1F1691AC3B1}"/>
              </c:ext>
            </c:extLst>
          </c:dPt>
          <c:dLbls>
            <c:dLbl>
              <c:idx val="0"/>
              <c:tx>
                <c:rich>
                  <a:bodyPr/>
                  <a:lstStyle/>
                  <a:p>
                    <a:fld id="{F93AB340-9B9A-48B3-A440-BDE969AE6817}"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8AC3-4445-9738-A1F1691AC3B1}"/>
                </c:ext>
              </c:extLst>
            </c:dLbl>
            <c:dLbl>
              <c:idx val="1"/>
              <c:tx>
                <c:rich>
                  <a:bodyPr/>
                  <a:lstStyle/>
                  <a:p>
                    <a:fld id="{5D110D07-BB6C-4661-8D40-0994B27BD91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8AC3-4445-9738-A1F1691AC3B1}"/>
                </c:ext>
              </c:extLst>
            </c:dLbl>
            <c:dLbl>
              <c:idx val="2"/>
              <c:tx>
                <c:rich>
                  <a:bodyPr/>
                  <a:lstStyle/>
                  <a:p>
                    <a:fld id="{5492ECA0-CC35-4428-BAA7-41EF1C1E5FB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8AC3-4445-9738-A1F1691AC3B1}"/>
                </c:ext>
              </c:extLst>
            </c:dLbl>
            <c:dLbl>
              <c:idx val="3"/>
              <c:tx>
                <c:rich>
                  <a:bodyPr/>
                  <a:lstStyle/>
                  <a:p>
                    <a:fld id="{97D7840A-2A03-4A5C-BCC5-B6991735172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8AC3-4445-9738-A1F1691AC3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Effectiveness_Avg!$Y$70:$Y$74</c:f>
              <c:strCache>
                <c:ptCount val="4"/>
                <c:pt idx="0">
                  <c:v>The need for European public administrations to increase their efficiency due to budget constraints</c:v>
                </c:pt>
                <c:pt idx="1">
                  <c:v>National initiatives related to the ICT modernisation of the public sector</c:v>
                </c:pt>
                <c:pt idx="2">
                  <c:v>Calls for common standards and frameworks from public administrations</c:v>
                </c:pt>
                <c:pt idx="3">
                  <c:v>Calls for common standards and frameworks from industry</c:v>
                </c:pt>
              </c:strCache>
            </c:strRef>
          </c:cat>
          <c:val>
            <c:numRef>
              <c:f>Effectiveness_Avg!$AA$70:$AA$74</c:f>
              <c:numCache>
                <c:formatCode>General</c:formatCode>
                <c:ptCount val="4"/>
                <c:pt idx="0">
                  <c:v>3.6111111111111112</c:v>
                </c:pt>
                <c:pt idx="1">
                  <c:v>3.6842105263157894</c:v>
                </c:pt>
                <c:pt idx="2">
                  <c:v>4.0526315789473681</c:v>
                </c:pt>
                <c:pt idx="3">
                  <c:v>3.5</c:v>
                </c:pt>
              </c:numCache>
            </c:numRef>
          </c:val>
          <c:extLst xmlns:c16r2="http://schemas.microsoft.com/office/drawing/2015/06/chart">
            <c:ext xmlns:c15="http://schemas.microsoft.com/office/drawing/2012/chart" uri="{02D57815-91ED-43cb-92C2-25804820EDAC}">
              <c15:datalabelsRange>
                <c15:f>Effectiveness_Avg!$AA$84:$AA$87</c15:f>
                <c15:dlblRangeCache>
                  <c:ptCount val="4"/>
                  <c:pt idx="0">
                    <c:v>3.61 (18)</c:v>
                  </c:pt>
                  <c:pt idx="1">
                    <c:v>3.68 (19)</c:v>
                  </c:pt>
                  <c:pt idx="2">
                    <c:v>4.05 (19)</c:v>
                  </c:pt>
                  <c:pt idx="3">
                    <c:v>3.50 (16)</c:v>
                  </c:pt>
                </c15:dlblRangeCache>
              </c15:datalabelsRange>
            </c:ext>
            <c:ext xmlns:c16="http://schemas.microsoft.com/office/drawing/2014/chart" uri="{C3380CC4-5D6E-409C-BE32-E72D297353CC}">
              <c16:uniqueId val="{00000009-8AC3-4445-9738-A1F1691AC3B1}"/>
            </c:ext>
          </c:extLst>
        </c:ser>
        <c:ser>
          <c:idx val="2"/>
          <c:order val="2"/>
          <c:tx>
            <c:strRef>
              <c:f>Effectiveness_Avg!$AB$68:$AB$69</c:f>
              <c:strCache>
                <c:ptCount val="1"/>
                <c:pt idx="0">
                  <c:v>Action owners</c:v>
                </c:pt>
              </c:strCache>
            </c:strRef>
          </c:tx>
          <c:spPr>
            <a:solidFill>
              <a:schemeClr val="accent6"/>
            </a:solidFill>
            <a:ln>
              <a:solidFill>
                <a:schemeClr val="accent6"/>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A-8AC3-4445-9738-A1F1691AC3B1}"/>
              </c:ext>
            </c:extLst>
          </c:dPt>
          <c:dPt>
            <c:idx val="1"/>
            <c:invertIfNegative val="0"/>
            <c:bubble3D val="0"/>
            <c:extLst xmlns:c16r2="http://schemas.microsoft.com/office/drawing/2015/06/chart">
              <c:ext xmlns:c16="http://schemas.microsoft.com/office/drawing/2014/chart" uri="{C3380CC4-5D6E-409C-BE32-E72D297353CC}">
                <c16:uniqueId val="{0000000B-8AC3-4445-9738-A1F1691AC3B1}"/>
              </c:ext>
            </c:extLst>
          </c:dPt>
          <c:dPt>
            <c:idx val="2"/>
            <c:invertIfNegative val="0"/>
            <c:bubble3D val="0"/>
            <c:extLst xmlns:c16r2="http://schemas.microsoft.com/office/drawing/2015/06/chart">
              <c:ext xmlns:c16="http://schemas.microsoft.com/office/drawing/2014/chart" uri="{C3380CC4-5D6E-409C-BE32-E72D297353CC}">
                <c16:uniqueId val="{0000000C-8AC3-4445-9738-A1F1691AC3B1}"/>
              </c:ext>
            </c:extLst>
          </c:dPt>
          <c:dPt>
            <c:idx val="3"/>
            <c:invertIfNegative val="0"/>
            <c:bubble3D val="0"/>
            <c:extLst xmlns:c16r2="http://schemas.microsoft.com/office/drawing/2015/06/chart">
              <c:ext xmlns:c16="http://schemas.microsoft.com/office/drawing/2014/chart" uri="{C3380CC4-5D6E-409C-BE32-E72D297353CC}">
                <c16:uniqueId val="{0000000D-8AC3-4445-9738-A1F1691AC3B1}"/>
              </c:ext>
            </c:extLst>
          </c:dPt>
          <c:dLbls>
            <c:dLbl>
              <c:idx val="0"/>
              <c:tx>
                <c:rich>
                  <a:bodyPr/>
                  <a:lstStyle/>
                  <a:p>
                    <a:fld id="{95DF74F1-174E-4777-B2AC-119F83BCC3A6}"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8AC3-4445-9738-A1F1691AC3B1}"/>
                </c:ext>
              </c:extLst>
            </c:dLbl>
            <c:dLbl>
              <c:idx val="1"/>
              <c:tx>
                <c:rich>
                  <a:bodyPr/>
                  <a:lstStyle/>
                  <a:p>
                    <a:fld id="{4887E00A-6449-4933-8E49-802ABE28488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8AC3-4445-9738-A1F1691AC3B1}"/>
                </c:ext>
              </c:extLst>
            </c:dLbl>
            <c:dLbl>
              <c:idx val="2"/>
              <c:tx>
                <c:rich>
                  <a:bodyPr/>
                  <a:lstStyle/>
                  <a:p>
                    <a:fld id="{CB45CC55-6571-41AD-A576-2E846C539F3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8AC3-4445-9738-A1F1691AC3B1}"/>
                </c:ext>
              </c:extLst>
            </c:dLbl>
            <c:dLbl>
              <c:idx val="3"/>
              <c:tx>
                <c:rich>
                  <a:bodyPr/>
                  <a:lstStyle/>
                  <a:p>
                    <a:fld id="{2A0780DA-67B6-461E-A8A9-CE1BD9EA32B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8AC3-4445-9738-A1F1691AC3B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Effectiveness_Avg!$Y$70:$Y$74</c:f>
              <c:strCache>
                <c:ptCount val="4"/>
                <c:pt idx="0">
                  <c:v>The need for European public administrations to increase their efficiency due to budget constraints</c:v>
                </c:pt>
                <c:pt idx="1">
                  <c:v>National initiatives related to the ICT modernisation of the public sector</c:v>
                </c:pt>
                <c:pt idx="2">
                  <c:v>Calls for common standards and frameworks from public administrations</c:v>
                </c:pt>
                <c:pt idx="3">
                  <c:v>Calls for common standards and frameworks from industry</c:v>
                </c:pt>
              </c:strCache>
            </c:strRef>
          </c:cat>
          <c:val>
            <c:numRef>
              <c:f>Effectiveness_Avg!$AB$70:$AB$74</c:f>
              <c:numCache>
                <c:formatCode>General</c:formatCode>
                <c:ptCount val="4"/>
                <c:pt idx="0">
                  <c:v>3.7142857142857144</c:v>
                </c:pt>
                <c:pt idx="1">
                  <c:v>3.6956521739130435</c:v>
                </c:pt>
                <c:pt idx="2">
                  <c:v>3.9</c:v>
                </c:pt>
                <c:pt idx="3">
                  <c:v>3.4444444444444446</c:v>
                </c:pt>
              </c:numCache>
            </c:numRef>
          </c:val>
          <c:extLst xmlns:c16r2="http://schemas.microsoft.com/office/drawing/2015/06/chart">
            <c:ext xmlns:c15="http://schemas.microsoft.com/office/drawing/2012/chart" uri="{02D57815-91ED-43cb-92C2-25804820EDAC}">
              <c15:datalabelsRange>
                <c15:f>Effectiveness_Avg!$AB$84:$AB$87</c15:f>
                <c15:dlblRangeCache>
                  <c:ptCount val="4"/>
                  <c:pt idx="0">
                    <c:v>3.71 (21)</c:v>
                  </c:pt>
                  <c:pt idx="1">
                    <c:v>3.70 (23)</c:v>
                  </c:pt>
                  <c:pt idx="2">
                    <c:v>3.90 (20)</c:v>
                  </c:pt>
                  <c:pt idx="3">
                    <c:v>3.44 (18)</c:v>
                  </c:pt>
                </c15:dlblRangeCache>
              </c15:datalabelsRange>
            </c:ext>
            <c:ext xmlns:c16="http://schemas.microsoft.com/office/drawing/2014/chart" uri="{C3380CC4-5D6E-409C-BE32-E72D297353CC}">
              <c16:uniqueId val="{0000000E-8AC3-4445-9738-A1F1691AC3B1}"/>
            </c:ext>
          </c:extLst>
        </c:ser>
        <c:dLbls>
          <c:dLblPos val="outEnd"/>
          <c:showLegendKey val="0"/>
          <c:showVal val="1"/>
          <c:showCatName val="0"/>
          <c:showSerName val="0"/>
          <c:showPercent val="0"/>
          <c:showBubbleSize val="0"/>
        </c:dLbls>
        <c:gapWidth val="182"/>
        <c:axId val="106449536"/>
        <c:axId val="106492288"/>
      </c:barChart>
      <c:catAx>
        <c:axId val="10644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492288"/>
        <c:crosses val="autoZero"/>
        <c:auto val="1"/>
        <c:lblAlgn val="ctr"/>
        <c:lblOffset val="100"/>
        <c:noMultiLvlLbl val="0"/>
      </c:catAx>
      <c:valAx>
        <c:axId val="106492288"/>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64495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dynamique6</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E009DA-869B-450A-AC50-2511D360642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4D566A-AEB0-42A2-82B4-7478A945CA4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766C34-CE5D-428A-988D-6FC4190B592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22DC93-0B56-4647-AEBB-71785531208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D2322-7CDE-4CE1-B17F-BE673DCA6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88AE1EB-BC0D-4109-8F8F-872DF3B6071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3196CF-5907-4127-8776-5A17A3D497A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A00F15-6130-4FA8-95AA-43B5B3E0CBF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4F5979-4B96-49DF-A56E-918A50F80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DF1F202-A391-491F-9A1D-A2F64A4F6E1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8B48F23-7AB6-4A5A-840B-9F15B3CFFE2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D2675F-6784-43CD-A4DA-F5E9E684580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E009DA-869B-450A-AC50-2511D360642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D2322-7CDE-4CE1-B17F-BE673DCA6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7EE251-63D8-4D1B-81B6-5D079E9F0A3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6336B0-38F9-4B99-AA31-018A369AA9E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B8302F-CCED-4E02-8EB6-D2117A4F300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4F5979-4B96-49DF-A56E-918A50F80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9A8BA66-9FC2-4DB8-8B3B-EE4D55F9DCE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86DDEA-75C2-4B61-B87E-E6B3E1E345B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774EF1-08C1-42C1-B847-94335A45B60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5307F6-3284-4A3D-906B-63E50D33356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E96086-216E-4CAF-8062-4AE7C42CD05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6B5BBE4-FA5F-41D8-910A-B8FEC1F162A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E009DA-869B-450A-AC50-2511D360642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D2322-7CDE-4CE1-B17F-BE673DCA6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126FA4-184A-4180-95B8-B0E6DC24BB6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A42B210-272D-4638-AFBB-8D00540D37C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7667F5-3C7E-4285-87D8-4F9837628B4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4F5979-4B96-49DF-A56E-918A50F80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4F2D29-22BB-484D-AAF2-19A1EEDFAA0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0C31BF-3D9C-4ED7-8E5A-9BB098227C8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503194-ACA9-4DCA-B439-FDF0BCCA03B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9029C6-4198-4EDB-8911-386AD8F5FC5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873DE6-1620-4850-BE2C-9CD17C82A5D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CA07E1-A657-4C59-8F09-CC01B5D7E8F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Effectiveness_Avg!$Z$91:$Z$92</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54FB-438C-9DBB-C65BC50EC9C1}"/>
              </c:ext>
            </c:extLst>
          </c:dPt>
          <c:dPt>
            <c:idx val="1"/>
            <c:invertIfNegative val="0"/>
            <c:bubble3D val="0"/>
            <c:extLst xmlns:c16r2="http://schemas.microsoft.com/office/drawing/2015/06/chart">
              <c:ext xmlns:c16="http://schemas.microsoft.com/office/drawing/2014/chart" uri="{C3380CC4-5D6E-409C-BE32-E72D297353CC}">
                <c16:uniqueId val="{00000001-54FB-438C-9DBB-C65BC50EC9C1}"/>
              </c:ext>
            </c:extLst>
          </c:dPt>
          <c:dPt>
            <c:idx val="2"/>
            <c:invertIfNegative val="0"/>
            <c:bubble3D val="0"/>
            <c:extLst xmlns:c16r2="http://schemas.microsoft.com/office/drawing/2015/06/chart">
              <c:ext xmlns:c16="http://schemas.microsoft.com/office/drawing/2014/chart" uri="{C3380CC4-5D6E-409C-BE32-E72D297353CC}">
                <c16:uniqueId val="{00000002-54FB-438C-9DBB-C65BC50EC9C1}"/>
              </c:ext>
            </c:extLst>
          </c:dPt>
          <c:dPt>
            <c:idx val="3"/>
            <c:invertIfNegative val="0"/>
            <c:bubble3D val="0"/>
            <c:extLst xmlns:c16r2="http://schemas.microsoft.com/office/drawing/2015/06/chart">
              <c:ext xmlns:c16="http://schemas.microsoft.com/office/drawing/2014/chart" uri="{C3380CC4-5D6E-409C-BE32-E72D297353CC}">
                <c16:uniqueId val="{00000003-54FB-438C-9DBB-C65BC50EC9C1}"/>
              </c:ext>
            </c:extLst>
          </c:dPt>
          <c:dLbls>
            <c:dLbl>
              <c:idx val="0"/>
              <c:tx>
                <c:rich>
                  <a:bodyPr/>
                  <a:lstStyle/>
                  <a:p>
                    <a:fld id="{9418DB76-3F93-4DA7-B865-EE39C9A4E3A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54FB-438C-9DBB-C65BC50EC9C1}"/>
                </c:ext>
              </c:extLst>
            </c:dLbl>
            <c:dLbl>
              <c:idx val="1"/>
              <c:tx>
                <c:rich>
                  <a:bodyPr/>
                  <a:lstStyle/>
                  <a:p>
                    <a:fld id="{5837F739-78D4-4DC8-83CB-80F5A0A70F5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54FB-438C-9DBB-C65BC50EC9C1}"/>
                </c:ext>
              </c:extLst>
            </c:dLbl>
            <c:dLbl>
              <c:idx val="2"/>
              <c:tx>
                <c:rich>
                  <a:bodyPr/>
                  <a:lstStyle/>
                  <a:p>
                    <a:fld id="{BDF1BE33-B35C-430A-80DF-E797685B200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54FB-438C-9DBB-C65BC50EC9C1}"/>
                </c:ext>
              </c:extLst>
            </c:dLbl>
            <c:dLbl>
              <c:idx val="3"/>
              <c:tx>
                <c:rich>
                  <a:bodyPr/>
                  <a:lstStyle/>
                  <a:p>
                    <a:fld id="{574F1ED9-61AC-4929-919D-E2BA39FB0B4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54FB-438C-9DBB-C65BC50EC9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Effectiveness_Avg!$Y$93:$Y$97</c:f>
              <c:strCache>
                <c:ptCount val="4"/>
                <c:pt idx="0">
                  <c:v>Technical challenges (e.g. updating existing legacy applications)</c:v>
                </c:pt>
                <c:pt idx="1">
                  <c:v>Limited resources of European public administrations</c:v>
                </c:pt>
                <c:pt idx="2">
                  <c:v>Legal complexity</c:v>
                </c:pt>
                <c:pt idx="3">
                  <c:v>Institutional complexity</c:v>
                </c:pt>
              </c:strCache>
            </c:strRef>
          </c:cat>
          <c:val>
            <c:numRef>
              <c:f>Effectiveness_Avg!$Z$93:$Z$97</c:f>
              <c:numCache>
                <c:formatCode>General</c:formatCode>
                <c:ptCount val="4"/>
                <c:pt idx="0">
                  <c:v>3.2439024390243905</c:v>
                </c:pt>
                <c:pt idx="1">
                  <c:v>3.6829268292682928</c:v>
                </c:pt>
                <c:pt idx="2">
                  <c:v>3.8</c:v>
                </c:pt>
                <c:pt idx="3">
                  <c:v>3.9249999999999998</c:v>
                </c:pt>
              </c:numCache>
            </c:numRef>
          </c:val>
          <c:extLst xmlns:c16r2="http://schemas.microsoft.com/office/drawing/2015/06/chart">
            <c:ext xmlns:c15="http://schemas.microsoft.com/office/drawing/2012/chart" uri="{02D57815-91ED-43cb-92C2-25804820EDAC}">
              <c15:datalabelsRange>
                <c15:f>Effectiveness_Avg!$Z$107:$Z$110</c15:f>
                <c15:dlblRangeCache>
                  <c:ptCount val="4"/>
                  <c:pt idx="0">
                    <c:v>3.24 (41)</c:v>
                  </c:pt>
                  <c:pt idx="1">
                    <c:v>3.68 (41)</c:v>
                  </c:pt>
                  <c:pt idx="2">
                    <c:v>3.80 (40)</c:v>
                  </c:pt>
                  <c:pt idx="3">
                    <c:v>3.93 (40)</c:v>
                  </c:pt>
                </c15:dlblRangeCache>
              </c15:datalabelsRange>
            </c:ext>
            <c:ext xmlns:c16="http://schemas.microsoft.com/office/drawing/2014/chart" uri="{C3380CC4-5D6E-409C-BE32-E72D297353CC}">
              <c16:uniqueId val="{00000004-54FB-438C-9DBB-C65BC50EC9C1}"/>
            </c:ext>
          </c:extLst>
        </c:ser>
        <c:ser>
          <c:idx val="1"/>
          <c:order val="1"/>
          <c:tx>
            <c:strRef>
              <c:f>Effectiveness_Avg!$AA$91:$AA$92</c:f>
              <c:strCache>
                <c:ptCount val="1"/>
                <c:pt idx="0">
                  <c:v>Programme governance</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5-54FB-438C-9DBB-C65BC50EC9C1}"/>
              </c:ext>
            </c:extLst>
          </c:dPt>
          <c:dPt>
            <c:idx val="1"/>
            <c:invertIfNegative val="0"/>
            <c:bubble3D val="0"/>
            <c:extLst xmlns:c16r2="http://schemas.microsoft.com/office/drawing/2015/06/chart">
              <c:ext xmlns:c16="http://schemas.microsoft.com/office/drawing/2014/chart" uri="{C3380CC4-5D6E-409C-BE32-E72D297353CC}">
                <c16:uniqueId val="{00000006-54FB-438C-9DBB-C65BC50EC9C1}"/>
              </c:ext>
            </c:extLst>
          </c:dPt>
          <c:dPt>
            <c:idx val="2"/>
            <c:invertIfNegative val="0"/>
            <c:bubble3D val="0"/>
            <c:extLst xmlns:c16r2="http://schemas.microsoft.com/office/drawing/2015/06/chart">
              <c:ext xmlns:c16="http://schemas.microsoft.com/office/drawing/2014/chart" uri="{C3380CC4-5D6E-409C-BE32-E72D297353CC}">
                <c16:uniqueId val="{00000007-54FB-438C-9DBB-C65BC50EC9C1}"/>
              </c:ext>
            </c:extLst>
          </c:dPt>
          <c:dPt>
            <c:idx val="3"/>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54FB-438C-9DBB-C65BC50EC9C1}"/>
              </c:ext>
            </c:extLst>
          </c:dPt>
          <c:dLbls>
            <c:dLbl>
              <c:idx val="0"/>
              <c:tx>
                <c:rich>
                  <a:bodyPr/>
                  <a:lstStyle/>
                  <a:p>
                    <a:fld id="{52355582-6412-4CC1-BCE7-4F51BDB08AAF}"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54FB-438C-9DBB-C65BC50EC9C1}"/>
                </c:ext>
              </c:extLst>
            </c:dLbl>
            <c:dLbl>
              <c:idx val="1"/>
              <c:tx>
                <c:rich>
                  <a:bodyPr/>
                  <a:lstStyle/>
                  <a:p>
                    <a:fld id="{FF07E5F2-50C3-4552-8576-DB177E8DAAB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54FB-438C-9DBB-C65BC50EC9C1}"/>
                </c:ext>
              </c:extLst>
            </c:dLbl>
            <c:dLbl>
              <c:idx val="2"/>
              <c:tx>
                <c:rich>
                  <a:bodyPr/>
                  <a:lstStyle/>
                  <a:p>
                    <a:fld id="{6D3125DB-1909-4B78-82A8-AED41FFA4EE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54FB-438C-9DBB-C65BC50EC9C1}"/>
                </c:ext>
              </c:extLst>
            </c:dLbl>
            <c:dLbl>
              <c:idx val="3"/>
              <c:tx>
                <c:rich>
                  <a:bodyPr/>
                  <a:lstStyle/>
                  <a:p>
                    <a:fld id="{F99BF7CC-9ECD-4C10-872B-F97CECAE7AB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54FB-438C-9DBB-C65BC50EC9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Effectiveness_Avg!$Y$93:$Y$97</c:f>
              <c:strCache>
                <c:ptCount val="4"/>
                <c:pt idx="0">
                  <c:v>Technical challenges (e.g. updating existing legacy applications)</c:v>
                </c:pt>
                <c:pt idx="1">
                  <c:v>Limited resources of European public administrations</c:v>
                </c:pt>
                <c:pt idx="2">
                  <c:v>Legal complexity</c:v>
                </c:pt>
                <c:pt idx="3">
                  <c:v>Institutional complexity</c:v>
                </c:pt>
              </c:strCache>
            </c:strRef>
          </c:cat>
          <c:val>
            <c:numRef>
              <c:f>Effectiveness_Avg!$AA$93:$AA$97</c:f>
              <c:numCache>
                <c:formatCode>General</c:formatCode>
                <c:ptCount val="4"/>
                <c:pt idx="0">
                  <c:v>3.3684210526315788</c:v>
                </c:pt>
                <c:pt idx="1">
                  <c:v>3.5263157894736841</c:v>
                </c:pt>
                <c:pt idx="2">
                  <c:v>4</c:v>
                </c:pt>
                <c:pt idx="3">
                  <c:v>4.1052631578947372</c:v>
                </c:pt>
              </c:numCache>
            </c:numRef>
          </c:val>
          <c:extLst xmlns:c16r2="http://schemas.microsoft.com/office/drawing/2015/06/chart">
            <c:ext xmlns:c15="http://schemas.microsoft.com/office/drawing/2012/chart" uri="{02D57815-91ED-43cb-92C2-25804820EDAC}">
              <c15:datalabelsRange>
                <c15:f>Effectiveness_Avg!$AA$107:$AA$110</c15:f>
                <c15:dlblRangeCache>
                  <c:ptCount val="4"/>
                  <c:pt idx="0">
                    <c:v>3.37 (19)</c:v>
                  </c:pt>
                  <c:pt idx="1">
                    <c:v>3.53 (19)</c:v>
                  </c:pt>
                  <c:pt idx="2">
                    <c:v>4.00 (19)</c:v>
                  </c:pt>
                  <c:pt idx="3">
                    <c:v>4.11 (19)</c:v>
                  </c:pt>
                </c15:dlblRangeCache>
              </c15:datalabelsRange>
            </c:ext>
            <c:ext xmlns:c16="http://schemas.microsoft.com/office/drawing/2014/chart" uri="{C3380CC4-5D6E-409C-BE32-E72D297353CC}">
              <c16:uniqueId val="{0000000A-54FB-438C-9DBB-C65BC50EC9C1}"/>
            </c:ext>
          </c:extLst>
        </c:ser>
        <c:ser>
          <c:idx val="2"/>
          <c:order val="2"/>
          <c:tx>
            <c:strRef>
              <c:f>Effectiveness_Avg!$AB$91:$AB$92</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B-54FB-438C-9DBB-C65BC50EC9C1}"/>
              </c:ext>
            </c:extLst>
          </c:dPt>
          <c:dPt>
            <c:idx val="1"/>
            <c:invertIfNegative val="0"/>
            <c:bubble3D val="0"/>
            <c:extLst xmlns:c16r2="http://schemas.microsoft.com/office/drawing/2015/06/chart">
              <c:ext xmlns:c16="http://schemas.microsoft.com/office/drawing/2014/chart" uri="{C3380CC4-5D6E-409C-BE32-E72D297353CC}">
                <c16:uniqueId val="{0000000C-54FB-438C-9DBB-C65BC50EC9C1}"/>
              </c:ext>
            </c:extLst>
          </c:dPt>
          <c:dPt>
            <c:idx val="2"/>
            <c:invertIfNegative val="0"/>
            <c:bubble3D val="0"/>
            <c:extLst xmlns:c16r2="http://schemas.microsoft.com/office/drawing/2015/06/chart">
              <c:ext xmlns:c16="http://schemas.microsoft.com/office/drawing/2014/chart" uri="{C3380CC4-5D6E-409C-BE32-E72D297353CC}">
                <c16:uniqueId val="{0000000D-54FB-438C-9DBB-C65BC50EC9C1}"/>
              </c:ext>
            </c:extLst>
          </c:dPt>
          <c:dPt>
            <c:idx val="3"/>
            <c:invertIfNegative val="0"/>
            <c:bubble3D val="0"/>
            <c:extLst xmlns:c16r2="http://schemas.microsoft.com/office/drawing/2015/06/chart">
              <c:ext xmlns:c16="http://schemas.microsoft.com/office/drawing/2014/chart" uri="{C3380CC4-5D6E-409C-BE32-E72D297353CC}">
                <c16:uniqueId val="{0000000E-54FB-438C-9DBB-C65BC50EC9C1}"/>
              </c:ext>
            </c:extLst>
          </c:dPt>
          <c:dLbls>
            <c:dLbl>
              <c:idx val="0"/>
              <c:tx>
                <c:rich>
                  <a:bodyPr/>
                  <a:lstStyle/>
                  <a:p>
                    <a:fld id="{9B7DFF05-75D3-4613-B415-7EA68FC4BB9D}"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B-54FB-438C-9DBB-C65BC50EC9C1}"/>
                </c:ext>
              </c:extLst>
            </c:dLbl>
            <c:dLbl>
              <c:idx val="1"/>
              <c:tx>
                <c:rich>
                  <a:bodyPr/>
                  <a:lstStyle/>
                  <a:p>
                    <a:fld id="{C73997C8-4C31-490E-8732-779A02AAC6C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54FB-438C-9DBB-C65BC50EC9C1}"/>
                </c:ext>
              </c:extLst>
            </c:dLbl>
            <c:dLbl>
              <c:idx val="2"/>
              <c:tx>
                <c:rich>
                  <a:bodyPr/>
                  <a:lstStyle/>
                  <a:p>
                    <a:fld id="{B79B31C6-E17E-4CC6-AEA0-8BBE13B657C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54FB-438C-9DBB-C65BC50EC9C1}"/>
                </c:ext>
              </c:extLst>
            </c:dLbl>
            <c:dLbl>
              <c:idx val="3"/>
              <c:tx>
                <c:rich>
                  <a:bodyPr/>
                  <a:lstStyle/>
                  <a:p>
                    <a:fld id="{4DF596CD-EF11-4377-941A-DF766E50C8C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54FB-438C-9DBB-C65BC50EC9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Effectiveness_Avg!$Y$93:$Y$97</c:f>
              <c:strCache>
                <c:ptCount val="4"/>
                <c:pt idx="0">
                  <c:v>Technical challenges (e.g. updating existing legacy applications)</c:v>
                </c:pt>
                <c:pt idx="1">
                  <c:v>Limited resources of European public administrations</c:v>
                </c:pt>
                <c:pt idx="2">
                  <c:v>Legal complexity</c:v>
                </c:pt>
                <c:pt idx="3">
                  <c:v>Institutional complexity</c:v>
                </c:pt>
              </c:strCache>
            </c:strRef>
          </c:cat>
          <c:val>
            <c:numRef>
              <c:f>Effectiveness_Avg!$AB$93:$AB$97</c:f>
              <c:numCache>
                <c:formatCode>General</c:formatCode>
                <c:ptCount val="4"/>
                <c:pt idx="0">
                  <c:v>3.652173913043478</c:v>
                </c:pt>
                <c:pt idx="1">
                  <c:v>3.7391304347826089</c:v>
                </c:pt>
                <c:pt idx="2">
                  <c:v>3.8695652173913042</c:v>
                </c:pt>
                <c:pt idx="3">
                  <c:v>3.8695652173913042</c:v>
                </c:pt>
              </c:numCache>
            </c:numRef>
          </c:val>
          <c:extLst xmlns:c16r2="http://schemas.microsoft.com/office/drawing/2015/06/chart">
            <c:ext xmlns:c15="http://schemas.microsoft.com/office/drawing/2012/chart" uri="{02D57815-91ED-43cb-92C2-25804820EDAC}">
              <c15:datalabelsRange>
                <c15:f>Effectiveness_Avg!$AB$107:$AB$110</c15:f>
                <c15:dlblRangeCache>
                  <c:ptCount val="4"/>
                  <c:pt idx="0">
                    <c:v>3.65 (23)</c:v>
                  </c:pt>
                  <c:pt idx="1">
                    <c:v>3.74 (23)</c:v>
                  </c:pt>
                  <c:pt idx="2">
                    <c:v>3.87 (23)</c:v>
                  </c:pt>
                  <c:pt idx="3">
                    <c:v>3.87 (23)</c:v>
                  </c:pt>
                </c15:dlblRangeCache>
              </c15:datalabelsRange>
            </c:ext>
            <c:ext xmlns:c16="http://schemas.microsoft.com/office/drawing/2014/chart" uri="{C3380CC4-5D6E-409C-BE32-E72D297353CC}">
              <c16:uniqueId val="{0000000F-54FB-438C-9DBB-C65BC50EC9C1}"/>
            </c:ext>
          </c:extLst>
        </c:ser>
        <c:dLbls>
          <c:dLblPos val="outEnd"/>
          <c:showLegendKey val="0"/>
          <c:showVal val="1"/>
          <c:showCatName val="0"/>
          <c:showSerName val="0"/>
          <c:showPercent val="0"/>
          <c:showBubbleSize val="0"/>
        </c:dLbls>
        <c:gapWidth val="182"/>
        <c:axId val="107042304"/>
        <c:axId val="107043840"/>
      </c:barChart>
      <c:catAx>
        <c:axId val="107042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043840"/>
        <c:crosses val="autoZero"/>
        <c:auto val="1"/>
        <c:lblAlgn val="ctr"/>
        <c:lblOffset val="100"/>
        <c:noMultiLvlLbl val="0"/>
      </c:catAx>
      <c:valAx>
        <c:axId val="10704384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0423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Efficiency_Graph!$B$59</c:f>
              <c:strCache>
                <c:ptCount val="1"/>
                <c:pt idx="0">
                  <c:v>Action owners</c:v>
                </c:pt>
              </c:strCache>
            </c:strRef>
          </c:tx>
          <c:spPr>
            <a:solidFill>
              <a:schemeClr val="accent6"/>
            </a:solidFill>
            <a:ln>
              <a:noFill/>
            </a:ln>
            <a:effectLst/>
          </c:spPr>
          <c:invertIfNegative val="0"/>
          <c:cat>
            <c:strRef>
              <c:f>Efficiency_Graph!$A$60:$A$65</c:f>
              <c:strCache>
                <c:ptCount val="6"/>
                <c:pt idx="0">
                  <c:v>Not at all</c:v>
                </c:pt>
                <c:pt idx="1">
                  <c:v>To a limited extent</c:v>
                </c:pt>
                <c:pt idx="2">
                  <c:v>To some extent</c:v>
                </c:pt>
                <c:pt idx="3">
                  <c:v>To a high extent</c:v>
                </c:pt>
                <c:pt idx="4">
                  <c:v>To the fullest extent</c:v>
                </c:pt>
                <c:pt idx="5">
                  <c:v>Do not know/No opinion</c:v>
                </c:pt>
              </c:strCache>
            </c:strRef>
          </c:cat>
          <c:val>
            <c:numRef>
              <c:f>Efficiency_Graph!$B$60:$B$65</c:f>
              <c:numCache>
                <c:formatCode>General</c:formatCode>
                <c:ptCount val="6"/>
                <c:pt idx="0">
                  <c:v>0</c:v>
                </c:pt>
                <c:pt idx="1">
                  <c:v>1</c:v>
                </c:pt>
                <c:pt idx="2">
                  <c:v>11</c:v>
                </c:pt>
                <c:pt idx="3">
                  <c:v>10</c:v>
                </c:pt>
                <c:pt idx="4">
                  <c:v>0</c:v>
                </c:pt>
                <c:pt idx="5">
                  <c:v>1</c:v>
                </c:pt>
              </c:numCache>
            </c:numRef>
          </c:val>
          <c:extLst xmlns:c16r2="http://schemas.microsoft.com/office/drawing/2015/06/chart">
            <c:ext xmlns:c16="http://schemas.microsoft.com/office/drawing/2014/chart" uri="{C3380CC4-5D6E-409C-BE32-E72D297353CC}">
              <c16:uniqueId val="{00000000-73A9-4D73-920B-4B5AD181DD50}"/>
            </c:ext>
          </c:extLst>
        </c:ser>
        <c:ser>
          <c:idx val="1"/>
          <c:order val="1"/>
          <c:tx>
            <c:strRef>
              <c:f>Efficiency_Graph!$C$59</c:f>
              <c:strCache>
                <c:ptCount val="1"/>
                <c:pt idx="0">
                  <c:v>Programme governance</c:v>
                </c:pt>
              </c:strCache>
            </c:strRef>
          </c:tx>
          <c:spPr>
            <a:solidFill>
              <a:schemeClr val="accent5"/>
            </a:solidFill>
            <a:ln>
              <a:noFill/>
            </a:ln>
            <a:effectLst/>
          </c:spPr>
          <c:invertIfNegative val="0"/>
          <c:cat>
            <c:strRef>
              <c:f>Efficiency_Graph!$A$60:$A$65</c:f>
              <c:strCache>
                <c:ptCount val="6"/>
                <c:pt idx="0">
                  <c:v>Not at all</c:v>
                </c:pt>
                <c:pt idx="1">
                  <c:v>To a limited extent</c:v>
                </c:pt>
                <c:pt idx="2">
                  <c:v>To some extent</c:v>
                </c:pt>
                <c:pt idx="3">
                  <c:v>To a high extent</c:v>
                </c:pt>
                <c:pt idx="4">
                  <c:v>To the fullest extent</c:v>
                </c:pt>
                <c:pt idx="5">
                  <c:v>Do not know/No opinion</c:v>
                </c:pt>
              </c:strCache>
            </c:strRef>
          </c:cat>
          <c:val>
            <c:numRef>
              <c:f>Efficiency_Graph!$C$60:$C$65</c:f>
              <c:numCache>
                <c:formatCode>General</c:formatCode>
                <c:ptCount val="6"/>
                <c:pt idx="0">
                  <c:v>0</c:v>
                </c:pt>
                <c:pt idx="1">
                  <c:v>1</c:v>
                </c:pt>
                <c:pt idx="2">
                  <c:v>8</c:v>
                </c:pt>
                <c:pt idx="3">
                  <c:v>8</c:v>
                </c:pt>
                <c:pt idx="4">
                  <c:v>0</c:v>
                </c:pt>
                <c:pt idx="5">
                  <c:v>2</c:v>
                </c:pt>
              </c:numCache>
            </c:numRef>
          </c:val>
          <c:extLst xmlns:c16r2="http://schemas.microsoft.com/office/drawing/2015/06/chart">
            <c:ext xmlns:c16="http://schemas.microsoft.com/office/drawing/2014/chart" uri="{C3380CC4-5D6E-409C-BE32-E72D297353CC}">
              <c16:uniqueId val="{00000001-73A9-4D73-920B-4B5AD181DD50}"/>
            </c:ext>
          </c:extLst>
        </c:ser>
        <c:dLbls>
          <c:showLegendKey val="0"/>
          <c:showVal val="0"/>
          <c:showCatName val="0"/>
          <c:showSerName val="0"/>
          <c:showPercent val="0"/>
          <c:showBubbleSize val="0"/>
        </c:dLbls>
        <c:gapWidth val="150"/>
        <c:axId val="107078016"/>
        <c:axId val="107079552"/>
      </c:barChart>
      <c:catAx>
        <c:axId val="107078016"/>
        <c:scaling>
          <c:orientation val="minMax"/>
        </c:scaling>
        <c:delete val="0"/>
        <c:axPos val="b"/>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079552"/>
        <c:crosses val="autoZero"/>
        <c:auto val="0"/>
        <c:lblAlgn val="ctr"/>
        <c:lblOffset val="100"/>
        <c:noMultiLvlLbl val="0"/>
      </c:catAx>
      <c:valAx>
        <c:axId val="1070795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078016"/>
        <c:crosses val="autoZero"/>
        <c:crossBetween val="between"/>
      </c:valAx>
      <c:spPr>
        <a:solidFill>
          <a:schemeClr val="bg1"/>
        </a:solidFill>
        <a:ln>
          <a:noFill/>
        </a:ln>
        <a:effectLst/>
      </c:spPr>
    </c:plotArea>
    <c:legend>
      <c:legendPos val="r"/>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Frequency</c:v>
          </c:tx>
          <c:spPr>
            <a:solidFill>
              <a:schemeClr val="accent1"/>
            </a:solidFill>
            <a:ln>
              <a:noFill/>
            </a:ln>
            <a:effectLst/>
          </c:spPr>
          <c:invertIfNegative val="0"/>
          <c:cat>
            <c:numRef>
              <c:f>Efficiency_Graph!$S$36:$S$51</c:f>
              <c:numCache>
                <c:formatCode>General</c:formatCode>
                <c:ptCount val="16"/>
                <c:pt idx="0">
                  <c:v>2</c:v>
                </c:pt>
                <c:pt idx="1">
                  <c:v>4</c:v>
                </c:pt>
                <c:pt idx="2">
                  <c:v>6</c:v>
                </c:pt>
                <c:pt idx="3">
                  <c:v>8</c:v>
                </c:pt>
                <c:pt idx="4">
                  <c:v>10</c:v>
                </c:pt>
                <c:pt idx="5">
                  <c:v>12</c:v>
                </c:pt>
                <c:pt idx="6">
                  <c:v>14</c:v>
                </c:pt>
                <c:pt idx="7">
                  <c:v>16</c:v>
                </c:pt>
                <c:pt idx="8">
                  <c:v>18</c:v>
                </c:pt>
                <c:pt idx="9">
                  <c:v>20</c:v>
                </c:pt>
                <c:pt idx="10">
                  <c:v>22</c:v>
                </c:pt>
                <c:pt idx="11">
                  <c:v>24</c:v>
                </c:pt>
                <c:pt idx="12">
                  <c:v>26</c:v>
                </c:pt>
                <c:pt idx="13">
                  <c:v>28</c:v>
                </c:pt>
                <c:pt idx="14">
                  <c:v>30</c:v>
                </c:pt>
              </c:numCache>
            </c:numRef>
          </c:cat>
          <c:val>
            <c:numRef>
              <c:f>Efficiency_Graph!$T$36:$T$51</c:f>
              <c:numCache>
                <c:formatCode>General</c:formatCode>
                <c:ptCount val="16"/>
                <c:pt idx="0">
                  <c:v>5</c:v>
                </c:pt>
                <c:pt idx="1">
                  <c:v>4</c:v>
                </c:pt>
                <c:pt idx="2">
                  <c:v>5</c:v>
                </c:pt>
                <c:pt idx="3">
                  <c:v>0</c:v>
                </c:pt>
                <c:pt idx="4">
                  <c:v>3</c:v>
                </c:pt>
                <c:pt idx="5">
                  <c:v>0</c:v>
                </c:pt>
                <c:pt idx="6">
                  <c:v>0</c:v>
                </c:pt>
                <c:pt idx="7">
                  <c:v>0</c:v>
                </c:pt>
                <c:pt idx="8">
                  <c:v>0</c:v>
                </c:pt>
                <c:pt idx="9">
                  <c:v>2</c:v>
                </c:pt>
                <c:pt idx="10">
                  <c:v>0</c:v>
                </c:pt>
                <c:pt idx="11">
                  <c:v>1</c:v>
                </c:pt>
                <c:pt idx="12">
                  <c:v>0</c:v>
                </c:pt>
                <c:pt idx="13">
                  <c:v>0</c:v>
                </c:pt>
                <c:pt idx="14">
                  <c:v>1</c:v>
                </c:pt>
              </c:numCache>
            </c:numRef>
          </c:val>
          <c:extLst xmlns:c16r2="http://schemas.microsoft.com/office/drawing/2015/06/chart">
            <c:ext xmlns:c16="http://schemas.microsoft.com/office/drawing/2014/chart" uri="{C3380CC4-5D6E-409C-BE32-E72D297353CC}">
              <c16:uniqueId val="{00000000-1E76-432E-B5B6-C1EE05FF3DF9}"/>
            </c:ext>
          </c:extLst>
        </c:ser>
        <c:dLbls>
          <c:showLegendKey val="0"/>
          <c:showVal val="0"/>
          <c:showCatName val="0"/>
          <c:showSerName val="0"/>
          <c:showPercent val="0"/>
          <c:showBubbleSize val="0"/>
        </c:dLbls>
        <c:gapWidth val="219"/>
        <c:overlap val="-27"/>
        <c:axId val="107087744"/>
        <c:axId val="107098112"/>
      </c:barChart>
      <c:catAx>
        <c:axId val="10708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days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98112"/>
        <c:crosses val="autoZero"/>
        <c:auto val="1"/>
        <c:lblAlgn val="ctr"/>
        <c:lblOffset val="100"/>
        <c:noMultiLvlLbl val="0"/>
      </c:catAx>
      <c:valAx>
        <c:axId val="10709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87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dynamique3</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71F1C2-E95C-48AF-9E46-E21DE4810B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3E22E4-7F46-4BA4-890D-807A3C9DA27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B4332AE-7519-48F8-8E37-1CE68755619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763B86D-2633-462C-9049-83C53A7D5C1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651C25-0D5C-47AA-B3CD-AB9CFB2D5DC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8C7658-F3B4-43AA-8453-4DA72CAD1FE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1CD746-3DA5-4A3F-9110-E940DA65A7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06CFF7-7914-4270-8F5B-62E1BE247A9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FED3B3-0717-4209-9994-827EE4874E6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3037BE-04AD-4BC0-B043-2A8C05DF043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F7F967-ADC4-4978-BBD8-861A1122047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4292A7-37CA-47F8-B860-3FB58607601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D128A8-7CAC-4A1C-89A6-E14569CF99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C81471-D3D8-4D18-A471-FD5FA209687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E21C3C-FB7C-45FD-BBE8-D3F09857525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885DDC-D344-4A2B-880A-2778B2761D1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EBE4EF-3B53-4421-8391-43BF86AE22B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3EA2C8-0EA2-4456-8AF7-0C799E0375E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237D7E-A73A-4F0A-980F-D8B8FDF9B3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76ACF5-130B-446A-9469-A5B4A10FA0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79644F-B036-416B-AFF4-6B562E7E9DB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485492-9540-4E0A-B40C-6B14A3BEA23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10D6B1-B18E-4507-9471-880910E7D9B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AB48B0-AE00-4811-AE48-31D0C067F7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D4B2F1-327D-4408-AF8D-C8BC655237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4582BA-5C0F-4F2A-88F7-72403314F29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EF1C9D-36CB-4013-9AED-F9AB53F1FB7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F18DB3-869C-41F5-B086-91F785558E5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7B115C-CA87-476C-BE30-A6D16CBB447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B87951-3A6C-434C-811C-30570FD7B7C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71F1C2-E95C-48AF-9E46-E21DE4810B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9E69AE-29B6-4BF6-B665-839EEF08F6C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055F10F-AA14-44A2-B013-BB4A688291A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C2E034-691F-4C31-A905-1EAFAF24BEE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8DCC7CB-CF57-48E9-A4EB-53AE4A50266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635AD9-B261-4CCB-BD66-056CAF9E3E9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1CD746-3DA5-4A3F-9110-E940DA65A7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0008BE-6656-4DEB-9C2E-98C7525E6A8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696D281-272F-45DF-B256-E8DDD4E3C15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2D47770-6825-4759-9935-FBDA13F0D1B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F55191-0A43-4634-A96E-3696013C2DB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3A1725-5412-4F8D-BFFC-21FA85CBAAD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D128A8-7CAC-4A1C-89A6-E14569CF99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A8BE48-AE0D-41F6-8B2B-1C6C33283DA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2FDF61-A176-4A25-8648-E99671D1B92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AD72FC-E98A-48B1-B3CE-923760AA38F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142C15-8CAD-40A9-A9CC-1DC25E247DA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D3A7EB-5AD7-4290-B684-C98B8C86D7C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237D7E-A73A-4F0A-980F-D8B8FDF9B3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4ACB48-057F-4600-BF8C-6B50979D609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4E4593-06C4-4BA3-8A0D-3A53A5A4496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29BA7A-579C-4DD1-838A-C58392E6322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A965EE-40B0-4D8E-A01D-A30A96AD668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D1E52D-D2B7-4168-ABBA-CFA794D21B5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D4B2F1-327D-4408-AF8D-C8BC655237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4F9815-6EFA-4872-A629-302415B5E79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6ED907-4E86-456C-B8E1-483A773C719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028FC-637C-4811-B062-321B275F747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3C8715-F0AD-4AA0-99DB-5B539C90E54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95C386-604C-44B2-83E5-D9232225395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71F1C2-E95C-48AF-9E46-E21DE4810B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6FE216-AA80-4BF3-AB90-5917B949619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02FE33-249F-4362-AD0A-1CFA866B2BF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02C83E-F8DB-4A9C-87DB-D28B340F620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3A6413-42FD-4650-BF6F-CE0F44267B7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DD5568-98B4-4B24-A440-B8202300ED8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1CD746-3DA5-4A3F-9110-E940DA65A7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DF51BB-F4E3-4A59-AE67-7AE55D4162D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9F6E81-9C66-4B4B-BD43-5E1C64F25CD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486243-2E24-4A05-B204-9459246F42B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9D92AE-80B5-4709-9A84-A493455D5E2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5892E6-0925-48AE-AAD1-7A37FF2F8DA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D128A8-7CAC-4A1C-89A6-E14569CF99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B8B64D-4A32-4662-8C7D-E6B9C70A1A8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D694C3-F805-4384-AB0F-A0071D0BE8D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F62382-BBAF-4E26-B92B-A9B24052809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A34EF1-2B30-4F1E-B95F-152BAC11263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423715-099F-43F2-BDA7-0362AA84DDE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237D7E-A73A-4F0A-980F-D8B8FDF9B3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22C9807-2BD0-4607-BF20-45E1D5EED7D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1CCA12-5244-4FD5-BC7E-06B9A3F4A4E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6C636C-F6F0-49FC-86FB-6680353D3BB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6D6EDB-4C21-4CFE-A5C9-F4A81E77631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2D8C14E-2C07-4827-B499-BA1BA64222E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D4B2F1-327D-4408-AF8D-C8BC655237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1A4A65-34AA-447F-BFE4-42C64483624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3C51E9-AACE-471D-8F09-2EDBD10526B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27C2C8-F272-45E1-822D-AEC7E9F5C0C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FC4B10-6748-40BC-9DF3-A2F7ADEAF06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A247926-A2AF-4A36-BDBC-36DAA4D0E8B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Effectiveness_Avg!$Z$2:$Z$3</c:f>
              <c:strCache>
                <c:ptCount val="1"/>
                <c:pt idx="0">
                  <c:v>Wider public</c:v>
                </c:pt>
              </c:strCache>
            </c:strRef>
          </c:tx>
          <c:spPr>
            <a:solidFill>
              <a:schemeClr val="accent1"/>
            </a:solidFill>
            <a:ln>
              <a:solidFill>
                <a:schemeClr val="accen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C026-42D9-AFE3-1674ED3B715C}"/>
              </c:ext>
            </c:extLst>
          </c:dPt>
          <c:dPt>
            <c:idx val="1"/>
            <c:invertIfNegative val="0"/>
            <c:bubble3D val="0"/>
            <c:extLst xmlns:c16r2="http://schemas.microsoft.com/office/drawing/2015/06/chart">
              <c:ext xmlns:c16="http://schemas.microsoft.com/office/drawing/2014/chart" uri="{C3380CC4-5D6E-409C-BE32-E72D297353CC}">
                <c16:uniqueId val="{00000001-C026-42D9-AFE3-1674ED3B715C}"/>
              </c:ext>
            </c:extLst>
          </c:dPt>
          <c:dPt>
            <c:idx val="2"/>
            <c:invertIfNegative val="0"/>
            <c:bubble3D val="0"/>
            <c:extLst xmlns:c16r2="http://schemas.microsoft.com/office/drawing/2015/06/chart">
              <c:ext xmlns:c16="http://schemas.microsoft.com/office/drawing/2014/chart" uri="{C3380CC4-5D6E-409C-BE32-E72D297353CC}">
                <c16:uniqueId val="{00000002-C026-42D9-AFE3-1674ED3B715C}"/>
              </c:ext>
            </c:extLst>
          </c:dPt>
          <c:dPt>
            <c:idx val="3"/>
            <c:invertIfNegative val="0"/>
            <c:bubble3D val="0"/>
            <c:extLst xmlns:c16r2="http://schemas.microsoft.com/office/drawing/2015/06/chart">
              <c:ext xmlns:c16="http://schemas.microsoft.com/office/drawing/2014/chart" uri="{C3380CC4-5D6E-409C-BE32-E72D297353CC}">
                <c16:uniqueId val="{00000003-C026-42D9-AFE3-1674ED3B715C}"/>
              </c:ext>
            </c:extLst>
          </c:dPt>
          <c:dPt>
            <c:idx val="4"/>
            <c:invertIfNegative val="0"/>
            <c:bubble3D val="0"/>
            <c:extLst xmlns:c16r2="http://schemas.microsoft.com/office/drawing/2015/06/chart">
              <c:ext xmlns:c16="http://schemas.microsoft.com/office/drawing/2014/chart" uri="{C3380CC4-5D6E-409C-BE32-E72D297353CC}">
                <c16:uniqueId val="{00000004-C026-42D9-AFE3-1674ED3B715C}"/>
              </c:ext>
            </c:extLst>
          </c:dPt>
          <c:dPt>
            <c:idx val="5"/>
            <c:invertIfNegative val="0"/>
            <c:bubble3D val="0"/>
            <c:extLst xmlns:c16r2="http://schemas.microsoft.com/office/drawing/2015/06/chart">
              <c:ext xmlns:c16="http://schemas.microsoft.com/office/drawing/2014/chart" uri="{C3380CC4-5D6E-409C-BE32-E72D297353CC}">
                <c16:uniqueId val="{00000005-C026-42D9-AFE3-1674ED3B715C}"/>
              </c:ext>
            </c:extLst>
          </c:dPt>
          <c:dLbls>
            <c:dLbl>
              <c:idx val="0"/>
              <c:tx>
                <c:rich>
                  <a:bodyPr/>
                  <a:lstStyle/>
                  <a:p>
                    <a:fld id="{B37E8936-F583-48ED-A180-EB3B7704AFC9}"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C026-42D9-AFE3-1674ED3B715C}"/>
                </c:ext>
              </c:extLst>
            </c:dLbl>
            <c:dLbl>
              <c:idx val="1"/>
              <c:tx>
                <c:rich>
                  <a:bodyPr/>
                  <a:lstStyle/>
                  <a:p>
                    <a:fld id="{E27661AD-3939-4EF6-9AB5-8603858AEBC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C026-42D9-AFE3-1674ED3B715C}"/>
                </c:ext>
              </c:extLst>
            </c:dLbl>
            <c:dLbl>
              <c:idx val="2"/>
              <c:tx>
                <c:rich>
                  <a:bodyPr/>
                  <a:lstStyle/>
                  <a:p>
                    <a:fld id="{1B17A586-2567-461C-8521-BABC2B176F7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C026-42D9-AFE3-1674ED3B715C}"/>
                </c:ext>
              </c:extLst>
            </c:dLbl>
            <c:dLbl>
              <c:idx val="3"/>
              <c:tx>
                <c:rich>
                  <a:bodyPr/>
                  <a:lstStyle/>
                  <a:p>
                    <a:fld id="{75B7C8FF-A508-4578-96B3-4FFE66DD39D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C026-42D9-AFE3-1674ED3B715C}"/>
                </c:ext>
              </c:extLst>
            </c:dLbl>
            <c:dLbl>
              <c:idx val="4"/>
              <c:tx>
                <c:rich>
                  <a:bodyPr/>
                  <a:lstStyle/>
                  <a:p>
                    <a:fld id="{02B1EBAD-7B23-4620-9F5F-604DD1A4959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C026-42D9-AFE3-1674ED3B715C}"/>
                </c:ext>
              </c:extLst>
            </c:dLbl>
            <c:dLbl>
              <c:idx val="5"/>
              <c:tx>
                <c:rich>
                  <a:bodyPr/>
                  <a:lstStyle/>
                  <a:p>
                    <a:fld id="{75EA494A-C5EB-4FAC-9E68-2BDBB4E9B67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C026-42D9-AFE3-1674ED3B71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Effectiveness_Avg!$Z$4:$Z$10</c:f>
              <c:numCache>
                <c:formatCode>General</c:formatCode>
                <c:ptCount val="6"/>
                <c:pt idx="0">
                  <c:v>3.4642857142857144</c:v>
                </c:pt>
                <c:pt idx="1">
                  <c:v>3.5517241379310347</c:v>
                </c:pt>
                <c:pt idx="2">
                  <c:v>3.3214285714285716</c:v>
                </c:pt>
                <c:pt idx="3">
                  <c:v>3.4285714285714284</c:v>
                </c:pt>
                <c:pt idx="4">
                  <c:v>3.4642857142857144</c:v>
                </c:pt>
                <c:pt idx="5">
                  <c:v>3.25</c:v>
                </c:pt>
              </c:numCache>
            </c:numRef>
          </c:val>
          <c:extLst xmlns:c16r2="http://schemas.microsoft.com/office/drawing/2015/06/chart">
            <c:ext xmlns:c15="http://schemas.microsoft.com/office/drawing/2012/chart" uri="{02D57815-91ED-43cb-92C2-25804820EDAC}">
              <c15:datalabelsRange>
                <c15:f>Effectiveness_Avg!$Z$22:$Z$27</c15:f>
                <c15:dlblRangeCache>
                  <c:ptCount val="6"/>
                  <c:pt idx="0">
                    <c:v>3.46 (28)</c:v>
                  </c:pt>
                  <c:pt idx="1">
                    <c:v>3.55 (29)</c:v>
                  </c:pt>
                  <c:pt idx="2">
                    <c:v>3.32 (28)</c:v>
                  </c:pt>
                  <c:pt idx="3">
                    <c:v>3.43 (28)</c:v>
                  </c:pt>
                  <c:pt idx="4">
                    <c:v>3.46 (28)</c:v>
                  </c:pt>
                  <c:pt idx="5">
                    <c:v>3.25 (28)</c:v>
                  </c:pt>
                </c15:dlblRangeCache>
              </c15:datalabelsRange>
            </c:ext>
            <c:ext xmlns:c16="http://schemas.microsoft.com/office/drawing/2014/chart" uri="{C3380CC4-5D6E-409C-BE32-E72D297353CC}">
              <c16:uniqueId val="{00000006-C026-42D9-AFE3-1674ED3B715C}"/>
            </c:ext>
          </c:extLst>
        </c:ser>
        <c:ser>
          <c:idx val="1"/>
          <c:order val="1"/>
          <c:tx>
            <c:strRef>
              <c:f>Effectiveness_Avg!$AA$2:$AA$3</c:f>
              <c:strCache>
                <c:ptCount val="1"/>
                <c:pt idx="0">
                  <c:v>Standardisation organisations</c:v>
                </c:pt>
              </c:strCache>
            </c:strRef>
          </c:tx>
          <c:spPr>
            <a:solidFill>
              <a:schemeClr val="accent2"/>
            </a:solidFill>
            <a:ln>
              <a:solidFill>
                <a:schemeClr val="accent2"/>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7-C026-42D9-AFE3-1674ED3B715C}"/>
              </c:ext>
            </c:extLst>
          </c:dPt>
          <c:dPt>
            <c:idx val="1"/>
            <c:invertIfNegative val="0"/>
            <c:bubble3D val="0"/>
            <c:extLst xmlns:c16r2="http://schemas.microsoft.com/office/drawing/2015/06/chart">
              <c:ext xmlns:c16="http://schemas.microsoft.com/office/drawing/2014/chart" uri="{C3380CC4-5D6E-409C-BE32-E72D297353CC}">
                <c16:uniqueId val="{00000008-C026-42D9-AFE3-1674ED3B715C}"/>
              </c:ext>
            </c:extLst>
          </c:dPt>
          <c:dPt>
            <c:idx val="2"/>
            <c:invertIfNegative val="0"/>
            <c:bubble3D val="0"/>
            <c:extLst xmlns:c16r2="http://schemas.microsoft.com/office/drawing/2015/06/chart">
              <c:ext xmlns:c16="http://schemas.microsoft.com/office/drawing/2014/chart" uri="{C3380CC4-5D6E-409C-BE32-E72D297353CC}">
                <c16:uniqueId val="{00000009-C026-42D9-AFE3-1674ED3B715C}"/>
              </c:ext>
            </c:extLst>
          </c:dPt>
          <c:dPt>
            <c:idx val="3"/>
            <c:invertIfNegative val="0"/>
            <c:bubble3D val="0"/>
            <c:extLst xmlns:c16r2="http://schemas.microsoft.com/office/drawing/2015/06/chart">
              <c:ext xmlns:c16="http://schemas.microsoft.com/office/drawing/2014/chart" uri="{C3380CC4-5D6E-409C-BE32-E72D297353CC}">
                <c16:uniqueId val="{0000000A-C026-42D9-AFE3-1674ED3B715C}"/>
              </c:ext>
            </c:extLst>
          </c:dPt>
          <c:dPt>
            <c:idx val="4"/>
            <c:invertIfNegative val="0"/>
            <c:bubble3D val="0"/>
            <c:extLst xmlns:c16r2="http://schemas.microsoft.com/office/drawing/2015/06/chart">
              <c:ext xmlns:c16="http://schemas.microsoft.com/office/drawing/2014/chart" uri="{C3380CC4-5D6E-409C-BE32-E72D297353CC}">
                <c16:uniqueId val="{0000000B-C026-42D9-AFE3-1674ED3B715C}"/>
              </c:ext>
            </c:extLst>
          </c:dPt>
          <c:dPt>
            <c:idx val="5"/>
            <c:invertIfNegative val="0"/>
            <c:bubble3D val="0"/>
            <c:extLst xmlns:c16r2="http://schemas.microsoft.com/office/drawing/2015/06/chart">
              <c:ext xmlns:c16="http://schemas.microsoft.com/office/drawing/2014/chart" uri="{C3380CC4-5D6E-409C-BE32-E72D297353CC}">
                <c16:uniqueId val="{0000000C-C026-42D9-AFE3-1674ED3B715C}"/>
              </c:ext>
            </c:extLst>
          </c:dPt>
          <c:dLbls>
            <c:dLbl>
              <c:idx val="0"/>
              <c:tx>
                <c:rich>
                  <a:bodyPr/>
                  <a:lstStyle/>
                  <a:p>
                    <a:fld id="{589ED305-209F-410C-8CF2-8CFAF2CA5D4B}"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C026-42D9-AFE3-1674ED3B715C}"/>
                </c:ext>
              </c:extLst>
            </c:dLbl>
            <c:dLbl>
              <c:idx val="1"/>
              <c:tx>
                <c:rich>
                  <a:bodyPr/>
                  <a:lstStyle/>
                  <a:p>
                    <a:fld id="{9724209D-144E-4012-BC16-C652316DB22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C026-42D9-AFE3-1674ED3B715C}"/>
                </c:ext>
              </c:extLst>
            </c:dLbl>
            <c:dLbl>
              <c:idx val="2"/>
              <c:tx>
                <c:rich>
                  <a:bodyPr/>
                  <a:lstStyle/>
                  <a:p>
                    <a:fld id="{8A0774DD-8AFE-434D-BDBC-2A326AEA854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C026-42D9-AFE3-1674ED3B715C}"/>
                </c:ext>
              </c:extLst>
            </c:dLbl>
            <c:dLbl>
              <c:idx val="3"/>
              <c:tx>
                <c:rich>
                  <a:bodyPr/>
                  <a:lstStyle/>
                  <a:p>
                    <a:fld id="{AE874943-7D76-4625-BD39-4BD1B88825D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C026-42D9-AFE3-1674ED3B715C}"/>
                </c:ext>
              </c:extLst>
            </c:dLbl>
            <c:dLbl>
              <c:idx val="4"/>
              <c:tx>
                <c:rich>
                  <a:bodyPr/>
                  <a:lstStyle/>
                  <a:p>
                    <a:fld id="{800675EF-5ABD-4A08-B075-3638F561EE2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C026-42D9-AFE3-1674ED3B715C}"/>
                </c:ext>
              </c:extLst>
            </c:dLbl>
            <c:dLbl>
              <c:idx val="5"/>
              <c:tx>
                <c:rich>
                  <a:bodyPr/>
                  <a:lstStyle/>
                  <a:p>
                    <a:fld id="{224DD7B3-B81E-4213-8E1D-765BC6D1668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C026-42D9-AFE3-1674ED3B71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Effectiveness_Avg!$AA$4:$AA$10</c:f>
              <c:numCache>
                <c:formatCode>General</c:formatCode>
                <c:ptCount val="6"/>
                <c:pt idx="0">
                  <c:v>3</c:v>
                </c:pt>
                <c:pt idx="1">
                  <c:v>3</c:v>
                </c:pt>
                <c:pt idx="2">
                  <c:v>3</c:v>
                </c:pt>
                <c:pt idx="3">
                  <c:v>3</c:v>
                </c:pt>
                <c:pt idx="4">
                  <c:v>3</c:v>
                </c:pt>
                <c:pt idx="5">
                  <c:v>3</c:v>
                </c:pt>
              </c:numCache>
            </c:numRef>
          </c:val>
          <c:extLst xmlns:c16r2="http://schemas.microsoft.com/office/drawing/2015/06/chart">
            <c:ext xmlns:c15="http://schemas.microsoft.com/office/drawing/2012/chart" uri="{02D57815-91ED-43cb-92C2-25804820EDAC}">
              <c15:datalabelsRange>
                <c15:f>Effectiveness_Avg!$AA$22:$AA$27</c15:f>
                <c15:dlblRangeCache>
                  <c:ptCount val="6"/>
                  <c:pt idx="0">
                    <c:v>3.00 (1)</c:v>
                  </c:pt>
                  <c:pt idx="1">
                    <c:v>3.00 (1)</c:v>
                  </c:pt>
                  <c:pt idx="2">
                    <c:v>3.00 (1)</c:v>
                  </c:pt>
                  <c:pt idx="3">
                    <c:v>3.00 (1)</c:v>
                  </c:pt>
                  <c:pt idx="4">
                    <c:v>3.00 (1)</c:v>
                  </c:pt>
                  <c:pt idx="5">
                    <c:v>3.00 (1)</c:v>
                  </c:pt>
                </c15:dlblRangeCache>
              </c15:datalabelsRange>
            </c:ext>
            <c:ext xmlns:c16="http://schemas.microsoft.com/office/drawing/2014/chart" uri="{C3380CC4-5D6E-409C-BE32-E72D297353CC}">
              <c16:uniqueId val="{0000000D-C026-42D9-AFE3-1674ED3B715C}"/>
            </c:ext>
          </c:extLst>
        </c:ser>
        <c:ser>
          <c:idx val="2"/>
          <c:order val="2"/>
          <c:tx>
            <c:strRef>
              <c:f>Effectiveness_Avg!$AB$2:$AB$3</c:f>
              <c:strCache>
                <c:ptCount val="1"/>
                <c:pt idx="0">
                  <c:v>Solution users</c:v>
                </c:pt>
              </c:strCache>
            </c:strRef>
          </c:tx>
          <c:spPr>
            <a:solidFill>
              <a:schemeClr val="accent4"/>
            </a:solidFill>
            <a:ln>
              <a:solidFill>
                <a:schemeClr val="accent4"/>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E-C026-42D9-AFE3-1674ED3B715C}"/>
              </c:ext>
            </c:extLst>
          </c:dPt>
          <c:dPt>
            <c:idx val="1"/>
            <c:invertIfNegative val="0"/>
            <c:bubble3D val="0"/>
            <c:extLst xmlns:c16r2="http://schemas.microsoft.com/office/drawing/2015/06/chart">
              <c:ext xmlns:c16="http://schemas.microsoft.com/office/drawing/2014/chart" uri="{C3380CC4-5D6E-409C-BE32-E72D297353CC}">
                <c16:uniqueId val="{0000000F-C026-42D9-AFE3-1674ED3B715C}"/>
              </c:ext>
            </c:extLst>
          </c:dPt>
          <c:dPt>
            <c:idx val="2"/>
            <c:invertIfNegative val="0"/>
            <c:bubble3D val="0"/>
            <c:extLst xmlns:c16r2="http://schemas.microsoft.com/office/drawing/2015/06/chart">
              <c:ext xmlns:c16="http://schemas.microsoft.com/office/drawing/2014/chart" uri="{C3380CC4-5D6E-409C-BE32-E72D297353CC}">
                <c16:uniqueId val="{00000010-C026-42D9-AFE3-1674ED3B715C}"/>
              </c:ext>
            </c:extLst>
          </c:dPt>
          <c:dPt>
            <c:idx val="3"/>
            <c:invertIfNegative val="0"/>
            <c:bubble3D val="0"/>
            <c:extLst xmlns:c16r2="http://schemas.microsoft.com/office/drawing/2015/06/chart">
              <c:ext xmlns:c16="http://schemas.microsoft.com/office/drawing/2014/chart" uri="{C3380CC4-5D6E-409C-BE32-E72D297353CC}">
                <c16:uniqueId val="{00000011-C026-42D9-AFE3-1674ED3B715C}"/>
              </c:ext>
            </c:extLst>
          </c:dPt>
          <c:dPt>
            <c:idx val="4"/>
            <c:invertIfNegative val="0"/>
            <c:bubble3D val="0"/>
            <c:extLst xmlns:c16r2="http://schemas.microsoft.com/office/drawing/2015/06/chart">
              <c:ext xmlns:c16="http://schemas.microsoft.com/office/drawing/2014/chart" uri="{C3380CC4-5D6E-409C-BE32-E72D297353CC}">
                <c16:uniqueId val="{00000012-C026-42D9-AFE3-1674ED3B715C}"/>
              </c:ext>
            </c:extLst>
          </c:dPt>
          <c:dPt>
            <c:idx val="5"/>
            <c:invertIfNegative val="0"/>
            <c:bubble3D val="0"/>
            <c:extLst xmlns:c16r2="http://schemas.microsoft.com/office/drawing/2015/06/chart">
              <c:ext xmlns:c16="http://schemas.microsoft.com/office/drawing/2014/chart" uri="{C3380CC4-5D6E-409C-BE32-E72D297353CC}">
                <c16:uniqueId val="{00000013-C026-42D9-AFE3-1674ED3B715C}"/>
              </c:ext>
            </c:extLst>
          </c:dPt>
          <c:dLbls>
            <c:dLbl>
              <c:idx val="0"/>
              <c:tx>
                <c:rich>
                  <a:bodyPr/>
                  <a:lstStyle/>
                  <a:p>
                    <a:fld id="{36804B06-E2C4-43DB-8613-E20F9D496FD6}"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E-C026-42D9-AFE3-1674ED3B715C}"/>
                </c:ext>
              </c:extLst>
            </c:dLbl>
            <c:dLbl>
              <c:idx val="1"/>
              <c:tx>
                <c:rich>
                  <a:bodyPr/>
                  <a:lstStyle/>
                  <a:p>
                    <a:fld id="{C8531A78-FB7B-4CDF-A16F-770403E7A7F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C026-42D9-AFE3-1674ED3B715C}"/>
                </c:ext>
              </c:extLst>
            </c:dLbl>
            <c:dLbl>
              <c:idx val="2"/>
              <c:tx>
                <c:rich>
                  <a:bodyPr/>
                  <a:lstStyle/>
                  <a:p>
                    <a:fld id="{43027E08-5442-4AEA-9F93-823662F1672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C026-42D9-AFE3-1674ED3B715C}"/>
                </c:ext>
              </c:extLst>
            </c:dLbl>
            <c:dLbl>
              <c:idx val="3"/>
              <c:tx>
                <c:rich>
                  <a:bodyPr/>
                  <a:lstStyle/>
                  <a:p>
                    <a:fld id="{68D9C0BF-7F16-4546-B15B-4ED99342620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C026-42D9-AFE3-1674ED3B715C}"/>
                </c:ext>
              </c:extLst>
            </c:dLbl>
            <c:dLbl>
              <c:idx val="4"/>
              <c:tx>
                <c:rich>
                  <a:bodyPr/>
                  <a:lstStyle/>
                  <a:p>
                    <a:fld id="{84F7266B-15B9-40AC-90F6-5F643E76B8D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C026-42D9-AFE3-1674ED3B715C}"/>
                </c:ext>
              </c:extLst>
            </c:dLbl>
            <c:dLbl>
              <c:idx val="5"/>
              <c:tx>
                <c:rich>
                  <a:bodyPr/>
                  <a:lstStyle/>
                  <a:p>
                    <a:fld id="{ACE4CCD3-5C00-439A-883C-7F7E9DB0FFE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C026-42D9-AFE3-1674ED3B71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Effectiveness_Avg!$AB$4:$AB$10</c:f>
              <c:numCache>
                <c:formatCode>General</c:formatCode>
                <c:ptCount val="6"/>
                <c:pt idx="0">
                  <c:v>3.625</c:v>
                </c:pt>
                <c:pt idx="1">
                  <c:v>3.5142857142857142</c:v>
                </c:pt>
                <c:pt idx="2">
                  <c:v>3.4102564102564101</c:v>
                </c:pt>
                <c:pt idx="3">
                  <c:v>3.55</c:v>
                </c:pt>
                <c:pt idx="4">
                  <c:v>3.5789473684210527</c:v>
                </c:pt>
                <c:pt idx="5">
                  <c:v>3.4249999999999998</c:v>
                </c:pt>
              </c:numCache>
            </c:numRef>
          </c:val>
          <c:extLst xmlns:c16r2="http://schemas.microsoft.com/office/drawing/2015/06/chart">
            <c:ext xmlns:c15="http://schemas.microsoft.com/office/drawing/2012/chart" uri="{02D57815-91ED-43cb-92C2-25804820EDAC}">
              <c15:datalabelsRange>
                <c15:f>Effectiveness_Avg!$AB$22:$AB$27</c15:f>
                <c15:dlblRangeCache>
                  <c:ptCount val="6"/>
                  <c:pt idx="0">
                    <c:v>3.63 (40)</c:v>
                  </c:pt>
                  <c:pt idx="1">
                    <c:v>3.51 (35)</c:v>
                  </c:pt>
                  <c:pt idx="2">
                    <c:v>3.41 (39)</c:v>
                  </c:pt>
                  <c:pt idx="3">
                    <c:v>3.55 (40)</c:v>
                  </c:pt>
                  <c:pt idx="4">
                    <c:v>3.58 (38)</c:v>
                  </c:pt>
                  <c:pt idx="5">
                    <c:v>3.43 (40)</c:v>
                  </c:pt>
                </c15:dlblRangeCache>
              </c15:datalabelsRange>
            </c:ext>
            <c:ext xmlns:c16="http://schemas.microsoft.com/office/drawing/2014/chart" uri="{C3380CC4-5D6E-409C-BE32-E72D297353CC}">
              <c16:uniqueId val="{00000014-C026-42D9-AFE3-1674ED3B715C}"/>
            </c:ext>
          </c:extLst>
        </c:ser>
        <c:ser>
          <c:idx val="3"/>
          <c:order val="3"/>
          <c:tx>
            <c:strRef>
              <c:f>Effectiveness_Avg!$AC$2:$AC$3</c:f>
              <c:strCache>
                <c:ptCount val="1"/>
                <c:pt idx="0">
                  <c:v>Programme governance</c:v>
                </c:pt>
              </c:strCache>
            </c:strRef>
          </c:tx>
          <c:spPr>
            <a:solidFill>
              <a:schemeClr val="accent5"/>
            </a:solidFill>
            <a:ln>
              <a:solidFill>
                <a:schemeClr val="accent5"/>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5-C026-42D9-AFE3-1674ED3B715C}"/>
              </c:ext>
            </c:extLst>
          </c:dPt>
          <c:dPt>
            <c:idx val="1"/>
            <c:invertIfNegative val="0"/>
            <c:bubble3D val="0"/>
            <c:extLst xmlns:c16r2="http://schemas.microsoft.com/office/drawing/2015/06/chart">
              <c:ext xmlns:c16="http://schemas.microsoft.com/office/drawing/2014/chart" uri="{C3380CC4-5D6E-409C-BE32-E72D297353CC}">
                <c16:uniqueId val="{00000016-C026-42D9-AFE3-1674ED3B715C}"/>
              </c:ext>
            </c:extLst>
          </c:dPt>
          <c:dPt>
            <c:idx val="2"/>
            <c:invertIfNegative val="0"/>
            <c:bubble3D val="0"/>
            <c:extLst xmlns:c16r2="http://schemas.microsoft.com/office/drawing/2015/06/chart">
              <c:ext xmlns:c16="http://schemas.microsoft.com/office/drawing/2014/chart" uri="{C3380CC4-5D6E-409C-BE32-E72D297353CC}">
                <c16:uniqueId val="{00000017-C026-42D9-AFE3-1674ED3B715C}"/>
              </c:ext>
            </c:extLst>
          </c:dPt>
          <c:dPt>
            <c:idx val="3"/>
            <c:invertIfNegative val="0"/>
            <c:bubble3D val="0"/>
            <c:extLst xmlns:c16r2="http://schemas.microsoft.com/office/drawing/2015/06/chart">
              <c:ext xmlns:c16="http://schemas.microsoft.com/office/drawing/2014/chart" uri="{C3380CC4-5D6E-409C-BE32-E72D297353CC}">
                <c16:uniqueId val="{00000018-C026-42D9-AFE3-1674ED3B715C}"/>
              </c:ext>
            </c:extLst>
          </c:dPt>
          <c:dPt>
            <c:idx val="4"/>
            <c:invertIfNegative val="0"/>
            <c:bubble3D val="0"/>
            <c:extLst xmlns:c16r2="http://schemas.microsoft.com/office/drawing/2015/06/chart">
              <c:ext xmlns:c16="http://schemas.microsoft.com/office/drawing/2014/chart" uri="{C3380CC4-5D6E-409C-BE32-E72D297353CC}">
                <c16:uniqueId val="{00000019-C026-42D9-AFE3-1674ED3B715C}"/>
              </c:ext>
            </c:extLst>
          </c:dPt>
          <c:dPt>
            <c:idx val="5"/>
            <c:invertIfNegative val="0"/>
            <c:bubble3D val="0"/>
            <c:extLst xmlns:c16r2="http://schemas.microsoft.com/office/drawing/2015/06/chart">
              <c:ext xmlns:c16="http://schemas.microsoft.com/office/drawing/2014/chart" uri="{C3380CC4-5D6E-409C-BE32-E72D297353CC}">
                <c16:uniqueId val="{0000001A-C026-42D9-AFE3-1674ED3B715C}"/>
              </c:ext>
            </c:extLst>
          </c:dPt>
          <c:dLbls>
            <c:dLbl>
              <c:idx val="0"/>
              <c:tx>
                <c:rich>
                  <a:bodyPr/>
                  <a:lstStyle/>
                  <a:p>
                    <a:fld id="{CEA81D0A-0F39-44F0-8ABC-8996E4622432}"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5-C026-42D9-AFE3-1674ED3B715C}"/>
                </c:ext>
              </c:extLst>
            </c:dLbl>
            <c:dLbl>
              <c:idx val="1"/>
              <c:tx>
                <c:rich>
                  <a:bodyPr/>
                  <a:lstStyle/>
                  <a:p>
                    <a:fld id="{33773304-5386-41B6-9996-A1DB667D9A8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C026-42D9-AFE3-1674ED3B715C}"/>
                </c:ext>
              </c:extLst>
            </c:dLbl>
            <c:dLbl>
              <c:idx val="2"/>
              <c:tx>
                <c:rich>
                  <a:bodyPr/>
                  <a:lstStyle/>
                  <a:p>
                    <a:fld id="{A7E5F6A1-91E3-44C0-9946-83F0F7C4509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C026-42D9-AFE3-1674ED3B715C}"/>
                </c:ext>
              </c:extLst>
            </c:dLbl>
            <c:dLbl>
              <c:idx val="3"/>
              <c:tx>
                <c:rich>
                  <a:bodyPr/>
                  <a:lstStyle/>
                  <a:p>
                    <a:fld id="{8918A972-EE94-4DAE-84D7-ECAEF1F0D3F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C026-42D9-AFE3-1674ED3B715C}"/>
                </c:ext>
              </c:extLst>
            </c:dLbl>
            <c:dLbl>
              <c:idx val="4"/>
              <c:tx>
                <c:rich>
                  <a:bodyPr/>
                  <a:lstStyle/>
                  <a:p>
                    <a:fld id="{3A88F7BB-DE77-4BC9-A26E-7419D1B044C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C026-42D9-AFE3-1674ED3B715C}"/>
                </c:ext>
              </c:extLst>
            </c:dLbl>
            <c:dLbl>
              <c:idx val="5"/>
              <c:tx>
                <c:rich>
                  <a:bodyPr/>
                  <a:lstStyle/>
                  <a:p>
                    <a:fld id="{069C9EE6-4FE5-49A1-9E37-3006EEE0FB9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C026-42D9-AFE3-1674ED3B71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Effectiveness_Avg!$AC$4:$AC$10</c:f>
              <c:numCache>
                <c:formatCode>General</c:formatCode>
                <c:ptCount val="6"/>
                <c:pt idx="0">
                  <c:v>3.6315789473684212</c:v>
                </c:pt>
                <c:pt idx="1">
                  <c:v>3.7222222222222223</c:v>
                </c:pt>
                <c:pt idx="2">
                  <c:v>2.9473684210526314</c:v>
                </c:pt>
                <c:pt idx="3">
                  <c:v>3.5263157894736841</c:v>
                </c:pt>
                <c:pt idx="4">
                  <c:v>3.8947368421052633</c:v>
                </c:pt>
                <c:pt idx="5">
                  <c:v>3.4736842105263159</c:v>
                </c:pt>
              </c:numCache>
            </c:numRef>
          </c:val>
          <c:extLst xmlns:c16r2="http://schemas.microsoft.com/office/drawing/2015/06/chart">
            <c:ext xmlns:c15="http://schemas.microsoft.com/office/drawing/2012/chart" uri="{02D57815-91ED-43cb-92C2-25804820EDAC}">
              <c15:datalabelsRange>
                <c15:f>Effectiveness_Avg!$AC$22:$AC$27</c15:f>
                <c15:dlblRangeCache>
                  <c:ptCount val="6"/>
                  <c:pt idx="0">
                    <c:v>3.63 (19)</c:v>
                  </c:pt>
                  <c:pt idx="1">
                    <c:v>3.72 (18)</c:v>
                  </c:pt>
                  <c:pt idx="2">
                    <c:v>2.95 (19)</c:v>
                  </c:pt>
                  <c:pt idx="3">
                    <c:v>3.53 (19)</c:v>
                  </c:pt>
                  <c:pt idx="4">
                    <c:v>3.89 (19)</c:v>
                  </c:pt>
                  <c:pt idx="5">
                    <c:v>3.47 (19)</c:v>
                  </c:pt>
                </c15:dlblRangeCache>
              </c15:datalabelsRange>
            </c:ext>
            <c:ext xmlns:c16="http://schemas.microsoft.com/office/drawing/2014/chart" uri="{C3380CC4-5D6E-409C-BE32-E72D297353CC}">
              <c16:uniqueId val="{0000001B-C026-42D9-AFE3-1674ED3B715C}"/>
            </c:ext>
          </c:extLst>
        </c:ser>
        <c:ser>
          <c:idx val="4"/>
          <c:order val="4"/>
          <c:tx>
            <c:strRef>
              <c:f>Effectiveness_Avg!$AD$2:$AD$3</c:f>
              <c:strCache>
                <c:ptCount val="1"/>
                <c:pt idx="0">
                  <c:v>Action owners</c:v>
                </c:pt>
              </c:strCache>
            </c:strRef>
          </c:tx>
          <c:spPr>
            <a:solidFill>
              <a:schemeClr val="accent6"/>
            </a:solidFill>
            <a:ln>
              <a:solidFill>
                <a:schemeClr val="accent6"/>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C-C026-42D9-AFE3-1674ED3B715C}"/>
              </c:ext>
            </c:extLst>
          </c:dPt>
          <c:dPt>
            <c:idx val="1"/>
            <c:invertIfNegative val="0"/>
            <c:bubble3D val="0"/>
            <c:extLst xmlns:c16r2="http://schemas.microsoft.com/office/drawing/2015/06/chart">
              <c:ext xmlns:c16="http://schemas.microsoft.com/office/drawing/2014/chart" uri="{C3380CC4-5D6E-409C-BE32-E72D297353CC}">
                <c16:uniqueId val="{0000001D-C026-42D9-AFE3-1674ED3B715C}"/>
              </c:ext>
            </c:extLst>
          </c:dPt>
          <c:dPt>
            <c:idx val="2"/>
            <c:invertIfNegative val="0"/>
            <c:bubble3D val="0"/>
            <c:extLst xmlns:c16r2="http://schemas.microsoft.com/office/drawing/2015/06/chart">
              <c:ext xmlns:c16="http://schemas.microsoft.com/office/drawing/2014/chart" uri="{C3380CC4-5D6E-409C-BE32-E72D297353CC}">
                <c16:uniqueId val="{0000001E-C026-42D9-AFE3-1674ED3B715C}"/>
              </c:ext>
            </c:extLst>
          </c:dPt>
          <c:dPt>
            <c:idx val="3"/>
            <c:invertIfNegative val="0"/>
            <c:bubble3D val="0"/>
            <c:extLst xmlns:c16r2="http://schemas.microsoft.com/office/drawing/2015/06/chart">
              <c:ext xmlns:c16="http://schemas.microsoft.com/office/drawing/2014/chart" uri="{C3380CC4-5D6E-409C-BE32-E72D297353CC}">
                <c16:uniqueId val="{0000001F-C026-42D9-AFE3-1674ED3B715C}"/>
              </c:ext>
            </c:extLst>
          </c:dPt>
          <c:dPt>
            <c:idx val="4"/>
            <c:invertIfNegative val="0"/>
            <c:bubble3D val="0"/>
            <c:extLst xmlns:c16r2="http://schemas.microsoft.com/office/drawing/2015/06/chart">
              <c:ext xmlns:c16="http://schemas.microsoft.com/office/drawing/2014/chart" uri="{C3380CC4-5D6E-409C-BE32-E72D297353CC}">
                <c16:uniqueId val="{00000020-C026-42D9-AFE3-1674ED3B715C}"/>
              </c:ext>
            </c:extLst>
          </c:dPt>
          <c:dPt>
            <c:idx val="5"/>
            <c:invertIfNegative val="0"/>
            <c:bubble3D val="0"/>
            <c:extLst xmlns:c16r2="http://schemas.microsoft.com/office/drawing/2015/06/chart">
              <c:ext xmlns:c16="http://schemas.microsoft.com/office/drawing/2014/chart" uri="{C3380CC4-5D6E-409C-BE32-E72D297353CC}">
                <c16:uniqueId val="{00000021-C026-42D9-AFE3-1674ED3B715C}"/>
              </c:ext>
            </c:extLst>
          </c:dPt>
          <c:dLbls>
            <c:dLbl>
              <c:idx val="0"/>
              <c:tx>
                <c:rich>
                  <a:bodyPr/>
                  <a:lstStyle/>
                  <a:p>
                    <a:fld id="{4EEC1808-4E82-41D4-B2F5-062485619596}"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C-C026-42D9-AFE3-1674ED3B715C}"/>
                </c:ext>
              </c:extLst>
            </c:dLbl>
            <c:dLbl>
              <c:idx val="1"/>
              <c:tx>
                <c:rich>
                  <a:bodyPr/>
                  <a:lstStyle/>
                  <a:p>
                    <a:fld id="{D0540C70-F6AF-4BEB-A70B-143803C9905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C026-42D9-AFE3-1674ED3B715C}"/>
                </c:ext>
              </c:extLst>
            </c:dLbl>
            <c:dLbl>
              <c:idx val="2"/>
              <c:tx>
                <c:rich>
                  <a:bodyPr/>
                  <a:lstStyle/>
                  <a:p>
                    <a:fld id="{AB240676-F4B8-47E9-BC0B-CF82805E5A8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C026-42D9-AFE3-1674ED3B715C}"/>
                </c:ext>
              </c:extLst>
            </c:dLbl>
            <c:dLbl>
              <c:idx val="3"/>
              <c:tx>
                <c:rich>
                  <a:bodyPr/>
                  <a:lstStyle/>
                  <a:p>
                    <a:fld id="{5833CB59-F841-4870-8C05-2BC98D393AE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C026-42D9-AFE3-1674ED3B715C}"/>
                </c:ext>
              </c:extLst>
            </c:dLbl>
            <c:dLbl>
              <c:idx val="4"/>
              <c:tx>
                <c:rich>
                  <a:bodyPr/>
                  <a:lstStyle/>
                  <a:p>
                    <a:fld id="{B068CAAE-FBE2-442F-8561-FC9F8F63472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C026-42D9-AFE3-1674ED3B715C}"/>
                </c:ext>
              </c:extLst>
            </c:dLbl>
            <c:dLbl>
              <c:idx val="5"/>
              <c:tx>
                <c:rich>
                  <a:bodyPr/>
                  <a:lstStyle/>
                  <a:p>
                    <a:fld id="{4E4C3633-83AA-4837-A6F3-4F19C4D8B1A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C026-42D9-AFE3-1674ED3B71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Effectiveness_Avg!$Y$4:$Y$10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Effectiveness_Avg!$AD$4:$AD$10</c:f>
              <c:numCache>
                <c:formatCode>General</c:formatCode>
                <c:ptCount val="6"/>
                <c:pt idx="0">
                  <c:v>3.45</c:v>
                </c:pt>
                <c:pt idx="1">
                  <c:v>3.4736842105263159</c:v>
                </c:pt>
                <c:pt idx="2">
                  <c:v>2.8947368421052633</c:v>
                </c:pt>
                <c:pt idx="3">
                  <c:v>3.2857142857142856</c:v>
                </c:pt>
                <c:pt idx="4">
                  <c:v>3.65</c:v>
                </c:pt>
                <c:pt idx="5">
                  <c:v>3.2380952380952381</c:v>
                </c:pt>
              </c:numCache>
            </c:numRef>
          </c:val>
          <c:extLst xmlns:c16r2="http://schemas.microsoft.com/office/drawing/2015/06/chart">
            <c:ext xmlns:c15="http://schemas.microsoft.com/office/drawing/2012/chart" uri="{02D57815-91ED-43cb-92C2-25804820EDAC}">
              <c15:datalabelsRange>
                <c15:f>Effectiveness_Avg!$AD$22:$AD$27</c15:f>
                <c15:dlblRangeCache>
                  <c:ptCount val="6"/>
                  <c:pt idx="0">
                    <c:v>3.45 (20)</c:v>
                  </c:pt>
                  <c:pt idx="1">
                    <c:v>3.47 (19)</c:v>
                  </c:pt>
                  <c:pt idx="2">
                    <c:v>2.89 (19)</c:v>
                  </c:pt>
                  <c:pt idx="3">
                    <c:v>3.29 (21)</c:v>
                  </c:pt>
                  <c:pt idx="4">
                    <c:v>3.65 (20)</c:v>
                  </c:pt>
                  <c:pt idx="5">
                    <c:v>3.24 (21)</c:v>
                  </c:pt>
                </c15:dlblRangeCache>
              </c15:datalabelsRange>
            </c:ext>
            <c:ext xmlns:c16="http://schemas.microsoft.com/office/drawing/2014/chart" uri="{C3380CC4-5D6E-409C-BE32-E72D297353CC}">
              <c16:uniqueId val="{00000022-C026-42D9-AFE3-1674ED3B715C}"/>
            </c:ext>
          </c:extLst>
        </c:ser>
        <c:dLbls>
          <c:dLblPos val="outEnd"/>
          <c:showLegendKey val="0"/>
          <c:showVal val="1"/>
          <c:showCatName val="0"/>
          <c:showSerName val="0"/>
          <c:showPercent val="0"/>
          <c:showBubbleSize val="0"/>
        </c:dLbls>
        <c:gapWidth val="182"/>
        <c:axId val="94197248"/>
        <c:axId val="94198784"/>
      </c:barChart>
      <c:catAx>
        <c:axId val="9419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198784"/>
        <c:crosses val="autoZero"/>
        <c:auto val="1"/>
        <c:lblAlgn val="ctr"/>
        <c:lblOffset val="100"/>
        <c:noMultiLvlLbl val="0"/>
      </c:catAx>
      <c:valAx>
        <c:axId val="94198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41972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SPI!$G$2</c:f>
              <c:strCache>
                <c:ptCount val="1"/>
                <c:pt idx="0">
                  <c:v>1. Key and generic interoperability enablers</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SPI!$H$2:$Q$2</c:f>
              <c:numCache>
                <c:formatCode>General</c:formatCode>
                <c:ptCount val="10"/>
                <c:pt idx="0">
                  <c:v>2.1183732161416486</c:v>
                </c:pt>
                <c:pt idx="1">
                  <c:v>2.2083966839554376</c:v>
                </c:pt>
                <c:pt idx="2">
                  <c:v>1.7539654307079628</c:v>
                </c:pt>
                <c:pt idx="3">
                  <c:v>1.4372051337094629</c:v>
                </c:pt>
                <c:pt idx="4">
                  <c:v>1.1970087328509833</c:v>
                </c:pt>
                <c:pt idx="5">
                  <c:v>1.1082490390917965</c:v>
                </c:pt>
                <c:pt idx="6">
                  <c:v>0.89971988502678479</c:v>
                </c:pt>
                <c:pt idx="7">
                  <c:v>0.78752014007165883</c:v>
                </c:pt>
                <c:pt idx="8">
                  <c:v>0.72434670409382662</c:v>
                </c:pt>
                <c:pt idx="9">
                  <c:v>0.84945244103111284</c:v>
                </c:pt>
              </c:numCache>
            </c:numRef>
          </c:val>
          <c:smooth val="0"/>
          <c:extLst xmlns:c16r2="http://schemas.microsoft.com/office/drawing/2015/06/chart">
            <c:ext xmlns:c16="http://schemas.microsoft.com/office/drawing/2014/chart" uri="{C3380CC4-5D6E-409C-BE32-E72D297353CC}">
              <c16:uniqueId val="{00000000-B705-4C8E-BFC1-7F7246447487}"/>
            </c:ext>
          </c:extLst>
        </c:ser>
        <c:ser>
          <c:idx val="1"/>
          <c:order val="1"/>
          <c:tx>
            <c:strRef>
              <c:f>SPI!$G$3</c:f>
              <c:strCache>
                <c:ptCount val="1"/>
                <c:pt idx="0">
                  <c:v>2. Semantic Interoperability</c:v>
                </c:pt>
              </c:strCache>
            </c:strRef>
          </c:tx>
          <c:spPr>
            <a:ln w="2857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SPI!$H$3:$Q$3</c:f>
              <c:numCache>
                <c:formatCode>General</c:formatCode>
                <c:ptCount val="10"/>
                <c:pt idx="0">
                  <c:v>#N/A</c:v>
                </c:pt>
                <c:pt idx="1">
                  <c:v>0.83163053819200927</c:v>
                </c:pt>
                <c:pt idx="2">
                  <c:v>0.78796020319654947</c:v>
                </c:pt>
                <c:pt idx="3">
                  <c:v>0.86103261433609335</c:v>
                </c:pt>
                <c:pt idx="4">
                  <c:v>0.91620220367129579</c:v>
                </c:pt>
                <c:pt idx="5">
                  <c:v>0.99237509217149955</c:v>
                </c:pt>
                <c:pt idx="6">
                  <c:v>0.97059524535653452</c:v>
                </c:pt>
                <c:pt idx="7">
                  <c:v>0.92793676290116078</c:v>
                </c:pt>
                <c:pt idx="8">
                  <c:v>1.012464201491774</c:v>
                </c:pt>
                <c:pt idx="9">
                  <c:v>0.99826428630237429</c:v>
                </c:pt>
              </c:numCache>
            </c:numRef>
          </c:val>
          <c:smooth val="0"/>
          <c:extLst xmlns:c16r2="http://schemas.microsoft.com/office/drawing/2015/06/chart">
            <c:ext xmlns:c16="http://schemas.microsoft.com/office/drawing/2014/chart" uri="{C3380CC4-5D6E-409C-BE32-E72D297353CC}">
              <c16:uniqueId val="{00000001-B705-4C8E-BFC1-7F7246447487}"/>
            </c:ext>
          </c:extLst>
        </c:ser>
        <c:ser>
          <c:idx val="2"/>
          <c:order val="2"/>
          <c:tx>
            <c:strRef>
              <c:f>SPI!$G$4</c:f>
              <c:strCache>
                <c:ptCount val="1"/>
                <c:pt idx="0">
                  <c:v>3. Access to data/data sharing/open data</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SPI!$H$4:$Q$4</c:f>
              <c:numCache>
                <c:formatCode>General</c:formatCode>
                <c:ptCount val="10"/>
                <c:pt idx="0">
                  <c:v>#N/A</c:v>
                </c:pt>
                <c:pt idx="1">
                  <c:v>0.54519722203089638</c:v>
                </c:pt>
                <c:pt idx="2">
                  <c:v>0.82032430038390702</c:v>
                </c:pt>
                <c:pt idx="3">
                  <c:v>0.85492398985913109</c:v>
                </c:pt>
                <c:pt idx="4">
                  <c:v>0.84837890287772799</c:v>
                </c:pt>
                <c:pt idx="5">
                  <c:v>0.80316953206006847</c:v>
                </c:pt>
                <c:pt idx="6">
                  <c:v>0.89675687541549576</c:v>
                </c:pt>
                <c:pt idx="7">
                  <c:v>0.85522761748499299</c:v>
                </c:pt>
                <c:pt idx="8">
                  <c:v>0.98018006242531985</c:v>
                </c:pt>
                <c:pt idx="9">
                  <c:v>0.96868394591100138</c:v>
                </c:pt>
              </c:numCache>
            </c:numRef>
          </c:val>
          <c:smooth val="0"/>
          <c:extLst xmlns:c16r2="http://schemas.microsoft.com/office/drawing/2015/06/chart">
            <c:ext xmlns:c16="http://schemas.microsoft.com/office/drawing/2014/chart" uri="{C3380CC4-5D6E-409C-BE32-E72D297353CC}">
              <c16:uniqueId val="{00000002-B705-4C8E-BFC1-7F7246447487}"/>
            </c:ext>
          </c:extLst>
        </c:ser>
        <c:ser>
          <c:idx val="3"/>
          <c:order val="3"/>
          <c:tx>
            <c:strRef>
              <c:f>SPI!$G$5</c:f>
              <c:strCache>
                <c:ptCount val="1"/>
                <c:pt idx="0">
                  <c:v>4. Geospatial Solutions</c:v>
                </c:pt>
              </c:strCache>
            </c:strRef>
          </c:tx>
          <c:spPr>
            <a:ln w="28575"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SPI!$H$5:$Q$5</c:f>
              <c:numCache>
                <c:formatCode>General</c:formatCode>
                <c:ptCount val="10"/>
                <c:pt idx="0">
                  <c:v>#N/A</c:v>
                </c:pt>
                <c:pt idx="1">
                  <c:v>#N/A</c:v>
                </c:pt>
                <c:pt idx="2">
                  <c:v>#N/A</c:v>
                </c:pt>
                <c:pt idx="3">
                  <c:v>0.89523463663496294</c:v>
                </c:pt>
                <c:pt idx="4">
                  <c:v>0.90736920579409108</c:v>
                </c:pt>
                <c:pt idx="5">
                  <c:v>0.95161171754357676</c:v>
                </c:pt>
                <c:pt idx="6">
                  <c:v>0.98945697402853972</c:v>
                </c:pt>
                <c:pt idx="7">
                  <c:v>1</c:v>
                </c:pt>
                <c:pt idx="8">
                  <c:v>0.95907566557401291</c:v>
                </c:pt>
                <c:pt idx="9">
                  <c:v>0.87100700048466162</c:v>
                </c:pt>
              </c:numCache>
            </c:numRef>
          </c:val>
          <c:smooth val="0"/>
          <c:extLst xmlns:c16r2="http://schemas.microsoft.com/office/drawing/2015/06/chart">
            <c:ext xmlns:c16="http://schemas.microsoft.com/office/drawing/2014/chart" uri="{C3380CC4-5D6E-409C-BE32-E72D297353CC}">
              <c16:uniqueId val="{00000003-B705-4C8E-BFC1-7F7246447487}"/>
            </c:ext>
          </c:extLst>
        </c:ser>
        <c:dLbls>
          <c:showLegendKey val="0"/>
          <c:showVal val="0"/>
          <c:showCatName val="0"/>
          <c:showSerName val="0"/>
          <c:showPercent val="0"/>
          <c:showBubbleSize val="0"/>
        </c:dLbls>
        <c:marker val="1"/>
        <c:smooth val="0"/>
        <c:axId val="107125760"/>
        <c:axId val="107127936"/>
      </c:lineChart>
      <c:dateAx>
        <c:axId val="107125760"/>
        <c:scaling>
          <c:orientation val="minMax"/>
        </c:scaling>
        <c:delete val="0"/>
        <c:axPos val="b"/>
        <c:numFmt formatCode="dd/mm/yyyy;@"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7127936"/>
        <c:crosses val="autoZero"/>
        <c:auto val="1"/>
        <c:lblOffset val="100"/>
        <c:baseTimeUnit val="months"/>
        <c:majorUnit val="3"/>
        <c:majorTimeUnit val="months"/>
      </c:dateAx>
      <c:valAx>
        <c:axId val="107127936"/>
        <c:scaling>
          <c:orientation val="minMax"/>
          <c:min val="0.4"/>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712576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SPI!$G$6</c:f>
              <c:strCache>
                <c:ptCount val="1"/>
                <c:pt idx="0">
                  <c:v>5. e-Procurement/e-invoicing-Supporting instruments</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SPI!$H$6:$Q$6</c:f>
              <c:numCache>
                <c:formatCode>General</c:formatCode>
                <c:ptCount val="10"/>
                <c:pt idx="0">
                  <c:v>0.8722179209555202</c:v>
                </c:pt>
                <c:pt idx="1">
                  <c:v>0.96318610078050981</c:v>
                </c:pt>
                <c:pt idx="2">
                  <c:v>0.93914434256075885</c:v>
                </c:pt>
                <c:pt idx="3">
                  <c:v>0.94715977710929</c:v>
                </c:pt>
                <c:pt idx="4">
                  <c:v>0.97612850378563554</c:v>
                </c:pt>
                <c:pt idx="5">
                  <c:v>0.93778949335863326</c:v>
                </c:pt>
                <c:pt idx="6">
                  <c:v>0.9764939188417463</c:v>
                </c:pt>
                <c:pt idx="7">
                  <c:v>0.92980364924433545</c:v>
                </c:pt>
                <c:pt idx="8">
                  <c:v>0.91895748977811476</c:v>
                </c:pt>
                <c:pt idx="9">
                  <c:v>0.91818463466517453</c:v>
                </c:pt>
              </c:numCache>
            </c:numRef>
          </c:val>
          <c:smooth val="0"/>
          <c:extLst xmlns:c16r2="http://schemas.microsoft.com/office/drawing/2015/06/chart">
            <c:ext xmlns:c16="http://schemas.microsoft.com/office/drawing/2014/chart" uri="{C3380CC4-5D6E-409C-BE32-E72D297353CC}">
              <c16:uniqueId val="{00000000-BEB7-4277-9528-C4164F1742B4}"/>
            </c:ext>
          </c:extLst>
        </c:ser>
        <c:ser>
          <c:idx val="1"/>
          <c:order val="1"/>
          <c:tx>
            <c:strRef>
              <c:f>SPI!$G$7</c:f>
              <c:strCache>
                <c:ptCount val="1"/>
                <c:pt idx="0">
                  <c:v>6. Decision making and legislation-Supporting instruments</c:v>
                </c:pt>
              </c:strCache>
            </c:strRef>
          </c:tx>
          <c:spPr>
            <a:ln w="2857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SPI!$H$7:$Q$7</c:f>
              <c:numCache>
                <c:formatCode>General</c:formatCode>
                <c:ptCount val="10"/>
                <c:pt idx="0">
                  <c:v>#N/A</c:v>
                </c:pt>
                <c:pt idx="1">
                  <c:v>1.5545373257812947</c:v>
                </c:pt>
                <c:pt idx="2">
                  <c:v>0.85212820601524908</c:v>
                </c:pt>
                <c:pt idx="3">
                  <c:v>1.1719577218460453</c:v>
                </c:pt>
                <c:pt idx="4">
                  <c:v>1.0602027331533672</c:v>
                </c:pt>
                <c:pt idx="5">
                  <c:v>0.97233114582149627</c:v>
                </c:pt>
                <c:pt idx="6">
                  <c:v>0.9773513122432711</c:v>
                </c:pt>
                <c:pt idx="7">
                  <c:v>0.99124122200010245</c:v>
                </c:pt>
                <c:pt idx="8">
                  <c:v>0.96361544064313331</c:v>
                </c:pt>
                <c:pt idx="9">
                  <c:v>0.95560982331978195</c:v>
                </c:pt>
              </c:numCache>
            </c:numRef>
          </c:val>
          <c:smooth val="0"/>
          <c:extLst xmlns:c16r2="http://schemas.microsoft.com/office/drawing/2015/06/chart">
            <c:ext xmlns:c16="http://schemas.microsoft.com/office/drawing/2014/chart" uri="{C3380CC4-5D6E-409C-BE32-E72D297353CC}">
              <c16:uniqueId val="{00000001-BEB7-4277-9528-C4164F1742B4}"/>
            </c:ext>
          </c:extLst>
        </c:ser>
        <c:ser>
          <c:idx val="2"/>
          <c:order val="2"/>
          <c:tx>
            <c:strRef>
              <c:f>SPI!$G$8</c:f>
              <c:strCache>
                <c:ptCount val="1"/>
                <c:pt idx="0">
                  <c:v>7.  EU  Policies-Supporting instruments</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SPI!$H$8:$Q$8</c:f>
              <c:numCache>
                <c:formatCode>General</c:formatCode>
                <c:ptCount val="10"/>
                <c:pt idx="0">
                  <c:v>#N/A</c:v>
                </c:pt>
                <c:pt idx="1">
                  <c:v>0.97878837231505111</c:v>
                </c:pt>
                <c:pt idx="2">
                  <c:v>0.92867116443081599</c:v>
                </c:pt>
                <c:pt idx="3">
                  <c:v>0.95040452182250112</c:v>
                </c:pt>
                <c:pt idx="4">
                  <c:v>1.099766751746168</c:v>
                </c:pt>
                <c:pt idx="5">
                  <c:v>1.0147095019858892</c:v>
                </c:pt>
                <c:pt idx="6">
                  <c:v>1.1024093862767979</c:v>
                </c:pt>
                <c:pt idx="7">
                  <c:v>1.0064535106816843</c:v>
                </c:pt>
                <c:pt idx="8">
                  <c:v>0.99451669922369779</c:v>
                </c:pt>
                <c:pt idx="9">
                  <c:v>0.97507790872038946</c:v>
                </c:pt>
              </c:numCache>
            </c:numRef>
          </c:val>
          <c:smooth val="0"/>
          <c:extLst xmlns:c16r2="http://schemas.microsoft.com/office/drawing/2015/06/chart">
            <c:ext xmlns:c16="http://schemas.microsoft.com/office/drawing/2014/chart" uri="{C3380CC4-5D6E-409C-BE32-E72D297353CC}">
              <c16:uniqueId val="{00000002-BEB7-4277-9528-C4164F1742B4}"/>
            </c:ext>
          </c:extLst>
        </c:ser>
        <c:ser>
          <c:idx val="3"/>
          <c:order val="3"/>
          <c:tx>
            <c:strRef>
              <c:f>SPI!$G$9</c:f>
              <c:strCache>
                <c:ptCount val="1"/>
                <c:pt idx="0">
                  <c:v>8.  Supporting instruments for public administrations</c:v>
                </c:pt>
              </c:strCache>
            </c:strRef>
          </c:tx>
          <c:spPr>
            <a:ln w="28575"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SPI!$H$9:$Q$9</c:f>
              <c:numCache>
                <c:formatCode>General</c:formatCode>
                <c:ptCount val="10"/>
                <c:pt idx="0">
                  <c:v>1.0802981277137089</c:v>
                </c:pt>
                <c:pt idx="1">
                  <c:v>1.1220268472021897</c:v>
                </c:pt>
                <c:pt idx="2">
                  <c:v>0.96819263246661125</c:v>
                </c:pt>
                <c:pt idx="3">
                  <c:v>0.97596972417160199</c:v>
                </c:pt>
                <c:pt idx="4">
                  <c:v>0.991675790164533</c:v>
                </c:pt>
                <c:pt idx="5">
                  <c:v>0.94006955465465969</c:v>
                </c:pt>
                <c:pt idx="6">
                  <c:v>0.92006156736540512</c:v>
                </c:pt>
                <c:pt idx="7">
                  <c:v>0.91668959707859887</c:v>
                </c:pt>
                <c:pt idx="8">
                  <c:v>0.99145280642681111</c:v>
                </c:pt>
                <c:pt idx="9">
                  <c:v>0.99962085846928894</c:v>
                </c:pt>
              </c:numCache>
            </c:numRef>
          </c:val>
          <c:smooth val="0"/>
          <c:extLst xmlns:c16r2="http://schemas.microsoft.com/office/drawing/2015/06/chart">
            <c:ext xmlns:c16="http://schemas.microsoft.com/office/drawing/2014/chart" uri="{C3380CC4-5D6E-409C-BE32-E72D297353CC}">
              <c16:uniqueId val="{00000003-BEB7-4277-9528-C4164F1742B4}"/>
            </c:ext>
          </c:extLst>
        </c:ser>
        <c:ser>
          <c:idx val="4"/>
          <c:order val="4"/>
          <c:tx>
            <c:strRef>
              <c:f>SPI!$G$10</c:f>
              <c:strCache>
                <c:ptCount val="1"/>
                <c:pt idx="0">
                  <c:v>9. Accompanying measures</c:v>
                </c:pt>
              </c:strCache>
            </c:strRef>
          </c:tx>
          <c:spPr>
            <a:ln w="28575" cap="rnd" cmpd="sng" algn="ctr">
              <a:solidFill>
                <a:schemeClr val="accent3">
                  <a:lumMod val="60000"/>
                  <a:shade val="95000"/>
                  <a:satMod val="105000"/>
                </a:schemeClr>
              </a:solidFill>
              <a:prstDash val="solid"/>
              <a:round/>
            </a:ln>
            <a:effectLst/>
          </c:spPr>
          <c:marker>
            <c:spPr>
              <a:noFill/>
              <a:ln w="9525" cap="flat" cmpd="sng" algn="ctr">
                <a:solidFill>
                  <a:schemeClr val="accent3">
                    <a:lumMod val="60000"/>
                    <a:shade val="95000"/>
                    <a:satMod val="105000"/>
                  </a:schemeClr>
                </a:solidFill>
                <a:prstDash val="solid"/>
                <a:round/>
              </a:ln>
              <a:effectLst/>
            </c:spPr>
          </c:marker>
          <c:cat>
            <c:numRef>
              <c:f>SPI!$H$1:$Q$1</c:f>
              <c:numCache>
                <c:formatCode>dd/mm/yyyy;@</c:formatCode>
                <c:ptCount val="10"/>
                <c:pt idx="0">
                  <c:v>42522</c:v>
                </c:pt>
                <c:pt idx="1">
                  <c:v>42614</c:v>
                </c:pt>
                <c:pt idx="2">
                  <c:v>42705</c:v>
                </c:pt>
                <c:pt idx="3">
                  <c:v>42795</c:v>
                </c:pt>
                <c:pt idx="4">
                  <c:v>42887</c:v>
                </c:pt>
                <c:pt idx="5">
                  <c:v>42979</c:v>
                </c:pt>
                <c:pt idx="6">
                  <c:v>43070</c:v>
                </c:pt>
                <c:pt idx="7">
                  <c:v>43160</c:v>
                </c:pt>
                <c:pt idx="8">
                  <c:v>43252</c:v>
                </c:pt>
                <c:pt idx="9">
                  <c:v>43344</c:v>
                </c:pt>
              </c:numCache>
            </c:numRef>
          </c:cat>
          <c:val>
            <c:numRef>
              <c:f>SPI!$H$10:$Q$10</c:f>
              <c:numCache>
                <c:formatCode>General</c:formatCode>
                <c:ptCount val="10"/>
                <c:pt idx="0">
                  <c:v>#N/A</c:v>
                </c:pt>
                <c:pt idx="1">
                  <c:v>#N/A</c:v>
                </c:pt>
                <c:pt idx="2">
                  <c:v>#N/A</c:v>
                </c:pt>
                <c:pt idx="3">
                  <c:v>1.2230399169644339</c:v>
                </c:pt>
                <c:pt idx="4">
                  <c:v>1.4698685734110268</c:v>
                </c:pt>
                <c:pt idx="5">
                  <c:v>1.1178309063004348</c:v>
                </c:pt>
                <c:pt idx="6">
                  <c:v>0.92333270825836544</c:v>
                </c:pt>
                <c:pt idx="7">
                  <c:v>0.87909369900186063</c:v>
                </c:pt>
                <c:pt idx="8">
                  <c:v>0.93592453015152466</c:v>
                </c:pt>
                <c:pt idx="9">
                  <c:v>0.97161876001884029</c:v>
                </c:pt>
              </c:numCache>
            </c:numRef>
          </c:val>
          <c:smooth val="0"/>
          <c:extLst xmlns:c16r2="http://schemas.microsoft.com/office/drawing/2015/06/chart">
            <c:ext xmlns:c16="http://schemas.microsoft.com/office/drawing/2014/chart" uri="{C3380CC4-5D6E-409C-BE32-E72D297353CC}">
              <c16:uniqueId val="{00000004-BEB7-4277-9528-C4164F1742B4}"/>
            </c:ext>
          </c:extLst>
        </c:ser>
        <c:dLbls>
          <c:showLegendKey val="0"/>
          <c:showVal val="0"/>
          <c:showCatName val="0"/>
          <c:showSerName val="0"/>
          <c:showPercent val="0"/>
          <c:showBubbleSize val="0"/>
        </c:dLbls>
        <c:marker val="1"/>
        <c:smooth val="0"/>
        <c:axId val="107238912"/>
        <c:axId val="107240832"/>
      </c:lineChart>
      <c:dateAx>
        <c:axId val="107238912"/>
        <c:scaling>
          <c:orientation val="minMax"/>
        </c:scaling>
        <c:delete val="0"/>
        <c:axPos val="b"/>
        <c:numFmt formatCode="dd/mm/yyyy;@"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7240832"/>
        <c:crosses val="autoZero"/>
        <c:auto val="1"/>
        <c:lblOffset val="100"/>
        <c:baseTimeUnit val="months"/>
        <c:majorUnit val="3"/>
        <c:majorTimeUnit val="months"/>
      </c:dateAx>
      <c:valAx>
        <c:axId val="107240832"/>
        <c:scaling>
          <c:orientation val="minMax"/>
          <c:min val="0.60000000000000098"/>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7238912"/>
        <c:crosses val="autoZero"/>
        <c:crossBetween val="between"/>
      </c:valAx>
      <c:spPr>
        <a:solidFill>
          <a:schemeClr val="bg1"/>
        </a:solidFill>
        <a:ln>
          <a:noFill/>
        </a:ln>
        <a:effectLst/>
      </c:spPr>
    </c:plotArea>
    <c:legend>
      <c:legendPos val="b"/>
      <c:layout>
        <c:manualLayout>
          <c:xMode val="edge"/>
          <c:yMode val="edge"/>
          <c:x val="1.5675624748103099E-2"/>
          <c:y val="0.71440574324003303"/>
          <c:w val="0.96200111314470504"/>
          <c:h val="0.264908168154554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Graphs_averages_final.xlsx]Coherence_Avg!Tableau croisé dynamique9</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2C2DE0-3CEC-46AA-A15D-453527241D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F39C5E-A990-4129-85B9-87119DF46F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8607A9-07E9-479D-A73A-7FC47BC55C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99D4D5-F8FD-4803-A9AC-08ADFD5F3F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F38B95-76EA-4BFD-A97A-82C71E10627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EF73C5-3474-4FC5-B09C-B2376E99C2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F39C5E-A990-4129-85B9-87119DF46F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2C2DE0-3CEC-46AA-A15D-453527241D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99D4D5-F8FD-4803-A9AC-08ADFD5F3F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8607A9-07E9-479D-A73A-7FC47BC55C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EF73C5-3474-4FC5-B09C-B2376E99C2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F38B95-76EA-4BFD-A97A-82C71E10627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F39C5E-A990-4129-85B9-87119DF46F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2C2DE0-3CEC-46AA-A15D-453527241D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99D4D5-F8FD-4803-A9AC-08ADFD5F3F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8607A9-07E9-479D-A73A-7FC47BC55C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EF73C5-3474-4FC5-B09C-B2376E99C2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F38B95-76EA-4BFD-A97A-82C71E10627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Coherence_Avg!$R$58:$R$59</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2290-453F-9985-8E7DE1A95F5B}"/>
              </c:ext>
            </c:extLst>
          </c:dPt>
          <c:dPt>
            <c:idx val="1"/>
            <c:invertIfNegative val="0"/>
            <c:bubble3D val="0"/>
            <c:extLst xmlns:c16r2="http://schemas.microsoft.com/office/drawing/2015/06/chart">
              <c:ext xmlns:c16="http://schemas.microsoft.com/office/drawing/2014/chart" uri="{C3380CC4-5D6E-409C-BE32-E72D297353CC}">
                <c16:uniqueId val="{00000001-2290-453F-9985-8E7DE1A95F5B}"/>
              </c:ext>
            </c:extLst>
          </c:dPt>
          <c:dLbls>
            <c:dLbl>
              <c:idx val="0"/>
              <c:tx>
                <c:rich>
                  <a:bodyPr/>
                  <a:lstStyle/>
                  <a:p>
                    <a:fld id="{DB713805-8B2B-40D6-8A6E-6A3E114B7FF4}"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2290-453F-9985-8E7DE1A95F5B}"/>
                </c:ext>
              </c:extLst>
            </c:dLbl>
            <c:dLbl>
              <c:idx val="1"/>
              <c:tx>
                <c:rich>
                  <a:bodyPr/>
                  <a:lstStyle/>
                  <a:p>
                    <a:fld id="{600F9B17-32C1-4A1B-83A9-4D95B9D0186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1-2290-453F-9985-8E7DE1A95F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Coherence_Avg!$Q$60:$Q$61</c:f>
              <c:strCache>
                <c:ptCount val="2"/>
                <c:pt idx="0">
                  <c:v>Synergies</c:v>
                </c:pt>
                <c:pt idx="1">
                  <c:v>Overlaps</c:v>
                </c:pt>
              </c:strCache>
            </c:strRef>
          </c:cat>
          <c:val>
            <c:numRef>
              <c:f>Coherence_Avg!$R$60:$R$61</c:f>
              <c:numCache>
                <c:formatCode>General</c:formatCode>
                <c:ptCount val="2"/>
                <c:pt idx="0">
                  <c:v>3.2758620689655173</c:v>
                </c:pt>
                <c:pt idx="1">
                  <c:v>2</c:v>
                </c:pt>
              </c:numCache>
            </c:numRef>
          </c:val>
          <c:extLst xmlns:c16r2="http://schemas.microsoft.com/office/drawing/2015/06/chart">
            <c:ext xmlns:c15="http://schemas.microsoft.com/office/drawing/2012/chart" uri="{02D57815-91ED-43cb-92C2-25804820EDAC}">
              <c15:datalabelsRange>
                <c15:f>Coherence_Avg!$R$70:$R$71</c15:f>
                <c15:dlblRangeCache>
                  <c:ptCount val="2"/>
                  <c:pt idx="0">
                    <c:v>3.28 (29)</c:v>
                  </c:pt>
                  <c:pt idx="1">
                    <c:v>2.00 (21)</c:v>
                  </c:pt>
                </c15:dlblRangeCache>
              </c15:datalabelsRange>
            </c:ext>
            <c:ext xmlns:c16="http://schemas.microsoft.com/office/drawing/2014/chart" uri="{C3380CC4-5D6E-409C-BE32-E72D297353CC}">
              <c16:uniqueId val="{00000002-2290-453F-9985-8E7DE1A95F5B}"/>
            </c:ext>
          </c:extLst>
        </c:ser>
        <c:ser>
          <c:idx val="1"/>
          <c:order val="1"/>
          <c:tx>
            <c:strRef>
              <c:f>Coherence_Avg!$S$58:$S$59</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3-2290-453F-9985-8E7DE1A95F5B}"/>
              </c:ext>
            </c:extLst>
          </c:dPt>
          <c:dPt>
            <c:idx val="1"/>
            <c:invertIfNegative val="0"/>
            <c:bubble3D val="0"/>
            <c:extLst xmlns:c16r2="http://schemas.microsoft.com/office/drawing/2015/06/chart">
              <c:ext xmlns:c16="http://schemas.microsoft.com/office/drawing/2014/chart" uri="{C3380CC4-5D6E-409C-BE32-E72D297353CC}">
                <c16:uniqueId val="{00000004-2290-453F-9985-8E7DE1A95F5B}"/>
              </c:ext>
            </c:extLst>
          </c:dPt>
          <c:dLbls>
            <c:dLbl>
              <c:idx val="0"/>
              <c:tx>
                <c:rich>
                  <a:bodyPr/>
                  <a:lstStyle/>
                  <a:p>
                    <a:fld id="{A83E28DC-D20B-42BD-A71E-00D7F1A8776D}"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3-2290-453F-9985-8E7DE1A95F5B}"/>
                </c:ext>
              </c:extLst>
            </c:dLbl>
            <c:dLbl>
              <c:idx val="1"/>
              <c:tx>
                <c:rich>
                  <a:bodyPr/>
                  <a:lstStyle/>
                  <a:p>
                    <a:fld id="{E04A8E41-7B97-416B-A6B6-226BA087F914}"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2290-453F-9985-8E7DE1A95F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Coherence_Avg!$Q$60:$Q$61</c:f>
              <c:strCache>
                <c:ptCount val="2"/>
                <c:pt idx="0">
                  <c:v>Synergies</c:v>
                </c:pt>
                <c:pt idx="1">
                  <c:v>Overlaps</c:v>
                </c:pt>
              </c:strCache>
            </c:strRef>
          </c:cat>
          <c:val>
            <c:numRef>
              <c:f>Coherence_Avg!$S$60:$S$61</c:f>
              <c:numCache>
                <c:formatCode>General</c:formatCode>
                <c:ptCount val="2"/>
                <c:pt idx="0">
                  <c:v>3.0555555555555554</c:v>
                </c:pt>
                <c:pt idx="1">
                  <c:v>1.8823529411764706</c:v>
                </c:pt>
              </c:numCache>
            </c:numRef>
          </c:val>
          <c:extLst xmlns:c16r2="http://schemas.microsoft.com/office/drawing/2015/06/chart">
            <c:ext xmlns:c15="http://schemas.microsoft.com/office/drawing/2012/chart" uri="{02D57815-91ED-43cb-92C2-25804820EDAC}">
              <c15:datalabelsRange>
                <c15:f>Coherence_Avg!$S$70:$S$71</c15:f>
                <c15:dlblRangeCache>
                  <c:ptCount val="2"/>
                  <c:pt idx="0">
                    <c:v>3.06 (18)</c:v>
                  </c:pt>
                  <c:pt idx="1">
                    <c:v>1.88 (17)</c:v>
                  </c:pt>
                </c15:dlblRangeCache>
              </c15:datalabelsRange>
            </c:ext>
            <c:ext xmlns:c16="http://schemas.microsoft.com/office/drawing/2014/chart" uri="{C3380CC4-5D6E-409C-BE32-E72D297353CC}">
              <c16:uniqueId val="{00000005-2290-453F-9985-8E7DE1A95F5B}"/>
            </c:ext>
          </c:extLst>
        </c:ser>
        <c:ser>
          <c:idx val="2"/>
          <c:order val="2"/>
          <c:tx>
            <c:strRef>
              <c:f>Coherence_Avg!$T$58:$T$59</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6-2290-453F-9985-8E7DE1A95F5B}"/>
              </c:ext>
            </c:extLst>
          </c:dPt>
          <c:dPt>
            <c:idx val="1"/>
            <c:invertIfNegative val="0"/>
            <c:bubble3D val="0"/>
            <c:extLst xmlns:c16r2="http://schemas.microsoft.com/office/drawing/2015/06/chart">
              <c:ext xmlns:c16="http://schemas.microsoft.com/office/drawing/2014/chart" uri="{C3380CC4-5D6E-409C-BE32-E72D297353CC}">
                <c16:uniqueId val="{00000007-2290-453F-9985-8E7DE1A95F5B}"/>
              </c:ext>
            </c:extLst>
          </c:dPt>
          <c:dLbls>
            <c:dLbl>
              <c:idx val="0"/>
              <c:tx>
                <c:rich>
                  <a:bodyPr/>
                  <a:lstStyle/>
                  <a:p>
                    <a:fld id="{4C5EAE87-F08D-4DBC-BBB8-BBDDA6B577FF}"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2290-453F-9985-8E7DE1A95F5B}"/>
                </c:ext>
              </c:extLst>
            </c:dLbl>
            <c:dLbl>
              <c:idx val="1"/>
              <c:tx>
                <c:rich>
                  <a:bodyPr/>
                  <a:lstStyle/>
                  <a:p>
                    <a:fld id="{8C833CD2-957F-42A2-BE9F-D89AA8AFCAA5}"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2290-453F-9985-8E7DE1A95F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Coherence_Avg!$Q$60:$Q$61</c:f>
              <c:strCache>
                <c:ptCount val="2"/>
                <c:pt idx="0">
                  <c:v>Synergies</c:v>
                </c:pt>
                <c:pt idx="1">
                  <c:v>Overlaps</c:v>
                </c:pt>
              </c:strCache>
            </c:strRef>
          </c:cat>
          <c:val>
            <c:numRef>
              <c:f>Coherence_Avg!$T$60:$T$61</c:f>
              <c:numCache>
                <c:formatCode>General</c:formatCode>
                <c:ptCount val="2"/>
                <c:pt idx="0">
                  <c:v>3.4210526315789473</c:v>
                </c:pt>
                <c:pt idx="1">
                  <c:v>2.4</c:v>
                </c:pt>
              </c:numCache>
            </c:numRef>
          </c:val>
          <c:extLst xmlns:c16r2="http://schemas.microsoft.com/office/drawing/2015/06/chart">
            <c:ext xmlns:c15="http://schemas.microsoft.com/office/drawing/2012/chart" uri="{02D57815-91ED-43cb-92C2-25804820EDAC}">
              <c15:datalabelsRange>
                <c15:f>Coherence_Avg!$T$70:$T$71</c15:f>
                <c15:dlblRangeCache>
                  <c:ptCount val="2"/>
                  <c:pt idx="0">
                    <c:v>3.42 (19)</c:v>
                  </c:pt>
                  <c:pt idx="1">
                    <c:v>2.40 (15)</c:v>
                  </c:pt>
                </c15:dlblRangeCache>
              </c15:datalabelsRange>
            </c:ext>
            <c:ext xmlns:c16="http://schemas.microsoft.com/office/drawing/2014/chart" uri="{C3380CC4-5D6E-409C-BE32-E72D297353CC}">
              <c16:uniqueId val="{00000008-2290-453F-9985-8E7DE1A95F5B}"/>
            </c:ext>
          </c:extLst>
        </c:ser>
        <c:dLbls>
          <c:dLblPos val="outEnd"/>
          <c:showLegendKey val="0"/>
          <c:showVal val="1"/>
          <c:showCatName val="0"/>
          <c:showSerName val="0"/>
          <c:showPercent val="0"/>
          <c:showBubbleSize val="0"/>
        </c:dLbls>
        <c:gapWidth val="182"/>
        <c:axId val="107533056"/>
        <c:axId val="107534592"/>
      </c:barChart>
      <c:catAx>
        <c:axId val="107533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34592"/>
        <c:crosses val="autoZero"/>
        <c:auto val="1"/>
        <c:lblAlgn val="ctr"/>
        <c:lblOffset val="100"/>
        <c:noMultiLvlLbl val="0"/>
      </c:catAx>
      <c:valAx>
        <c:axId val="107534592"/>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330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Graphs_averages_final.xlsx]Coherence_Avg!Tableau croisé dynamique8</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885209-E8BA-44E5-9034-7BA16F209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CB1F46-6FDC-4384-A9A2-41F76926ED3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DBA712-EB97-4639-A167-8B4C7B6208A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645539-5DDE-4CCD-A47F-EB5FB211BD9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887453-BF23-4616-BE16-7DC06F58471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ACB1E3-35D0-4C5E-833C-37A283A8FED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C2AF6F-2E54-4426-9277-2D1B7D140D8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AB4F6FC-9EB7-4196-89BB-6E7C9A0FD0B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8342FB-9FE0-48C0-B41E-DB784021B8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CB8595-DC27-4B3D-B50E-07917ABD370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09E30B-5F2F-4C59-9937-FD5302747B0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581BF0-C51A-44AE-83BF-D73C593B074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1B445E-BEAC-47F8-890E-4E47166A86F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739D1C7-5594-42F2-81EF-3D3AD852F71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DB3B44-7381-43F0-B40B-87966A5A0CD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DB2A56-DBD1-4E51-9BF1-12D7C3C862A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A61F1B-F746-4C58-9924-04A42958C7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4FC5D0-4546-4F13-A595-72D42F1BA5C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6365948-007D-44EF-B1BF-9B189068C17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77150F-1877-4428-B0D1-3A57A589D4C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A83783-4FA0-4D18-9C6F-A39D5FD1EE1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1836481-157E-4D47-8907-F16BA9B1EFA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07523E-958D-40D9-A86D-D257F8FCE9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36A3CA-C8DA-421F-85C5-973B07A6184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FFF0C8-9D97-4EDD-9C91-F16EC929BE7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B6320-A016-4486-8B64-5CD0E878B6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950EC2-5DD1-4C2C-AF3B-A034C0CB11C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80EACF-959D-4ACF-B829-A07E0E6C15F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74521A-7144-439D-A191-F602BAAA9A4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B7F5290-7E6F-44FE-9670-D949931F338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7DA8ED-0022-4B54-8CDB-E3EF4CF2C0A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CA0966-FC85-4071-8FD3-20FAC381681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EC3B18-D19E-4F88-A165-EBA84B54E78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0D7E62-496B-4FBE-AEF6-2840CB4C50E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481FF0-1A3D-477D-B018-30828CD67C1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C73A70-4EBF-4327-A3EB-954F10AB6B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50826-C8BF-4C36-AC35-37EB41E57AA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AF0E253-77F2-41CD-B4FC-6385EF4D2B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975EB1-E2C4-48B0-BE5D-B49A8231001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AB6E3A-8F07-420E-BD9F-4FCCBB4DAD8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33F517-E9A5-40A9-BD2C-50371EEEF1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1EBD2DE-5733-4385-9FC0-3FEF2ABA2D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5B71A2-BA6D-4201-A006-6ABAE70ECAE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6BE5B1-C853-467E-BC13-BA2FDE35958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885209-E8BA-44E5-9034-7BA16F209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5BFF9C-E50C-40E3-A92C-553EFD8BD8C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72FD43-EC17-40C4-972E-D05BEDE087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62B31F-2489-499E-B758-307AB71E8F6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8E1B9F-7EE5-4447-8AA5-26584B8E2E6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082182-57B3-47E0-875E-2B32DBD41B4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2FF03B3-745A-4189-9313-D1CF36DD5E9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64B4762-859A-4DD4-A558-F029C88A36B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8342FB-9FE0-48C0-B41E-DB784021B8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CDE87C-449A-4F14-B762-A66D0FB6635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C566BFB-9377-43A1-9CD9-5B5C02B1572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AE0303-86FC-4CCD-A629-B37CE3A8FE5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28EF61-2BCC-4434-91C2-5CF45B3AFE4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4DCF18-5401-482C-82E3-C19FBB099AC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8EC924-9D4D-446C-A6C4-31606D10F2E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8CB8D5-84E6-44EA-A4C2-06E542482AF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A61F1B-F746-4C58-9924-04A42958C7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9FC2125-57C6-4135-A65A-8234A8C7C92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B9AF25-B9F3-4C63-B3F8-D43D5294F85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0036D3-E1D0-464C-89CF-776FA3E6023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E23444-9E56-4EEA-A2E3-BB5D02A83FA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8D6A66-254E-4520-9BD3-E5ABC7A84E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5D5A34-66F0-48C3-9FBC-1C1C56BAED6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3A2EB6-909F-447F-A018-059CE8FBE9E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08C1391-1B66-4FDC-B6F3-6EDED7711E4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B6320-A016-4486-8B64-5CD0E878B6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226A701-2A88-4FB3-A64E-4362F47F395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F3B15A-9955-4C52-9F99-8D0B12EA0CA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A23125-D91D-49EE-9AE3-0921F26FADD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1A2B0B1-8774-4BFF-8BBF-3D14E984A88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4CE5E2-4541-4B26-B229-280EE0DFAFE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E56B0C-165A-4E34-B650-88DE1A92C20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A43F9E7-0CB7-4EA3-98F3-D73F06B76A1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7E8678-EB8F-42CB-92A1-BE9B9266584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CCBF00-1476-4789-A004-93F8A63EE11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C73A70-4EBF-4327-A3EB-954F10AB6B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7904E9-F254-4DD9-9B1E-1390C8247B8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0C82AC-C704-4B53-BD9C-462174B899D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C25552-0C22-4C80-A9D0-284DC301C0E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A5344EF-E152-4E4F-AF42-4C6EDEDAAAD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CAD6B1-4E49-42D8-814B-DE4A81B2C74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2BEEC70-35B6-43FE-AB4E-DE51ABFA6DC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9777A9-C935-4BEB-BC2C-2F8B098E11D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F2964A-BEF5-4AC7-A906-6F32C09B441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885209-E8BA-44E5-9034-7BA16F209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D5CBEA-F18A-4444-822A-0F15F7A9B72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1EBEA0-3421-47C1-9009-805421A95B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7069D1-745A-44CB-8CDD-76FC072D27D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4C119F-E1BE-457D-B55D-B9D57DB4159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8760857-6BEA-4296-8D7A-2C1AB9ABCE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C1B537-DCC8-4BBA-ACD2-E2B58730417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279886-3864-4464-AE56-4E34CA8D89C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8342FB-9FE0-48C0-B41E-DB784021B8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99FED4-8B4F-494D-AE10-8FDE7ACA573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B7151B-90FD-440D-BC49-7792A99E6E7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0DDAF2-8587-4636-B3AF-79E10A0147C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805AE2-E219-4169-A2CF-6354ECA317F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E24385-BE49-4CD0-BDF0-778CD8A78C5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47DCF2-FF3B-47A4-978E-DE9D42BCA37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2ADA2A-8A37-4064-A989-8EB6ECAE76E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A61F1B-F746-4C58-9924-04A42958C7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A5EF4A-7973-4F51-A41D-B56E9B6E78D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B82751-681E-4DA7-9392-50BA5EFF3E2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7D894E-8962-4D33-82E0-2A172908066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E3DEFE-E54F-423F-8F4C-5283F79C65A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8BF9B2B-9FC8-4E13-BD34-ECE586A0C8E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1A04C19-B728-4D4B-A18D-48F84D1E9A3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70B828-9172-4800-9B2F-33A52D1F88E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9C18EF-AB45-4DA6-9411-D52E31BB8A4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B6320-A016-4486-8B64-5CD0E878B6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AC8202-E65A-4C5B-9AF1-C5840AD6132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425E30-8E27-4B07-BDC7-3865B99EB84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A562EC-47F3-49E9-88D3-134AAD7EE89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70329A-C95C-48B8-A9FD-235642D398D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9B4661-81FD-4932-B3E8-30EA243DE08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27D7A9-53C5-4D50-B67D-06B0F4B0459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5B1009-4631-4EED-ABA9-387D6E7EF9A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D2A8DB-A0B9-48C2-8656-660DCBAF30D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600E75-0D52-453A-834F-97B3F936104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C73A70-4EBF-4327-A3EB-954F10AB6B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B1B20D-7F7F-4D7B-860B-858DE6378EC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E1AAE2-08C6-4672-9979-039958903C2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C4D194-D15B-4ABD-B959-0795AD63F1A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E8E80E-B162-41E1-971E-AF511BC796B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A386AB-AFDF-4954-96F1-7EF738989BE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68840C-12D1-41AC-A035-E3D03EEB8D5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36A7F8-7D28-4EF9-B6BA-54704022FB6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C42731-2686-4C0C-A480-0AB6D90EA55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manualLayout>
          <c:layoutTarget val="inner"/>
          <c:xMode val="edge"/>
          <c:yMode val="edge"/>
          <c:x val="0.177328836554416"/>
          <c:y val="1.9974577810059901E-2"/>
          <c:w val="0.79324506107465598"/>
          <c:h val="0.87471482901998987"/>
        </c:manualLayout>
      </c:layout>
      <c:barChart>
        <c:barDir val="bar"/>
        <c:grouping val="clustered"/>
        <c:varyColors val="0"/>
        <c:ser>
          <c:idx val="0"/>
          <c:order val="0"/>
          <c:tx>
            <c:strRef>
              <c:f>Coherence_Avg!$R$3:$R$4</c:f>
              <c:strCache>
                <c:ptCount val="1"/>
                <c:pt idx="0">
                  <c:v>Wider public</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F7C6-4AE1-962A-D8263B3224BC}"/>
              </c:ext>
            </c:extLst>
          </c:dPt>
          <c:dPt>
            <c:idx val="1"/>
            <c:invertIfNegative val="0"/>
            <c:bubble3D val="0"/>
            <c:extLst xmlns:c16r2="http://schemas.microsoft.com/office/drawing/2015/06/chart">
              <c:ext xmlns:c16="http://schemas.microsoft.com/office/drawing/2014/chart" uri="{C3380CC4-5D6E-409C-BE32-E72D297353CC}">
                <c16:uniqueId val="{00000001-F7C6-4AE1-962A-D8263B3224BC}"/>
              </c:ext>
            </c:extLst>
          </c:dPt>
          <c:dPt>
            <c:idx val="2"/>
            <c:invertIfNegative val="0"/>
            <c:bubble3D val="0"/>
            <c:extLst xmlns:c16r2="http://schemas.microsoft.com/office/drawing/2015/06/chart">
              <c:ext xmlns:c16="http://schemas.microsoft.com/office/drawing/2014/chart" uri="{C3380CC4-5D6E-409C-BE32-E72D297353CC}">
                <c16:uniqueId val="{00000002-F7C6-4AE1-962A-D8263B3224BC}"/>
              </c:ext>
            </c:extLst>
          </c:dPt>
          <c:dPt>
            <c:idx val="3"/>
            <c:invertIfNegative val="0"/>
            <c:bubble3D val="0"/>
            <c:extLst xmlns:c16r2="http://schemas.microsoft.com/office/drawing/2015/06/chart">
              <c:ext xmlns:c16="http://schemas.microsoft.com/office/drawing/2014/chart" uri="{C3380CC4-5D6E-409C-BE32-E72D297353CC}">
                <c16:uniqueId val="{00000003-F7C6-4AE1-962A-D8263B3224BC}"/>
              </c:ext>
            </c:extLst>
          </c:dPt>
          <c:dPt>
            <c:idx val="4"/>
            <c:invertIfNegative val="0"/>
            <c:bubble3D val="0"/>
            <c:extLst xmlns:c16r2="http://schemas.microsoft.com/office/drawing/2015/06/chart">
              <c:ext xmlns:c16="http://schemas.microsoft.com/office/drawing/2014/chart" uri="{C3380CC4-5D6E-409C-BE32-E72D297353CC}">
                <c16:uniqueId val="{00000004-F7C6-4AE1-962A-D8263B3224BC}"/>
              </c:ext>
            </c:extLst>
          </c:dPt>
          <c:dPt>
            <c:idx val="5"/>
            <c:invertIfNegative val="0"/>
            <c:bubble3D val="0"/>
            <c:extLst xmlns:c16r2="http://schemas.microsoft.com/office/drawing/2015/06/chart">
              <c:ext xmlns:c16="http://schemas.microsoft.com/office/drawing/2014/chart" uri="{C3380CC4-5D6E-409C-BE32-E72D297353CC}">
                <c16:uniqueId val="{00000005-F7C6-4AE1-962A-D8263B3224BC}"/>
              </c:ext>
            </c:extLst>
          </c:dPt>
          <c:dPt>
            <c:idx val="6"/>
            <c:invertIfNegative val="0"/>
            <c:bubble3D val="0"/>
            <c:extLst xmlns:c16r2="http://schemas.microsoft.com/office/drawing/2015/06/chart">
              <c:ext xmlns:c16="http://schemas.microsoft.com/office/drawing/2014/chart" uri="{C3380CC4-5D6E-409C-BE32-E72D297353CC}">
                <c16:uniqueId val="{00000006-F7C6-4AE1-962A-D8263B3224BC}"/>
              </c:ext>
            </c:extLst>
          </c:dPt>
          <c:dPt>
            <c:idx val="7"/>
            <c:invertIfNegative val="0"/>
            <c:bubble3D val="0"/>
            <c:extLst xmlns:c16r2="http://schemas.microsoft.com/office/drawing/2015/06/chart">
              <c:ext xmlns:c16="http://schemas.microsoft.com/office/drawing/2014/chart" uri="{C3380CC4-5D6E-409C-BE32-E72D297353CC}">
                <c16:uniqueId val="{00000007-F7C6-4AE1-962A-D8263B3224BC}"/>
              </c:ext>
            </c:extLst>
          </c:dPt>
          <c:dPt>
            <c:idx val="8"/>
            <c:invertIfNegative val="0"/>
            <c:bubble3D val="0"/>
            <c:extLst xmlns:c16r2="http://schemas.microsoft.com/office/drawing/2015/06/chart">
              <c:ext xmlns:c16="http://schemas.microsoft.com/office/drawing/2014/chart" uri="{C3380CC4-5D6E-409C-BE32-E72D297353CC}">
                <c16:uniqueId val="{00000008-F7C6-4AE1-962A-D8263B3224BC}"/>
              </c:ext>
            </c:extLst>
          </c:dPt>
          <c:dPt>
            <c:idx val="9"/>
            <c:invertIfNegative val="0"/>
            <c:bubble3D val="0"/>
            <c:extLst xmlns:c16r2="http://schemas.microsoft.com/office/drawing/2015/06/chart">
              <c:ext xmlns:c16="http://schemas.microsoft.com/office/drawing/2014/chart" uri="{C3380CC4-5D6E-409C-BE32-E72D297353CC}">
                <c16:uniqueId val="{00000009-F7C6-4AE1-962A-D8263B3224BC}"/>
              </c:ext>
            </c:extLst>
          </c:dPt>
          <c:dLbls>
            <c:dLbl>
              <c:idx val="0"/>
              <c:tx>
                <c:rich>
                  <a:bodyPr/>
                  <a:lstStyle/>
                  <a:p>
                    <a:fld id="{F1E34C37-DD41-4322-8000-355C7E6C46CD}"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F7C6-4AE1-962A-D8263B3224BC}"/>
                </c:ext>
              </c:extLst>
            </c:dLbl>
            <c:dLbl>
              <c:idx val="1"/>
              <c:tx>
                <c:rich>
                  <a:bodyPr/>
                  <a:lstStyle/>
                  <a:p>
                    <a:fld id="{3EACE7D2-1936-4EA2-BEC6-269AE933335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F7C6-4AE1-962A-D8263B3224BC}"/>
                </c:ext>
              </c:extLst>
            </c:dLbl>
            <c:dLbl>
              <c:idx val="2"/>
              <c:tx>
                <c:rich>
                  <a:bodyPr/>
                  <a:lstStyle/>
                  <a:p>
                    <a:fld id="{0D3112E8-8C6F-4849-95B2-9989D69A8B9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F7C6-4AE1-962A-D8263B3224BC}"/>
                </c:ext>
              </c:extLst>
            </c:dLbl>
            <c:dLbl>
              <c:idx val="3"/>
              <c:tx>
                <c:rich>
                  <a:bodyPr/>
                  <a:lstStyle/>
                  <a:p>
                    <a:fld id="{66B5D80E-261E-4410-8FF5-458460E59BF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F7C6-4AE1-962A-D8263B3224BC}"/>
                </c:ext>
              </c:extLst>
            </c:dLbl>
            <c:dLbl>
              <c:idx val="4"/>
              <c:tx>
                <c:rich>
                  <a:bodyPr/>
                  <a:lstStyle/>
                  <a:p>
                    <a:fld id="{9C780901-EF67-4FC6-8D08-AEEAB424B42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F7C6-4AE1-962A-D8263B3224BC}"/>
                </c:ext>
              </c:extLst>
            </c:dLbl>
            <c:dLbl>
              <c:idx val="5"/>
              <c:tx>
                <c:rich>
                  <a:bodyPr/>
                  <a:lstStyle/>
                  <a:p>
                    <a:fld id="{1532C533-139C-4E1C-A297-9F632A12466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F7C6-4AE1-962A-D8263B3224BC}"/>
                </c:ext>
              </c:extLst>
            </c:dLbl>
            <c:dLbl>
              <c:idx val="6"/>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7C6-4AE1-962A-D8263B3224BC}"/>
                </c:ext>
              </c:extLst>
            </c:dLbl>
            <c:dLbl>
              <c:idx val="7"/>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7C6-4AE1-962A-D8263B3224BC}"/>
                </c:ext>
              </c:extLst>
            </c:dLbl>
            <c:dLbl>
              <c:idx val="8"/>
              <c:tx>
                <c:rich>
                  <a:bodyPr/>
                  <a:lstStyle/>
                  <a:p>
                    <a:fld id="{4B5ADCF2-89E9-46BA-9EA9-DF39D3DDF7B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F7C6-4AE1-962A-D8263B3224BC}"/>
                </c:ext>
              </c:extLst>
            </c:dLbl>
            <c:dLbl>
              <c:idx val="9"/>
              <c:tx>
                <c:rich>
                  <a:bodyPr/>
                  <a:lstStyle/>
                  <a:p>
                    <a:fld id="{F26F71C4-58C2-474B-A84E-CD9121CC834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F7C6-4AE1-962A-D8263B3224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Coherence_Avg!$R$5:$R$21</c:f>
              <c:numCache>
                <c:formatCode>General</c:formatCode>
                <c:ptCount val="10"/>
                <c:pt idx="0">
                  <c:v>4.2</c:v>
                </c:pt>
                <c:pt idx="1">
                  <c:v>2</c:v>
                </c:pt>
                <c:pt idx="2">
                  <c:v>3</c:v>
                </c:pt>
                <c:pt idx="3">
                  <c:v>2</c:v>
                </c:pt>
                <c:pt idx="4">
                  <c:v>3.5555555555555554</c:v>
                </c:pt>
                <c:pt idx="5">
                  <c:v>2.3333333333333335</c:v>
                </c:pt>
                <c:pt idx="6">
                  <c:v>#N/A</c:v>
                </c:pt>
                <c:pt idx="7">
                  <c:v>#N/A</c:v>
                </c:pt>
                <c:pt idx="8">
                  <c:v>3.9333333333333331</c:v>
                </c:pt>
                <c:pt idx="9">
                  <c:v>2.9230769230769229</c:v>
                </c:pt>
              </c:numCache>
            </c:numRef>
          </c:val>
          <c:extLst xmlns:c16r2="http://schemas.microsoft.com/office/drawing/2015/06/chart">
            <c:ext xmlns:c15="http://schemas.microsoft.com/office/drawing/2012/chart" uri="{02D57815-91ED-43cb-92C2-25804820EDAC}">
              <c15:datalabelsRange>
                <c15:f>Coherence_Avg!$R$42:$R$51</c15:f>
                <c15:dlblRangeCache>
                  <c:ptCount val="10"/>
                  <c:pt idx="0">
                    <c:v>4.20 (3)</c:v>
                  </c:pt>
                  <c:pt idx="1">
                    <c:v>2.00 (2)</c:v>
                  </c:pt>
                  <c:pt idx="2">
                    <c:v>3.00 (6)</c:v>
                  </c:pt>
                  <c:pt idx="3">
                    <c:v>2.00 (5)</c:v>
                  </c:pt>
                  <c:pt idx="4">
                    <c:v>3.56 (12)</c:v>
                  </c:pt>
                  <c:pt idx="5">
                    <c:v>2.33 (9)</c:v>
                  </c:pt>
                  <c:pt idx="8">
                    <c:v>3.93 (11)</c:v>
                  </c:pt>
                  <c:pt idx="9">
                    <c:v>2.92 (9)</c:v>
                  </c:pt>
                </c15:dlblRangeCache>
              </c15:datalabelsRange>
            </c:ext>
            <c:ext xmlns:c16="http://schemas.microsoft.com/office/drawing/2014/chart" uri="{C3380CC4-5D6E-409C-BE32-E72D297353CC}">
              <c16:uniqueId val="{0000000A-F7C6-4AE1-962A-D8263B3224BC}"/>
            </c:ext>
          </c:extLst>
        </c:ser>
        <c:ser>
          <c:idx val="1"/>
          <c:order val="1"/>
          <c:tx>
            <c:strRef>
              <c:f>Coherence_Avg!$S$3:$S$4</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B-F7C6-4AE1-962A-D8263B3224BC}"/>
              </c:ext>
            </c:extLst>
          </c:dPt>
          <c:dPt>
            <c:idx val="1"/>
            <c:invertIfNegative val="0"/>
            <c:bubble3D val="0"/>
            <c:extLst xmlns:c16r2="http://schemas.microsoft.com/office/drawing/2015/06/chart">
              <c:ext xmlns:c16="http://schemas.microsoft.com/office/drawing/2014/chart" uri="{C3380CC4-5D6E-409C-BE32-E72D297353CC}">
                <c16:uniqueId val="{0000000C-F7C6-4AE1-962A-D8263B3224BC}"/>
              </c:ext>
            </c:extLst>
          </c:dPt>
          <c:dPt>
            <c:idx val="2"/>
            <c:invertIfNegative val="0"/>
            <c:bubble3D val="0"/>
            <c:extLst xmlns:c16r2="http://schemas.microsoft.com/office/drawing/2015/06/chart">
              <c:ext xmlns:c16="http://schemas.microsoft.com/office/drawing/2014/chart" uri="{C3380CC4-5D6E-409C-BE32-E72D297353CC}">
                <c16:uniqueId val="{0000000D-F7C6-4AE1-962A-D8263B3224BC}"/>
              </c:ext>
            </c:extLst>
          </c:dPt>
          <c:dPt>
            <c:idx val="3"/>
            <c:invertIfNegative val="0"/>
            <c:bubble3D val="0"/>
            <c:extLst xmlns:c16r2="http://schemas.microsoft.com/office/drawing/2015/06/chart">
              <c:ext xmlns:c16="http://schemas.microsoft.com/office/drawing/2014/chart" uri="{C3380CC4-5D6E-409C-BE32-E72D297353CC}">
                <c16:uniqueId val="{0000000E-F7C6-4AE1-962A-D8263B3224BC}"/>
              </c:ext>
            </c:extLst>
          </c:dPt>
          <c:dPt>
            <c:idx val="4"/>
            <c:invertIfNegative val="0"/>
            <c:bubble3D val="0"/>
            <c:extLst xmlns:c16r2="http://schemas.microsoft.com/office/drawing/2015/06/chart">
              <c:ext xmlns:c16="http://schemas.microsoft.com/office/drawing/2014/chart" uri="{C3380CC4-5D6E-409C-BE32-E72D297353CC}">
                <c16:uniqueId val="{0000000F-F7C6-4AE1-962A-D8263B3224BC}"/>
              </c:ext>
            </c:extLst>
          </c:dPt>
          <c:dPt>
            <c:idx val="5"/>
            <c:invertIfNegative val="0"/>
            <c:bubble3D val="0"/>
            <c:extLst xmlns:c16r2="http://schemas.microsoft.com/office/drawing/2015/06/chart">
              <c:ext xmlns:c16="http://schemas.microsoft.com/office/drawing/2014/chart" uri="{C3380CC4-5D6E-409C-BE32-E72D297353CC}">
                <c16:uniqueId val="{00000010-F7C6-4AE1-962A-D8263B3224BC}"/>
              </c:ext>
            </c:extLst>
          </c:dPt>
          <c:dPt>
            <c:idx val="6"/>
            <c:invertIfNegative val="0"/>
            <c:bubble3D val="0"/>
            <c:extLst xmlns:c16r2="http://schemas.microsoft.com/office/drawing/2015/06/chart">
              <c:ext xmlns:c16="http://schemas.microsoft.com/office/drawing/2014/chart" uri="{C3380CC4-5D6E-409C-BE32-E72D297353CC}">
                <c16:uniqueId val="{00000011-F7C6-4AE1-962A-D8263B3224BC}"/>
              </c:ext>
            </c:extLst>
          </c:dPt>
          <c:dPt>
            <c:idx val="7"/>
            <c:invertIfNegative val="0"/>
            <c:bubble3D val="0"/>
            <c:extLst xmlns:c16r2="http://schemas.microsoft.com/office/drawing/2015/06/chart">
              <c:ext xmlns:c16="http://schemas.microsoft.com/office/drawing/2014/chart" uri="{C3380CC4-5D6E-409C-BE32-E72D297353CC}">
                <c16:uniqueId val="{00000012-F7C6-4AE1-962A-D8263B3224BC}"/>
              </c:ext>
            </c:extLst>
          </c:dPt>
          <c:dPt>
            <c:idx val="8"/>
            <c:invertIfNegative val="0"/>
            <c:bubble3D val="0"/>
            <c:extLst xmlns:c16r2="http://schemas.microsoft.com/office/drawing/2015/06/chart">
              <c:ext xmlns:c16="http://schemas.microsoft.com/office/drawing/2014/chart" uri="{C3380CC4-5D6E-409C-BE32-E72D297353CC}">
                <c16:uniqueId val="{00000013-F7C6-4AE1-962A-D8263B3224BC}"/>
              </c:ext>
            </c:extLst>
          </c:dPt>
          <c:dPt>
            <c:idx val="9"/>
            <c:invertIfNegative val="0"/>
            <c:bubble3D val="0"/>
            <c:extLst xmlns:c16r2="http://schemas.microsoft.com/office/drawing/2015/06/chart">
              <c:ext xmlns:c16="http://schemas.microsoft.com/office/drawing/2014/chart" uri="{C3380CC4-5D6E-409C-BE32-E72D297353CC}">
                <c16:uniqueId val="{00000014-F7C6-4AE1-962A-D8263B3224BC}"/>
              </c:ext>
            </c:extLst>
          </c:dPt>
          <c:dLbls>
            <c:dLbl>
              <c:idx val="0"/>
              <c:tx>
                <c:rich>
                  <a:bodyPr/>
                  <a:lstStyle/>
                  <a:p>
                    <a:fld id="{BDA8EA2D-B9DC-4E72-A326-FB3967C8A04E}"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B-F7C6-4AE1-962A-D8263B3224BC}"/>
                </c:ext>
              </c:extLst>
            </c:dLbl>
            <c:dLbl>
              <c:idx val="1"/>
              <c:tx>
                <c:rich>
                  <a:bodyPr/>
                  <a:lstStyle/>
                  <a:p>
                    <a:fld id="{D407BB2A-8674-4626-822B-78EF6576BEA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F7C6-4AE1-962A-D8263B3224BC}"/>
                </c:ext>
              </c:extLst>
            </c:dLbl>
            <c:dLbl>
              <c:idx val="2"/>
              <c:tx>
                <c:rich>
                  <a:bodyPr/>
                  <a:lstStyle/>
                  <a:p>
                    <a:fld id="{8D554FFE-2083-4053-A2CD-F49457B2FE8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F7C6-4AE1-962A-D8263B3224BC}"/>
                </c:ext>
              </c:extLst>
            </c:dLbl>
            <c:dLbl>
              <c:idx val="3"/>
              <c:tx>
                <c:rich>
                  <a:bodyPr/>
                  <a:lstStyle/>
                  <a:p>
                    <a:fld id="{1CE41757-C59C-44EA-90AD-D7C022D873F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F7C6-4AE1-962A-D8263B3224BC}"/>
                </c:ext>
              </c:extLst>
            </c:dLbl>
            <c:dLbl>
              <c:idx val="4"/>
              <c:tx>
                <c:rich>
                  <a:bodyPr/>
                  <a:lstStyle/>
                  <a:p>
                    <a:fld id="{01AD025E-5F1A-4BDF-A73E-52B1D871233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F7C6-4AE1-962A-D8263B3224BC}"/>
                </c:ext>
              </c:extLst>
            </c:dLbl>
            <c:dLbl>
              <c:idx val="5"/>
              <c:tx>
                <c:rich>
                  <a:bodyPr/>
                  <a:lstStyle/>
                  <a:p>
                    <a:fld id="{B6D1A13A-DC06-433E-8D55-A515123D0CC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F7C6-4AE1-962A-D8263B3224BC}"/>
                </c:ext>
              </c:extLst>
            </c:dLbl>
            <c:dLbl>
              <c:idx val="6"/>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F7C6-4AE1-962A-D8263B3224BC}"/>
                </c:ext>
              </c:extLst>
            </c:dLbl>
            <c:dLbl>
              <c:idx val="7"/>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F7C6-4AE1-962A-D8263B3224BC}"/>
                </c:ext>
              </c:extLst>
            </c:dLbl>
            <c:dLbl>
              <c:idx val="8"/>
              <c:tx>
                <c:rich>
                  <a:bodyPr/>
                  <a:lstStyle/>
                  <a:p>
                    <a:fld id="{07B0464F-7131-49D9-A35B-0E0491C38EE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F7C6-4AE1-962A-D8263B3224BC}"/>
                </c:ext>
              </c:extLst>
            </c:dLbl>
            <c:dLbl>
              <c:idx val="9"/>
              <c:tx>
                <c:rich>
                  <a:bodyPr/>
                  <a:lstStyle/>
                  <a:p>
                    <a:fld id="{74A76AE0-7B7A-44D2-85C7-D933E229CCE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F7C6-4AE1-962A-D8263B3224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Coherence_Avg!$S$5:$S$21</c:f>
              <c:numCache>
                <c:formatCode>General</c:formatCode>
                <c:ptCount val="10"/>
                <c:pt idx="0">
                  <c:v>3.75</c:v>
                </c:pt>
                <c:pt idx="1">
                  <c:v>1.5</c:v>
                </c:pt>
                <c:pt idx="2">
                  <c:v>3.6666666666666665</c:v>
                </c:pt>
                <c:pt idx="3">
                  <c:v>1</c:v>
                </c:pt>
                <c:pt idx="4">
                  <c:v>4</c:v>
                </c:pt>
                <c:pt idx="5">
                  <c:v>2</c:v>
                </c:pt>
                <c:pt idx="6">
                  <c:v>#N/A</c:v>
                </c:pt>
                <c:pt idx="7">
                  <c:v>#N/A</c:v>
                </c:pt>
                <c:pt idx="8">
                  <c:v>4</c:v>
                </c:pt>
                <c:pt idx="9">
                  <c:v>2</c:v>
                </c:pt>
              </c:numCache>
            </c:numRef>
          </c:val>
          <c:extLst xmlns:c16r2="http://schemas.microsoft.com/office/drawing/2015/06/chart">
            <c:ext xmlns:c15="http://schemas.microsoft.com/office/drawing/2012/chart" uri="{02D57815-91ED-43cb-92C2-25804820EDAC}">
              <c15:datalabelsRange>
                <c15:f>Coherence_Avg!$S$42:$S$51</c15:f>
                <c15:dlblRangeCache>
                  <c:ptCount val="10"/>
                  <c:pt idx="0">
                    <c:v>3.75 (4)</c:v>
                  </c:pt>
                  <c:pt idx="1">
                    <c:v>1.50 (4)</c:v>
                  </c:pt>
                  <c:pt idx="2">
                    <c:v>3.67 (3)</c:v>
                  </c:pt>
                  <c:pt idx="3">
                    <c:v>1.00 (2)</c:v>
                  </c:pt>
                  <c:pt idx="4">
                    <c:v>4.00 (1)</c:v>
                  </c:pt>
                  <c:pt idx="5">
                    <c:v>2.00 (1)</c:v>
                  </c:pt>
                  <c:pt idx="8">
                    <c:v>4.00 (1)</c:v>
                  </c:pt>
                  <c:pt idx="9">
                    <c:v>2.00 (1)</c:v>
                  </c:pt>
                </c15:dlblRangeCache>
              </c15:datalabelsRange>
            </c:ext>
            <c:ext xmlns:c16="http://schemas.microsoft.com/office/drawing/2014/chart" uri="{C3380CC4-5D6E-409C-BE32-E72D297353CC}">
              <c16:uniqueId val="{00000015-F7C6-4AE1-962A-D8263B3224BC}"/>
            </c:ext>
          </c:extLst>
        </c:ser>
        <c:ser>
          <c:idx val="2"/>
          <c:order val="2"/>
          <c:tx>
            <c:strRef>
              <c:f>Coherence_Avg!$T$3:$T$4</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6-F7C6-4AE1-962A-D8263B3224BC}"/>
              </c:ext>
            </c:extLst>
          </c:dPt>
          <c:dPt>
            <c:idx val="1"/>
            <c:invertIfNegative val="0"/>
            <c:bubble3D val="0"/>
            <c:extLst xmlns:c16r2="http://schemas.microsoft.com/office/drawing/2015/06/chart">
              <c:ext xmlns:c16="http://schemas.microsoft.com/office/drawing/2014/chart" uri="{C3380CC4-5D6E-409C-BE32-E72D297353CC}">
                <c16:uniqueId val="{00000017-F7C6-4AE1-962A-D8263B3224BC}"/>
              </c:ext>
            </c:extLst>
          </c:dPt>
          <c:dPt>
            <c:idx val="2"/>
            <c:invertIfNegative val="0"/>
            <c:bubble3D val="0"/>
            <c:extLst xmlns:c16r2="http://schemas.microsoft.com/office/drawing/2015/06/chart">
              <c:ext xmlns:c16="http://schemas.microsoft.com/office/drawing/2014/chart" uri="{C3380CC4-5D6E-409C-BE32-E72D297353CC}">
                <c16:uniqueId val="{00000018-F7C6-4AE1-962A-D8263B3224BC}"/>
              </c:ext>
            </c:extLst>
          </c:dPt>
          <c:dPt>
            <c:idx val="3"/>
            <c:invertIfNegative val="0"/>
            <c:bubble3D val="0"/>
            <c:extLst xmlns:c16r2="http://schemas.microsoft.com/office/drawing/2015/06/chart">
              <c:ext xmlns:c16="http://schemas.microsoft.com/office/drawing/2014/chart" uri="{C3380CC4-5D6E-409C-BE32-E72D297353CC}">
                <c16:uniqueId val="{00000019-F7C6-4AE1-962A-D8263B3224BC}"/>
              </c:ext>
            </c:extLst>
          </c:dPt>
          <c:dPt>
            <c:idx val="4"/>
            <c:invertIfNegative val="0"/>
            <c:bubble3D val="0"/>
            <c:extLst xmlns:c16r2="http://schemas.microsoft.com/office/drawing/2015/06/chart">
              <c:ext xmlns:c16="http://schemas.microsoft.com/office/drawing/2014/chart" uri="{C3380CC4-5D6E-409C-BE32-E72D297353CC}">
                <c16:uniqueId val="{0000001A-F7C6-4AE1-962A-D8263B3224BC}"/>
              </c:ext>
            </c:extLst>
          </c:dPt>
          <c:dPt>
            <c:idx val="5"/>
            <c:invertIfNegative val="0"/>
            <c:bubble3D val="0"/>
            <c:extLst xmlns:c16r2="http://schemas.microsoft.com/office/drawing/2015/06/chart">
              <c:ext xmlns:c16="http://schemas.microsoft.com/office/drawing/2014/chart" uri="{C3380CC4-5D6E-409C-BE32-E72D297353CC}">
                <c16:uniqueId val="{0000001B-F7C6-4AE1-962A-D8263B3224BC}"/>
              </c:ext>
            </c:extLst>
          </c:dPt>
          <c:dPt>
            <c:idx val="6"/>
            <c:invertIfNegative val="0"/>
            <c:bubble3D val="0"/>
            <c:extLst xmlns:c16r2="http://schemas.microsoft.com/office/drawing/2015/06/chart">
              <c:ext xmlns:c16="http://schemas.microsoft.com/office/drawing/2014/chart" uri="{C3380CC4-5D6E-409C-BE32-E72D297353CC}">
                <c16:uniqueId val="{0000001C-F7C6-4AE1-962A-D8263B3224BC}"/>
              </c:ext>
            </c:extLst>
          </c:dPt>
          <c:dPt>
            <c:idx val="7"/>
            <c:invertIfNegative val="0"/>
            <c:bubble3D val="0"/>
            <c:extLst xmlns:c16r2="http://schemas.microsoft.com/office/drawing/2015/06/chart">
              <c:ext xmlns:c16="http://schemas.microsoft.com/office/drawing/2014/chart" uri="{C3380CC4-5D6E-409C-BE32-E72D297353CC}">
                <c16:uniqueId val="{0000001D-F7C6-4AE1-962A-D8263B3224BC}"/>
              </c:ext>
            </c:extLst>
          </c:dPt>
          <c:dPt>
            <c:idx val="8"/>
            <c:invertIfNegative val="0"/>
            <c:bubble3D val="0"/>
            <c:extLst xmlns:c16r2="http://schemas.microsoft.com/office/drawing/2015/06/chart">
              <c:ext xmlns:c16="http://schemas.microsoft.com/office/drawing/2014/chart" uri="{C3380CC4-5D6E-409C-BE32-E72D297353CC}">
                <c16:uniqueId val="{0000001E-F7C6-4AE1-962A-D8263B3224BC}"/>
              </c:ext>
            </c:extLst>
          </c:dPt>
          <c:dPt>
            <c:idx val="9"/>
            <c:invertIfNegative val="0"/>
            <c:bubble3D val="0"/>
            <c:extLst xmlns:c16r2="http://schemas.microsoft.com/office/drawing/2015/06/chart">
              <c:ext xmlns:c16="http://schemas.microsoft.com/office/drawing/2014/chart" uri="{C3380CC4-5D6E-409C-BE32-E72D297353CC}">
                <c16:uniqueId val="{0000001F-F7C6-4AE1-962A-D8263B3224BC}"/>
              </c:ext>
            </c:extLst>
          </c:dPt>
          <c:dLbls>
            <c:dLbl>
              <c:idx val="0"/>
              <c:tx>
                <c:rich>
                  <a:bodyPr/>
                  <a:lstStyle/>
                  <a:p>
                    <a:fld id="{F984CB75-81DB-47B6-B2F7-52A2DF33BDCB}"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6-F7C6-4AE1-962A-D8263B3224BC}"/>
                </c:ext>
              </c:extLst>
            </c:dLbl>
            <c:dLbl>
              <c:idx val="1"/>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F7C6-4AE1-962A-D8263B3224BC}"/>
                </c:ext>
              </c:extLst>
            </c:dLbl>
            <c:dLbl>
              <c:idx val="2"/>
              <c:tx>
                <c:rich>
                  <a:bodyPr/>
                  <a:lstStyle/>
                  <a:p>
                    <a:fld id="{9BD6E587-6E17-4674-8CDB-0AFD97D2881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F7C6-4AE1-962A-D8263B3224BC}"/>
                </c:ext>
              </c:extLst>
            </c:dLbl>
            <c:dLbl>
              <c:idx val="3"/>
              <c:tx>
                <c:rich>
                  <a:bodyPr/>
                  <a:lstStyle/>
                  <a:p>
                    <a:fld id="{906B145E-B55C-43E9-A108-38C097B08B5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F7C6-4AE1-962A-D8263B3224BC}"/>
                </c:ext>
              </c:extLst>
            </c:dLbl>
            <c:dLbl>
              <c:idx val="4"/>
              <c:tx>
                <c:rich>
                  <a:bodyPr/>
                  <a:lstStyle/>
                  <a:p>
                    <a:fld id="{F98C42C3-EF0C-44C3-A270-B91D1695B54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F7C6-4AE1-962A-D8263B3224BC}"/>
                </c:ext>
              </c:extLst>
            </c:dLbl>
            <c:dLbl>
              <c:idx val="5"/>
              <c:tx>
                <c:rich>
                  <a:bodyPr/>
                  <a:lstStyle/>
                  <a:p>
                    <a:fld id="{2F55CACA-CBF4-45B4-A6FD-FFDCD24EDD0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F7C6-4AE1-962A-D8263B3224BC}"/>
                </c:ext>
              </c:extLst>
            </c:dLbl>
            <c:dLbl>
              <c:idx val="6"/>
              <c:tx>
                <c:rich>
                  <a:bodyPr/>
                  <a:lstStyle/>
                  <a:p>
                    <a:fld id="{52ED6C67-8B92-42D3-AD7C-5FB75B4E87E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F7C6-4AE1-962A-D8263B3224BC}"/>
                </c:ext>
              </c:extLst>
            </c:dLbl>
            <c:dLbl>
              <c:idx val="7"/>
              <c:tx>
                <c:rich>
                  <a:bodyPr/>
                  <a:lstStyle/>
                  <a:p>
                    <a:fld id="{A1246C06-7ADB-4361-99F1-E9307064872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F7C6-4AE1-962A-D8263B3224BC}"/>
                </c:ext>
              </c:extLst>
            </c:dLbl>
            <c:dLbl>
              <c:idx val="8"/>
              <c:tx>
                <c:rich>
                  <a:bodyPr/>
                  <a:lstStyle/>
                  <a:p>
                    <a:fld id="{BD6C6ADD-F8E0-4469-835B-A4306727A64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F7C6-4AE1-962A-D8263B3224BC}"/>
                </c:ext>
              </c:extLst>
            </c:dLbl>
            <c:dLbl>
              <c:idx val="9"/>
              <c:tx>
                <c:rich>
                  <a:bodyPr/>
                  <a:lstStyle/>
                  <a:p>
                    <a:fld id="{CF9ED19C-EAA6-4692-9562-2B56CE6E5EF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F7C6-4AE1-962A-D8263B3224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Coherence_Avg!$T$5:$T$21</c:f>
              <c:numCache>
                <c:formatCode>General</c:formatCode>
                <c:ptCount val="10"/>
                <c:pt idx="0">
                  <c:v>4</c:v>
                </c:pt>
                <c:pt idx="1">
                  <c:v>#N/A</c:v>
                </c:pt>
                <c:pt idx="2">
                  <c:v>3.5</c:v>
                </c:pt>
                <c:pt idx="3">
                  <c:v>2.75</c:v>
                </c:pt>
                <c:pt idx="4">
                  <c:v>3.6666666666666665</c:v>
                </c:pt>
                <c:pt idx="5">
                  <c:v>2.25</c:v>
                </c:pt>
                <c:pt idx="6">
                  <c:v>3</c:v>
                </c:pt>
                <c:pt idx="7">
                  <c:v>2.8</c:v>
                </c:pt>
                <c:pt idx="8">
                  <c:v>4.2</c:v>
                </c:pt>
                <c:pt idx="9">
                  <c:v>3.0769230769230771</c:v>
                </c:pt>
              </c:numCache>
            </c:numRef>
          </c:val>
          <c:extLst xmlns:c16r2="http://schemas.microsoft.com/office/drawing/2015/06/chart">
            <c:ext xmlns:c15="http://schemas.microsoft.com/office/drawing/2012/chart" uri="{02D57815-91ED-43cb-92C2-25804820EDAC}">
              <c15:datalabelsRange>
                <c15:f>Coherence_Avg!$T$42:$T$51</c15:f>
                <c15:dlblRangeCache>
                  <c:ptCount val="10"/>
                  <c:pt idx="0">
                    <c:v>4.00 (1)</c:v>
                  </c:pt>
                  <c:pt idx="2">
                    <c:v>3.50 (6)</c:v>
                  </c:pt>
                  <c:pt idx="3">
                    <c:v>2.75 (4)</c:v>
                  </c:pt>
                  <c:pt idx="4">
                    <c:v>3.67 (15)</c:v>
                  </c:pt>
                  <c:pt idx="5">
                    <c:v>2.25 (12)</c:v>
                  </c:pt>
                  <c:pt idx="6">
                    <c:v>3.00 (6)</c:v>
                  </c:pt>
                  <c:pt idx="7">
                    <c:v>2.80 (5)</c:v>
                  </c:pt>
                  <c:pt idx="8">
                    <c:v>4.20 (15)</c:v>
                  </c:pt>
                  <c:pt idx="9">
                    <c:v>3.08 (13)</c:v>
                  </c:pt>
                </c15:dlblRangeCache>
              </c15:datalabelsRange>
            </c:ext>
            <c:ext xmlns:c16="http://schemas.microsoft.com/office/drawing/2014/chart" uri="{C3380CC4-5D6E-409C-BE32-E72D297353CC}">
              <c16:uniqueId val="{00000020-F7C6-4AE1-962A-D8263B3224BC}"/>
            </c:ext>
          </c:extLst>
        </c:ser>
        <c:ser>
          <c:idx val="3"/>
          <c:order val="3"/>
          <c:tx>
            <c:strRef>
              <c:f>Coherence_Avg!$U$3:$U$4</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21-F7C6-4AE1-962A-D8263B3224BC}"/>
              </c:ext>
            </c:extLst>
          </c:dPt>
          <c:dPt>
            <c:idx val="1"/>
            <c:invertIfNegative val="0"/>
            <c:bubble3D val="0"/>
            <c:extLst xmlns:c16r2="http://schemas.microsoft.com/office/drawing/2015/06/chart">
              <c:ext xmlns:c16="http://schemas.microsoft.com/office/drawing/2014/chart" uri="{C3380CC4-5D6E-409C-BE32-E72D297353CC}">
                <c16:uniqueId val="{00000022-F7C6-4AE1-962A-D8263B3224BC}"/>
              </c:ext>
            </c:extLst>
          </c:dPt>
          <c:dPt>
            <c:idx val="2"/>
            <c:invertIfNegative val="0"/>
            <c:bubble3D val="0"/>
            <c:extLst xmlns:c16r2="http://schemas.microsoft.com/office/drawing/2015/06/chart">
              <c:ext xmlns:c16="http://schemas.microsoft.com/office/drawing/2014/chart" uri="{C3380CC4-5D6E-409C-BE32-E72D297353CC}">
                <c16:uniqueId val="{00000023-F7C6-4AE1-962A-D8263B3224BC}"/>
              </c:ext>
            </c:extLst>
          </c:dPt>
          <c:dPt>
            <c:idx val="3"/>
            <c:invertIfNegative val="0"/>
            <c:bubble3D val="0"/>
            <c:extLst xmlns:c16r2="http://schemas.microsoft.com/office/drawing/2015/06/chart">
              <c:ext xmlns:c16="http://schemas.microsoft.com/office/drawing/2014/chart" uri="{C3380CC4-5D6E-409C-BE32-E72D297353CC}">
                <c16:uniqueId val="{00000024-F7C6-4AE1-962A-D8263B3224BC}"/>
              </c:ext>
            </c:extLst>
          </c:dPt>
          <c:dPt>
            <c:idx val="4"/>
            <c:invertIfNegative val="0"/>
            <c:bubble3D val="0"/>
            <c:extLst xmlns:c16r2="http://schemas.microsoft.com/office/drawing/2015/06/chart">
              <c:ext xmlns:c16="http://schemas.microsoft.com/office/drawing/2014/chart" uri="{C3380CC4-5D6E-409C-BE32-E72D297353CC}">
                <c16:uniqueId val="{00000025-F7C6-4AE1-962A-D8263B3224BC}"/>
              </c:ext>
            </c:extLst>
          </c:dPt>
          <c:dPt>
            <c:idx val="5"/>
            <c:invertIfNegative val="0"/>
            <c:bubble3D val="0"/>
            <c:extLst xmlns:c16r2="http://schemas.microsoft.com/office/drawing/2015/06/chart">
              <c:ext xmlns:c16="http://schemas.microsoft.com/office/drawing/2014/chart" uri="{C3380CC4-5D6E-409C-BE32-E72D297353CC}">
                <c16:uniqueId val="{00000026-F7C6-4AE1-962A-D8263B3224BC}"/>
              </c:ext>
            </c:extLst>
          </c:dPt>
          <c:dPt>
            <c:idx val="6"/>
            <c:invertIfNegative val="0"/>
            <c:bubble3D val="0"/>
            <c:extLst xmlns:c16r2="http://schemas.microsoft.com/office/drawing/2015/06/chart">
              <c:ext xmlns:c16="http://schemas.microsoft.com/office/drawing/2014/chart" uri="{C3380CC4-5D6E-409C-BE32-E72D297353CC}">
                <c16:uniqueId val="{00000027-F7C6-4AE1-962A-D8263B3224BC}"/>
              </c:ext>
            </c:extLst>
          </c:dPt>
          <c:dPt>
            <c:idx val="7"/>
            <c:invertIfNegative val="0"/>
            <c:bubble3D val="0"/>
            <c:extLst xmlns:c16r2="http://schemas.microsoft.com/office/drawing/2015/06/chart">
              <c:ext xmlns:c16="http://schemas.microsoft.com/office/drawing/2014/chart" uri="{C3380CC4-5D6E-409C-BE32-E72D297353CC}">
                <c16:uniqueId val="{00000028-F7C6-4AE1-962A-D8263B3224BC}"/>
              </c:ext>
            </c:extLst>
          </c:dPt>
          <c:dPt>
            <c:idx val="8"/>
            <c:invertIfNegative val="0"/>
            <c:bubble3D val="0"/>
            <c:extLst xmlns:c16r2="http://schemas.microsoft.com/office/drawing/2015/06/chart">
              <c:ext xmlns:c16="http://schemas.microsoft.com/office/drawing/2014/chart" uri="{C3380CC4-5D6E-409C-BE32-E72D297353CC}">
                <c16:uniqueId val="{00000029-F7C6-4AE1-962A-D8263B3224BC}"/>
              </c:ext>
            </c:extLst>
          </c:dPt>
          <c:dPt>
            <c:idx val="9"/>
            <c:invertIfNegative val="0"/>
            <c:bubble3D val="0"/>
            <c:extLst xmlns:c16r2="http://schemas.microsoft.com/office/drawing/2015/06/chart">
              <c:ext xmlns:c16="http://schemas.microsoft.com/office/drawing/2014/chart" uri="{C3380CC4-5D6E-409C-BE32-E72D297353CC}">
                <c16:uniqueId val="{0000002A-F7C6-4AE1-962A-D8263B3224BC}"/>
              </c:ext>
            </c:extLst>
          </c:dPt>
          <c:dLbls>
            <c:dLbl>
              <c:idx val="0"/>
              <c:tx>
                <c:rich>
                  <a:bodyPr/>
                  <a:lstStyle/>
                  <a:p>
                    <a:fld id="{8822F0C7-22CB-46F2-A09B-D217643A10B8}"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21-F7C6-4AE1-962A-D8263B3224BC}"/>
                </c:ext>
              </c:extLst>
            </c:dLbl>
            <c:dLbl>
              <c:idx val="1"/>
              <c:tx>
                <c:rich>
                  <a:bodyPr/>
                  <a:lstStyle/>
                  <a:p>
                    <a:fld id="{C35BACAF-519C-4D6D-ABEA-E21353F4F99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F7C6-4AE1-962A-D8263B3224BC}"/>
                </c:ext>
              </c:extLst>
            </c:dLbl>
            <c:dLbl>
              <c:idx val="2"/>
              <c:tx>
                <c:rich>
                  <a:bodyPr/>
                  <a:lstStyle/>
                  <a:p>
                    <a:fld id="{FA11CC78-2D74-4EFA-8A69-991BB640DB5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3-F7C6-4AE1-962A-D8263B3224BC}"/>
                </c:ext>
              </c:extLst>
            </c:dLbl>
            <c:dLbl>
              <c:idx val="3"/>
              <c:tx>
                <c:rich>
                  <a:bodyPr/>
                  <a:lstStyle/>
                  <a:p>
                    <a:fld id="{42A91B00-3C60-4AF7-92A3-C8C905BE816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4-F7C6-4AE1-962A-D8263B3224BC}"/>
                </c:ext>
              </c:extLst>
            </c:dLbl>
            <c:dLbl>
              <c:idx val="4"/>
              <c:tx>
                <c:rich>
                  <a:bodyPr/>
                  <a:lstStyle/>
                  <a:p>
                    <a:fld id="{F1FB4497-268F-4241-B180-377668D77D4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5-F7C6-4AE1-962A-D8263B3224BC}"/>
                </c:ext>
              </c:extLst>
            </c:dLbl>
            <c:dLbl>
              <c:idx val="5"/>
              <c:tx>
                <c:rich>
                  <a:bodyPr/>
                  <a:lstStyle/>
                  <a:p>
                    <a:fld id="{4A9D183F-9BAB-4703-8F94-14412D207FF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6-F7C6-4AE1-962A-D8263B3224BC}"/>
                </c:ext>
              </c:extLst>
            </c:dLbl>
            <c:dLbl>
              <c:idx val="6"/>
              <c:tx>
                <c:rich>
                  <a:bodyPr/>
                  <a:lstStyle/>
                  <a:p>
                    <a:fld id="{671E49B4-6620-42E7-A841-949BB7E61BB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7-F7C6-4AE1-962A-D8263B3224BC}"/>
                </c:ext>
              </c:extLst>
            </c:dLbl>
            <c:dLbl>
              <c:idx val="7"/>
              <c:tx>
                <c:rich>
                  <a:bodyPr/>
                  <a:lstStyle/>
                  <a:p>
                    <a:fld id="{3F158F8D-A26B-4E7A-AA52-732098BA51F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8-F7C6-4AE1-962A-D8263B3224BC}"/>
                </c:ext>
              </c:extLst>
            </c:dLbl>
            <c:dLbl>
              <c:idx val="8"/>
              <c:tx>
                <c:rich>
                  <a:bodyPr/>
                  <a:lstStyle/>
                  <a:p>
                    <a:fld id="{B581DAFF-CF1D-4096-9ED9-97D5AE508D8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9-F7C6-4AE1-962A-D8263B3224BC}"/>
                </c:ext>
              </c:extLst>
            </c:dLbl>
            <c:dLbl>
              <c:idx val="9"/>
              <c:tx>
                <c:rich>
                  <a:bodyPr/>
                  <a:lstStyle/>
                  <a:p>
                    <a:fld id="{4A3653EC-5787-4D38-BBCC-9200CE78269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A-F7C6-4AE1-962A-D8263B3224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Coherence_Avg!$U$5:$U$21</c:f>
              <c:numCache>
                <c:formatCode>General</c:formatCode>
                <c:ptCount val="10"/>
                <c:pt idx="0">
                  <c:v>3.25</c:v>
                </c:pt>
                <c:pt idx="1">
                  <c:v>2</c:v>
                </c:pt>
                <c:pt idx="2">
                  <c:v>3.5454545454545454</c:v>
                </c:pt>
                <c:pt idx="3">
                  <c:v>1.7142857142857142</c:v>
                </c:pt>
                <c:pt idx="4">
                  <c:v>3.375</c:v>
                </c:pt>
                <c:pt idx="5">
                  <c:v>2</c:v>
                </c:pt>
                <c:pt idx="6">
                  <c:v>3.375</c:v>
                </c:pt>
                <c:pt idx="7">
                  <c:v>1.6</c:v>
                </c:pt>
                <c:pt idx="8">
                  <c:v>4.1764705882352944</c:v>
                </c:pt>
                <c:pt idx="9">
                  <c:v>2.4666666666666668</c:v>
                </c:pt>
              </c:numCache>
            </c:numRef>
          </c:val>
          <c:extLst xmlns:c16r2="http://schemas.microsoft.com/office/drawing/2015/06/chart">
            <c:ext xmlns:c15="http://schemas.microsoft.com/office/drawing/2012/chart" uri="{02D57815-91ED-43cb-92C2-25804820EDAC}">
              <c15:datalabelsRange>
                <c15:f>Coherence_Avg!$U$42:$U$51</c15:f>
                <c15:dlblRangeCache>
                  <c:ptCount val="10"/>
                  <c:pt idx="0">
                    <c:v>3.25 (4)</c:v>
                  </c:pt>
                  <c:pt idx="1">
                    <c:v>2.00 (2)</c:v>
                  </c:pt>
                  <c:pt idx="2">
                    <c:v>3.55 (11)</c:v>
                  </c:pt>
                  <c:pt idx="3">
                    <c:v>1.71 (7)</c:v>
                  </c:pt>
                  <c:pt idx="4">
                    <c:v>3.38 (16)</c:v>
                  </c:pt>
                  <c:pt idx="5">
                    <c:v>2.00 (12)</c:v>
                  </c:pt>
                  <c:pt idx="6">
                    <c:v>3.38 (8)</c:v>
                  </c:pt>
                  <c:pt idx="7">
                    <c:v>1.60 (5)</c:v>
                  </c:pt>
                  <c:pt idx="8">
                    <c:v>4.18 (17)</c:v>
                  </c:pt>
                  <c:pt idx="9">
                    <c:v>2.47 (15)</c:v>
                  </c:pt>
                </c15:dlblRangeCache>
              </c15:datalabelsRange>
            </c:ext>
            <c:ext xmlns:c16="http://schemas.microsoft.com/office/drawing/2014/chart" uri="{C3380CC4-5D6E-409C-BE32-E72D297353CC}">
              <c16:uniqueId val="{0000002B-F7C6-4AE1-962A-D8263B3224BC}"/>
            </c:ext>
          </c:extLst>
        </c:ser>
        <c:ser>
          <c:idx val="4"/>
          <c:order val="4"/>
          <c:tx>
            <c:strRef>
              <c:f>Coherence_Avg!$V$3:$V$4</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2C-F7C6-4AE1-962A-D8263B3224BC}"/>
              </c:ext>
            </c:extLst>
          </c:dPt>
          <c:dPt>
            <c:idx val="1"/>
            <c:invertIfNegative val="0"/>
            <c:bubble3D val="0"/>
            <c:extLst xmlns:c16r2="http://schemas.microsoft.com/office/drawing/2015/06/chart">
              <c:ext xmlns:c16="http://schemas.microsoft.com/office/drawing/2014/chart" uri="{C3380CC4-5D6E-409C-BE32-E72D297353CC}">
                <c16:uniqueId val="{0000002D-F7C6-4AE1-962A-D8263B3224BC}"/>
              </c:ext>
            </c:extLst>
          </c:dPt>
          <c:dPt>
            <c:idx val="2"/>
            <c:invertIfNegative val="0"/>
            <c:bubble3D val="0"/>
            <c:extLst xmlns:c16r2="http://schemas.microsoft.com/office/drawing/2015/06/chart">
              <c:ext xmlns:c16="http://schemas.microsoft.com/office/drawing/2014/chart" uri="{C3380CC4-5D6E-409C-BE32-E72D297353CC}">
                <c16:uniqueId val="{0000002E-F7C6-4AE1-962A-D8263B3224BC}"/>
              </c:ext>
            </c:extLst>
          </c:dPt>
          <c:dPt>
            <c:idx val="3"/>
            <c:invertIfNegative val="0"/>
            <c:bubble3D val="0"/>
            <c:extLst xmlns:c16r2="http://schemas.microsoft.com/office/drawing/2015/06/chart">
              <c:ext xmlns:c16="http://schemas.microsoft.com/office/drawing/2014/chart" uri="{C3380CC4-5D6E-409C-BE32-E72D297353CC}">
                <c16:uniqueId val="{0000002F-F7C6-4AE1-962A-D8263B3224BC}"/>
              </c:ext>
            </c:extLst>
          </c:dPt>
          <c:dPt>
            <c:idx val="4"/>
            <c:invertIfNegative val="0"/>
            <c:bubble3D val="0"/>
            <c:extLst xmlns:c16r2="http://schemas.microsoft.com/office/drawing/2015/06/chart">
              <c:ext xmlns:c16="http://schemas.microsoft.com/office/drawing/2014/chart" uri="{C3380CC4-5D6E-409C-BE32-E72D297353CC}">
                <c16:uniqueId val="{00000030-F7C6-4AE1-962A-D8263B3224BC}"/>
              </c:ext>
            </c:extLst>
          </c:dPt>
          <c:dPt>
            <c:idx val="5"/>
            <c:invertIfNegative val="0"/>
            <c:bubble3D val="0"/>
            <c:extLst xmlns:c16r2="http://schemas.microsoft.com/office/drawing/2015/06/chart">
              <c:ext xmlns:c16="http://schemas.microsoft.com/office/drawing/2014/chart" uri="{C3380CC4-5D6E-409C-BE32-E72D297353CC}">
                <c16:uniqueId val="{00000031-F7C6-4AE1-962A-D8263B3224BC}"/>
              </c:ext>
            </c:extLst>
          </c:dPt>
          <c:dPt>
            <c:idx val="6"/>
            <c:invertIfNegative val="0"/>
            <c:bubble3D val="0"/>
            <c:extLst xmlns:c16r2="http://schemas.microsoft.com/office/drawing/2015/06/chart">
              <c:ext xmlns:c16="http://schemas.microsoft.com/office/drawing/2014/chart" uri="{C3380CC4-5D6E-409C-BE32-E72D297353CC}">
                <c16:uniqueId val="{00000032-F7C6-4AE1-962A-D8263B3224BC}"/>
              </c:ext>
            </c:extLst>
          </c:dPt>
          <c:dPt>
            <c:idx val="7"/>
            <c:invertIfNegative val="0"/>
            <c:bubble3D val="0"/>
            <c:extLst xmlns:c16r2="http://schemas.microsoft.com/office/drawing/2015/06/chart">
              <c:ext xmlns:c16="http://schemas.microsoft.com/office/drawing/2014/chart" uri="{C3380CC4-5D6E-409C-BE32-E72D297353CC}">
                <c16:uniqueId val="{00000033-F7C6-4AE1-962A-D8263B3224BC}"/>
              </c:ext>
            </c:extLst>
          </c:dPt>
          <c:dPt>
            <c:idx val="8"/>
            <c:invertIfNegative val="0"/>
            <c:bubble3D val="0"/>
            <c:extLst xmlns:c16r2="http://schemas.microsoft.com/office/drawing/2015/06/chart">
              <c:ext xmlns:c16="http://schemas.microsoft.com/office/drawing/2014/chart" uri="{C3380CC4-5D6E-409C-BE32-E72D297353CC}">
                <c16:uniqueId val="{00000034-F7C6-4AE1-962A-D8263B3224BC}"/>
              </c:ext>
            </c:extLst>
          </c:dPt>
          <c:dPt>
            <c:idx val="9"/>
            <c:invertIfNegative val="0"/>
            <c:bubble3D val="0"/>
            <c:extLst xmlns:c16r2="http://schemas.microsoft.com/office/drawing/2015/06/chart">
              <c:ext xmlns:c16="http://schemas.microsoft.com/office/drawing/2014/chart" uri="{C3380CC4-5D6E-409C-BE32-E72D297353CC}">
                <c16:uniqueId val="{00000035-F7C6-4AE1-962A-D8263B3224BC}"/>
              </c:ext>
            </c:extLst>
          </c:dPt>
          <c:dLbls>
            <c:dLbl>
              <c:idx val="0"/>
              <c:tx>
                <c:rich>
                  <a:bodyPr/>
                  <a:lstStyle/>
                  <a:p>
                    <a:endParaRPr lang="en-US"/>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C-F7C6-4AE1-962A-D8263B3224BC}"/>
                </c:ext>
              </c:extLst>
            </c:dLbl>
            <c:dLbl>
              <c:idx val="1"/>
              <c:tx>
                <c:rich>
                  <a:bodyPr/>
                  <a:lstStyle/>
                  <a:p>
                    <a:fld id="{24A6D115-7E37-4D24-BF51-8962E49C1532}"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2D-F7C6-4AE1-962A-D8263B3224BC}"/>
                </c:ext>
              </c:extLst>
            </c:dLbl>
            <c:dLbl>
              <c:idx val="2"/>
              <c:tx>
                <c:rich>
                  <a:bodyPr/>
                  <a:lstStyle/>
                  <a:p>
                    <a:fld id="{9E291A00-ECCD-4CA8-8E97-C7E3E7D117B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E-F7C6-4AE1-962A-D8263B3224BC}"/>
                </c:ext>
              </c:extLst>
            </c:dLbl>
            <c:dLbl>
              <c:idx val="3"/>
              <c:tx>
                <c:rich>
                  <a:bodyPr/>
                  <a:lstStyle/>
                  <a:p>
                    <a:fld id="{757443D9-0BA3-4450-86F1-B166E93724F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F-F7C6-4AE1-962A-D8263B3224BC}"/>
                </c:ext>
              </c:extLst>
            </c:dLbl>
            <c:dLbl>
              <c:idx val="4"/>
              <c:tx>
                <c:rich>
                  <a:bodyPr/>
                  <a:lstStyle/>
                  <a:p>
                    <a:fld id="{63E6CA93-81A3-470E-96C6-8A25BA90A3D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0-F7C6-4AE1-962A-D8263B3224BC}"/>
                </c:ext>
              </c:extLst>
            </c:dLbl>
            <c:dLbl>
              <c:idx val="5"/>
              <c:tx>
                <c:rich>
                  <a:bodyPr/>
                  <a:lstStyle/>
                  <a:p>
                    <a:fld id="{1BF28EB4-2EC8-4567-9036-D00BE595196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1-F7C6-4AE1-962A-D8263B3224BC}"/>
                </c:ext>
              </c:extLst>
            </c:dLbl>
            <c:dLbl>
              <c:idx val="6"/>
              <c:tx>
                <c:rich>
                  <a:bodyPr/>
                  <a:lstStyle/>
                  <a:p>
                    <a:fld id="{7945C061-3BD2-4A9C-9BDD-1AAC3963799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2-F7C6-4AE1-962A-D8263B3224BC}"/>
                </c:ext>
              </c:extLst>
            </c:dLbl>
            <c:dLbl>
              <c:idx val="7"/>
              <c:tx>
                <c:rich>
                  <a:bodyPr/>
                  <a:lstStyle/>
                  <a:p>
                    <a:fld id="{E742CBA6-C7B6-4980-A4C3-81BFE20D8F8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3-F7C6-4AE1-962A-D8263B3224BC}"/>
                </c:ext>
              </c:extLst>
            </c:dLbl>
            <c:dLbl>
              <c:idx val="8"/>
              <c:tx>
                <c:rich>
                  <a:bodyPr/>
                  <a:lstStyle/>
                  <a:p>
                    <a:fld id="{9367CC30-B20D-441F-8F9A-8A53B8DFE4D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4-F7C6-4AE1-962A-D8263B3224BC}"/>
                </c:ext>
              </c:extLst>
            </c:dLbl>
            <c:dLbl>
              <c:idx val="9"/>
              <c:tx>
                <c:rich>
                  <a:bodyPr/>
                  <a:lstStyle/>
                  <a:p>
                    <a:fld id="{A61F20E3-965A-411C-BCD7-77F71722D39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5-F7C6-4AE1-962A-D8263B3224B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multiLvlStrRef>
              <c:f>Coherence_Avg!$Q$5:$Q$21</c:f>
              <c:multiLvlStrCache>
                <c:ptCount val="10"/>
                <c:lvl>
                  <c:pt idx="0">
                    <c:v>Synergies</c:v>
                  </c:pt>
                  <c:pt idx="1">
                    <c:v>Overlaps</c:v>
                  </c:pt>
                  <c:pt idx="2">
                    <c:v>Synergies</c:v>
                  </c:pt>
                  <c:pt idx="3">
                    <c:v>Overlaps</c:v>
                  </c:pt>
                  <c:pt idx="4">
                    <c:v>Synergies</c:v>
                  </c:pt>
                  <c:pt idx="5">
                    <c:v>Overlaps</c:v>
                  </c:pt>
                  <c:pt idx="6">
                    <c:v>Synergies</c:v>
                  </c:pt>
                  <c:pt idx="7">
                    <c:v>Overlaps</c:v>
                  </c:pt>
                  <c:pt idx="8">
                    <c:v>Synergies</c:v>
                  </c:pt>
                  <c:pt idx="9">
                    <c:v>Overlaps</c:v>
                  </c:pt>
                </c:lvl>
                <c:lvl>
                  <c:pt idx="0">
                    <c:v>Other</c:v>
                  </c:pt>
                  <c:pt idx="2">
                    <c:v>Structural Reform Support Programme</c:v>
                  </c:pt>
                  <c:pt idx="4">
                    <c:v>Horizon 2020</c:v>
                  </c:pt>
                  <c:pt idx="6">
                    <c:v>European Social Fund</c:v>
                  </c:pt>
                  <c:pt idx="8">
                    <c:v>Connecting Europe Facility</c:v>
                  </c:pt>
                </c:lvl>
              </c:multiLvlStrCache>
            </c:multiLvlStrRef>
          </c:cat>
          <c:val>
            <c:numRef>
              <c:f>Coherence_Avg!$V$5:$V$21</c:f>
              <c:numCache>
                <c:formatCode>General</c:formatCode>
                <c:ptCount val="10"/>
                <c:pt idx="0">
                  <c:v>#N/A</c:v>
                </c:pt>
                <c:pt idx="1">
                  <c:v>1</c:v>
                </c:pt>
                <c:pt idx="2">
                  <c:v>3.3076923076923075</c:v>
                </c:pt>
                <c:pt idx="3">
                  <c:v>1.8181818181818181</c:v>
                </c:pt>
                <c:pt idx="4">
                  <c:v>2.8461538461538463</c:v>
                </c:pt>
                <c:pt idx="5">
                  <c:v>2.1818181818181817</c:v>
                </c:pt>
                <c:pt idx="6">
                  <c:v>2.3333333333333335</c:v>
                </c:pt>
                <c:pt idx="7">
                  <c:v>1.3333333333333333</c:v>
                </c:pt>
                <c:pt idx="8">
                  <c:v>3.9411764705882355</c:v>
                </c:pt>
                <c:pt idx="9">
                  <c:v>2.4</c:v>
                </c:pt>
              </c:numCache>
            </c:numRef>
          </c:val>
          <c:extLst xmlns:c16r2="http://schemas.microsoft.com/office/drawing/2015/06/chart">
            <c:ext xmlns:c15="http://schemas.microsoft.com/office/drawing/2012/chart" uri="{02D57815-91ED-43cb-92C2-25804820EDAC}">
              <c15:datalabelsRange>
                <c15:f>Coherence_Avg!$V$42:$V$51</c15:f>
                <c15:dlblRangeCache>
                  <c:ptCount val="10"/>
                  <c:pt idx="1">
                    <c:v>1.00 (1)</c:v>
                  </c:pt>
                  <c:pt idx="2">
                    <c:v>3.31 (13)</c:v>
                  </c:pt>
                  <c:pt idx="3">
                    <c:v>1.82 (11)</c:v>
                  </c:pt>
                  <c:pt idx="4">
                    <c:v>2.85 (13)</c:v>
                  </c:pt>
                  <c:pt idx="5">
                    <c:v>2.18 (11)</c:v>
                  </c:pt>
                  <c:pt idx="6">
                    <c:v>2.33 (9)</c:v>
                  </c:pt>
                  <c:pt idx="7">
                    <c:v>1.33 (6)</c:v>
                  </c:pt>
                  <c:pt idx="8">
                    <c:v>3.94 (17)</c:v>
                  </c:pt>
                  <c:pt idx="9">
                    <c:v>2.40 (15)</c:v>
                  </c:pt>
                </c15:dlblRangeCache>
              </c15:datalabelsRange>
            </c:ext>
            <c:ext xmlns:c16="http://schemas.microsoft.com/office/drawing/2014/chart" uri="{C3380CC4-5D6E-409C-BE32-E72D297353CC}">
              <c16:uniqueId val="{00000036-F7C6-4AE1-962A-D8263B3224BC}"/>
            </c:ext>
          </c:extLst>
        </c:ser>
        <c:dLbls>
          <c:dLblPos val="outEnd"/>
          <c:showLegendKey val="0"/>
          <c:showVal val="1"/>
          <c:showCatName val="0"/>
          <c:showSerName val="0"/>
          <c:showPercent val="0"/>
          <c:showBubbleSize val="0"/>
        </c:dLbls>
        <c:gapWidth val="182"/>
        <c:axId val="109581824"/>
        <c:axId val="109583360"/>
      </c:barChart>
      <c:catAx>
        <c:axId val="10958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9583360"/>
        <c:crosses val="autoZero"/>
        <c:auto val="0"/>
        <c:lblAlgn val="ctr"/>
        <c:lblOffset val="100"/>
        <c:noMultiLvlLbl val="0"/>
      </c:catAx>
      <c:valAx>
        <c:axId val="10958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9581824"/>
        <c:crosses val="autoZero"/>
        <c:crossBetween val="between"/>
        <c:majorUnit val="1"/>
      </c:valAx>
      <c:spPr>
        <a:noFill/>
        <a:ln>
          <a:noFill/>
        </a:ln>
        <a:effectLst/>
      </c:spPr>
    </c:plotArea>
    <c:legend>
      <c:legendPos val="b"/>
      <c:layout>
        <c:manualLayout>
          <c:xMode val="edge"/>
          <c:yMode val="edge"/>
          <c:x val="0"/>
          <c:y val="0.92124061714735472"/>
          <c:w val="0.99838855729118503"/>
          <c:h val="7.745825094272064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Graphs_averages_final.xlsx]EU Added Value_Avg!Tableau croisé dynamique10</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C1E548-4E0C-48B5-86CB-F929C6012C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A3B74B-92B6-448B-8A08-C0E72B23E0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C50848-AB56-4CDC-AAF4-ACDDC7F138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847623-EAF3-40B9-BD7B-05075CEF49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3658F4-DCE5-42FC-B6FA-BC505F45BC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882F19-A8B4-4451-8CE7-29FA478354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8C1404-7668-4CE0-B87E-B5FF5F3EB7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5DD8C5-EBF4-4BFB-87AC-9292683FF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7F8177-97BD-4804-9F41-91373D3C71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860609-8757-4A51-BE72-C3FB817C20F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F0262F-44AB-40C4-A37E-C82F5D17D61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F8FBE6-BC8F-462A-B26F-11ECF8EF1A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1C07B1-6FC5-4204-B06F-6300FAD07D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68AA76-B5D3-4F51-86E6-67ADD499A9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F00E12-144E-40C9-99AE-798310C99D4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08AFBD-7017-4644-865C-810BD37024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5F556-D1C6-441B-A9AB-E013CF7343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9E320-FD5A-4E2D-9C99-5E555BBAA3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450603-829E-4E10-8948-BD7B1A669FF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A84086-5185-4D78-B5A6-8CA6D82E43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9666491-1120-44A6-9F8A-E384F686D0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E46045-C753-4448-B976-AE920A55455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80114E-CBDA-46CF-BCD0-188CF7F23D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8F57AF-6650-48B3-9058-F835C05847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EAC13B-5B2B-4252-8592-5EAC0347A12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741D3-4279-4E42-91F6-7F6F9AA9E8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D4C65-780B-4A32-AB93-EBB311BB2F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C15DDE-3612-4EC3-A11E-2461603BF8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AC13B3-574E-4418-97C9-2A54907863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62A1B9-458B-4FD1-A971-0AD85CF7C6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C1E548-4E0C-48B5-86CB-F929C6012C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A3B74B-92B6-448B-8A08-C0E72B23E0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C50848-AB56-4CDC-AAF4-ACDDC7F138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847623-EAF3-40B9-BD7B-05075CEF49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3658F4-DCE5-42FC-B6FA-BC505F45BC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882F19-A8B4-4451-8CE7-29FA478354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8C1404-7668-4CE0-B87E-B5FF5F3EB7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5DD8C5-EBF4-4BFB-87AC-9292683FF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7F8177-97BD-4804-9F41-91373D3C71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860609-8757-4A51-BE72-C3FB817C20F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F0262F-44AB-40C4-A37E-C82F5D17D61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F8FBE6-BC8F-462A-B26F-11ECF8EF1A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1C07B1-6FC5-4204-B06F-6300FAD07D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68AA76-B5D3-4F51-86E6-67ADD499A9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F00E12-144E-40C9-99AE-798310C99D4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08AFBD-7017-4644-865C-810BD37024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5F556-D1C6-441B-A9AB-E013CF7343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9E320-FD5A-4E2D-9C99-5E555BBAA3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450603-829E-4E10-8948-BD7B1A669FF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A84086-5185-4D78-B5A6-8CA6D82E43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9666491-1120-44A6-9F8A-E384F686D0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E46045-C753-4448-B976-AE920A55455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80114E-CBDA-46CF-BCD0-188CF7F23D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8F57AF-6650-48B3-9058-F835C05847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EAC13B-5B2B-4252-8592-5EAC0347A12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741D3-4279-4E42-91F6-7F6F9AA9E8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D4C65-780B-4A32-AB93-EBB311BB2F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C15DDE-3612-4EC3-A11E-2461603BF8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AC13B3-574E-4418-97C9-2A54907863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62A1B9-458B-4FD1-A971-0AD85CF7C6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C1E548-4E0C-48B5-86CB-F929C6012C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A3B74B-92B6-448B-8A08-C0E72B23E0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C50848-AB56-4CDC-AAF4-ACDDC7F138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847623-EAF3-40B9-BD7B-05075CEF49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3658F4-DCE5-42FC-B6FA-BC505F45BC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7882F19-A8B4-4451-8CE7-29FA478354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8C1404-7668-4CE0-B87E-B5FF5F3EB7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5DD8C5-EBF4-4BFB-87AC-9292683FF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7F8177-97BD-4804-9F41-91373D3C71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860609-8757-4A51-BE72-C3FB817C20F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F0262F-44AB-40C4-A37E-C82F5D17D61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F8FBE6-BC8F-462A-B26F-11ECF8EF1A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1C07B1-6FC5-4204-B06F-6300FAD07D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68AA76-B5D3-4F51-86E6-67ADD499A9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F00E12-144E-40C9-99AE-798310C99D4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08AFBD-7017-4644-865C-810BD37024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5F556-D1C6-441B-A9AB-E013CF7343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9E320-FD5A-4E2D-9C99-5E555BBAA3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450603-829E-4E10-8948-BD7B1A669FF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A84086-5185-4D78-B5A6-8CA6D82E43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9666491-1120-44A6-9F8A-E384F686D0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E46045-C753-4448-B976-AE920A55455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80114E-CBDA-46CF-BCD0-188CF7F23D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8F57AF-6650-48B3-9058-F835C05847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EAC13B-5B2B-4252-8592-5EAC0347A12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741D3-4279-4E42-91F6-7F6F9AA9E8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D4C65-780B-4A32-AB93-EBB311BB2F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C15DDE-3612-4EC3-A11E-2461603BF8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AC13B3-574E-4418-97C9-2A54907863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62A1B9-458B-4FD1-A971-0AD85CF7C6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'EU Added Value_Avg'!$V$2:$V$3</c:f>
              <c:strCache>
                <c:ptCount val="1"/>
                <c:pt idx="0">
                  <c:v>Wider public</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3A59-4B55-B387-3ED608CAE130}"/>
              </c:ext>
            </c:extLst>
          </c:dPt>
          <c:dPt>
            <c:idx val="1"/>
            <c:invertIfNegative val="0"/>
            <c:bubble3D val="0"/>
            <c:extLst xmlns:c16r2="http://schemas.microsoft.com/office/drawing/2015/06/chart">
              <c:ext xmlns:c16="http://schemas.microsoft.com/office/drawing/2014/chart" uri="{C3380CC4-5D6E-409C-BE32-E72D297353CC}">
                <c16:uniqueId val="{00000001-3A59-4B55-B387-3ED608CAE130}"/>
              </c:ext>
            </c:extLst>
          </c:dPt>
          <c:dPt>
            <c:idx val="2"/>
            <c:invertIfNegative val="0"/>
            <c:bubble3D val="0"/>
            <c:extLst xmlns:c16r2="http://schemas.microsoft.com/office/drawing/2015/06/chart">
              <c:ext xmlns:c16="http://schemas.microsoft.com/office/drawing/2014/chart" uri="{C3380CC4-5D6E-409C-BE32-E72D297353CC}">
                <c16:uniqueId val="{00000002-3A59-4B55-B387-3ED608CAE130}"/>
              </c:ext>
            </c:extLst>
          </c:dPt>
          <c:dPt>
            <c:idx val="3"/>
            <c:invertIfNegative val="0"/>
            <c:bubble3D val="0"/>
            <c:extLst xmlns:c16r2="http://schemas.microsoft.com/office/drawing/2015/06/chart">
              <c:ext xmlns:c16="http://schemas.microsoft.com/office/drawing/2014/chart" uri="{C3380CC4-5D6E-409C-BE32-E72D297353CC}">
                <c16:uniqueId val="{00000003-3A59-4B55-B387-3ED608CAE130}"/>
              </c:ext>
            </c:extLst>
          </c:dPt>
          <c:dPt>
            <c:idx val="4"/>
            <c:invertIfNegative val="0"/>
            <c:bubble3D val="0"/>
            <c:extLst xmlns:c16r2="http://schemas.microsoft.com/office/drawing/2015/06/chart">
              <c:ext xmlns:c16="http://schemas.microsoft.com/office/drawing/2014/chart" uri="{C3380CC4-5D6E-409C-BE32-E72D297353CC}">
                <c16:uniqueId val="{00000004-3A59-4B55-B387-3ED608CAE130}"/>
              </c:ext>
            </c:extLst>
          </c:dPt>
          <c:dPt>
            <c:idx val="5"/>
            <c:invertIfNegative val="0"/>
            <c:bubble3D val="0"/>
            <c:extLst xmlns:c16r2="http://schemas.microsoft.com/office/drawing/2015/06/chart">
              <c:ext xmlns:c16="http://schemas.microsoft.com/office/drawing/2014/chart" uri="{C3380CC4-5D6E-409C-BE32-E72D297353CC}">
                <c16:uniqueId val="{00000005-3A59-4B55-B387-3ED608CAE130}"/>
              </c:ext>
            </c:extLst>
          </c:dPt>
          <c:dLbls>
            <c:dLbl>
              <c:idx val="0"/>
              <c:tx>
                <c:rich>
                  <a:bodyPr/>
                  <a:lstStyle/>
                  <a:p>
                    <a:fld id="{0A9846E7-76A2-4F93-9F34-ADD38FFD0EF9}"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3A59-4B55-B387-3ED608CAE130}"/>
                </c:ext>
              </c:extLst>
            </c:dLbl>
            <c:dLbl>
              <c:idx val="1"/>
              <c:tx>
                <c:rich>
                  <a:bodyPr/>
                  <a:lstStyle/>
                  <a:p>
                    <a:fld id="{3D190564-571D-4BEC-9B1E-65A1D6F553C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A59-4B55-B387-3ED608CAE130}"/>
                </c:ext>
              </c:extLst>
            </c:dLbl>
            <c:dLbl>
              <c:idx val="2"/>
              <c:tx>
                <c:rich>
                  <a:bodyPr/>
                  <a:lstStyle/>
                  <a:p>
                    <a:fld id="{FE46B05D-9347-4E31-BA26-96FF245D8CB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3A59-4B55-B387-3ED608CAE130}"/>
                </c:ext>
              </c:extLst>
            </c:dLbl>
            <c:dLbl>
              <c:idx val="3"/>
              <c:tx>
                <c:rich>
                  <a:bodyPr/>
                  <a:lstStyle/>
                  <a:p>
                    <a:fld id="{E147FC56-7401-4D6A-A55F-BEF37B6A1A9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A59-4B55-B387-3ED608CAE130}"/>
                </c:ext>
              </c:extLst>
            </c:dLbl>
            <c:dLbl>
              <c:idx val="4"/>
              <c:tx>
                <c:rich>
                  <a:bodyPr/>
                  <a:lstStyle/>
                  <a:p>
                    <a:fld id="{6636231B-1E46-4051-B5F3-A48A1B08C4A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3A59-4B55-B387-3ED608CAE130}"/>
                </c:ext>
              </c:extLst>
            </c:dLbl>
            <c:dLbl>
              <c:idx val="5"/>
              <c:tx>
                <c:rich>
                  <a:bodyPr/>
                  <a:lstStyle/>
                  <a:p>
                    <a:fld id="{971C2F20-4848-4B82-BA22-362C97809AC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3A59-4B55-B387-3ED608CAE1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Value_Avg'!$V$4:$V$10</c:f>
              <c:numCache>
                <c:formatCode>General</c:formatCode>
                <c:ptCount val="6"/>
                <c:pt idx="0">
                  <c:v>2.2962962962962963</c:v>
                </c:pt>
                <c:pt idx="1">
                  <c:v>2.3928571428571428</c:v>
                </c:pt>
                <c:pt idx="2">
                  <c:v>2.8518518518518516</c:v>
                </c:pt>
                <c:pt idx="3">
                  <c:v>2.25</c:v>
                </c:pt>
                <c:pt idx="4">
                  <c:v>2.1481481481481484</c:v>
                </c:pt>
                <c:pt idx="5">
                  <c:v>2.4230769230769229</c:v>
                </c:pt>
              </c:numCache>
            </c:numRef>
          </c:val>
          <c:extLst xmlns:c16r2="http://schemas.microsoft.com/office/drawing/2015/06/chart">
            <c:ext xmlns:c15="http://schemas.microsoft.com/office/drawing/2012/chart" uri="{02D57815-91ED-43cb-92C2-25804820EDAC}">
              <c15:datalabelsRange>
                <c15:f>'EU Added Value_Avg'!$V$21:$V$26</c15:f>
                <c15:dlblRangeCache>
                  <c:ptCount val="6"/>
                  <c:pt idx="0">
                    <c:v>2.30 (27)</c:v>
                  </c:pt>
                  <c:pt idx="1">
                    <c:v>2.39 (28)</c:v>
                  </c:pt>
                  <c:pt idx="2">
                    <c:v>2.85 (27)</c:v>
                  </c:pt>
                  <c:pt idx="3">
                    <c:v>2.25 (28)</c:v>
                  </c:pt>
                  <c:pt idx="4">
                    <c:v>2.15 (27)</c:v>
                  </c:pt>
                  <c:pt idx="5">
                    <c:v>2.42 (26)</c:v>
                  </c:pt>
                </c15:dlblRangeCache>
              </c15:datalabelsRange>
            </c:ext>
            <c:ext xmlns:c16="http://schemas.microsoft.com/office/drawing/2014/chart" uri="{C3380CC4-5D6E-409C-BE32-E72D297353CC}">
              <c16:uniqueId val="{00000006-3A59-4B55-B387-3ED608CAE130}"/>
            </c:ext>
          </c:extLst>
        </c:ser>
        <c:ser>
          <c:idx val="1"/>
          <c:order val="1"/>
          <c:tx>
            <c:strRef>
              <c:f>'EU Added Value_Avg'!$W$2:$W$3</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7-3A59-4B55-B387-3ED608CAE130}"/>
              </c:ext>
            </c:extLst>
          </c:dPt>
          <c:dPt>
            <c:idx val="1"/>
            <c:invertIfNegative val="0"/>
            <c:bubble3D val="0"/>
            <c:extLst xmlns:c16r2="http://schemas.microsoft.com/office/drawing/2015/06/chart">
              <c:ext xmlns:c16="http://schemas.microsoft.com/office/drawing/2014/chart" uri="{C3380CC4-5D6E-409C-BE32-E72D297353CC}">
                <c16:uniqueId val="{00000008-3A59-4B55-B387-3ED608CAE130}"/>
              </c:ext>
            </c:extLst>
          </c:dPt>
          <c:dPt>
            <c:idx val="2"/>
            <c:invertIfNegative val="0"/>
            <c:bubble3D val="0"/>
            <c:extLst xmlns:c16r2="http://schemas.microsoft.com/office/drawing/2015/06/chart">
              <c:ext xmlns:c16="http://schemas.microsoft.com/office/drawing/2014/chart" uri="{C3380CC4-5D6E-409C-BE32-E72D297353CC}">
                <c16:uniqueId val="{00000009-3A59-4B55-B387-3ED608CAE130}"/>
              </c:ext>
            </c:extLst>
          </c:dPt>
          <c:dPt>
            <c:idx val="3"/>
            <c:invertIfNegative val="0"/>
            <c:bubble3D val="0"/>
            <c:extLst xmlns:c16r2="http://schemas.microsoft.com/office/drawing/2015/06/chart">
              <c:ext xmlns:c16="http://schemas.microsoft.com/office/drawing/2014/chart" uri="{C3380CC4-5D6E-409C-BE32-E72D297353CC}">
                <c16:uniqueId val="{0000000A-3A59-4B55-B387-3ED608CAE130}"/>
              </c:ext>
            </c:extLst>
          </c:dPt>
          <c:dPt>
            <c:idx val="4"/>
            <c:invertIfNegative val="0"/>
            <c:bubble3D val="0"/>
            <c:extLst xmlns:c16r2="http://schemas.microsoft.com/office/drawing/2015/06/chart">
              <c:ext xmlns:c16="http://schemas.microsoft.com/office/drawing/2014/chart" uri="{C3380CC4-5D6E-409C-BE32-E72D297353CC}">
                <c16:uniqueId val="{0000000B-3A59-4B55-B387-3ED608CAE130}"/>
              </c:ext>
            </c:extLst>
          </c:dPt>
          <c:dPt>
            <c:idx val="5"/>
            <c:invertIfNegative val="0"/>
            <c:bubble3D val="0"/>
            <c:extLst xmlns:c16r2="http://schemas.microsoft.com/office/drawing/2015/06/chart">
              <c:ext xmlns:c16="http://schemas.microsoft.com/office/drawing/2014/chart" uri="{C3380CC4-5D6E-409C-BE32-E72D297353CC}">
                <c16:uniqueId val="{0000000C-3A59-4B55-B387-3ED608CAE130}"/>
              </c:ext>
            </c:extLst>
          </c:dPt>
          <c:dLbls>
            <c:dLbl>
              <c:idx val="0"/>
              <c:tx>
                <c:rich>
                  <a:bodyPr/>
                  <a:lstStyle/>
                  <a:p>
                    <a:fld id="{656706E1-4346-4FC6-9D73-7C5CCA3EE19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3A59-4B55-B387-3ED608CAE130}"/>
                </c:ext>
              </c:extLst>
            </c:dLbl>
            <c:dLbl>
              <c:idx val="1"/>
              <c:tx>
                <c:rich>
                  <a:bodyPr/>
                  <a:lstStyle/>
                  <a:p>
                    <a:fld id="{55ACF2BC-A6F5-41B9-A0CA-A09D2157366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3A59-4B55-B387-3ED608CAE130}"/>
                </c:ext>
              </c:extLst>
            </c:dLbl>
            <c:dLbl>
              <c:idx val="2"/>
              <c:tx>
                <c:rich>
                  <a:bodyPr/>
                  <a:lstStyle/>
                  <a:p>
                    <a:fld id="{ACCE94B0-52D0-4CAD-ACE8-BA5288FE00A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3A59-4B55-B387-3ED608CAE130}"/>
                </c:ext>
              </c:extLst>
            </c:dLbl>
            <c:dLbl>
              <c:idx val="3"/>
              <c:tx>
                <c:rich>
                  <a:bodyPr/>
                  <a:lstStyle/>
                  <a:p>
                    <a:fld id="{30BCE73E-94FF-4388-A4DA-4F5A5C2798C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3A59-4B55-B387-3ED608CAE130}"/>
                </c:ext>
              </c:extLst>
            </c:dLbl>
            <c:dLbl>
              <c:idx val="4"/>
              <c:tx>
                <c:rich>
                  <a:bodyPr/>
                  <a:lstStyle/>
                  <a:p>
                    <a:fld id="{B38EBAB0-D7CA-4741-8972-507C7E2FED1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3A59-4B55-B387-3ED608CAE130}"/>
                </c:ext>
              </c:extLst>
            </c:dLbl>
            <c:dLbl>
              <c:idx val="5"/>
              <c:tx>
                <c:rich>
                  <a:bodyPr/>
                  <a:lstStyle/>
                  <a:p>
                    <a:fld id="{A9811C58-731E-4AC2-9B40-5D9A12B847E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3A59-4B55-B387-3ED608CAE1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Value_Avg'!$W$4:$W$10</c:f>
              <c:numCache>
                <c:formatCode>General</c:formatCode>
                <c:ptCount val="6"/>
                <c:pt idx="0">
                  <c:v>2.3333333333333335</c:v>
                </c:pt>
                <c:pt idx="1">
                  <c:v>1.6666666666666667</c:v>
                </c:pt>
                <c:pt idx="2">
                  <c:v>2.7777777777777777</c:v>
                </c:pt>
                <c:pt idx="3">
                  <c:v>1.5555555555555556</c:v>
                </c:pt>
                <c:pt idx="4">
                  <c:v>1.3333333333333333</c:v>
                </c:pt>
                <c:pt idx="5">
                  <c:v>1.7777777777777777</c:v>
                </c:pt>
              </c:numCache>
            </c:numRef>
          </c:val>
          <c:extLst xmlns:c16r2="http://schemas.microsoft.com/office/drawing/2015/06/chart">
            <c:ext xmlns:c15="http://schemas.microsoft.com/office/drawing/2012/chart" uri="{02D57815-91ED-43cb-92C2-25804820EDAC}">
              <c15:datalabelsRange>
                <c15:f>'EU Added Value_Avg'!$W$21:$W$26</c15:f>
                <c15:dlblRangeCache>
                  <c:ptCount val="6"/>
                  <c:pt idx="0">
                    <c:v>2.33 (9)</c:v>
                  </c:pt>
                  <c:pt idx="1">
                    <c:v>1.67 (9)</c:v>
                  </c:pt>
                  <c:pt idx="2">
                    <c:v>2.78 (9)</c:v>
                  </c:pt>
                  <c:pt idx="3">
                    <c:v>1.56 (9)</c:v>
                  </c:pt>
                  <c:pt idx="4">
                    <c:v>1.33 (9)</c:v>
                  </c:pt>
                  <c:pt idx="5">
                    <c:v>1.78 (9)</c:v>
                  </c:pt>
                </c15:dlblRangeCache>
              </c15:datalabelsRange>
            </c:ext>
            <c:ext xmlns:c16="http://schemas.microsoft.com/office/drawing/2014/chart" uri="{C3380CC4-5D6E-409C-BE32-E72D297353CC}">
              <c16:uniqueId val="{0000000D-3A59-4B55-B387-3ED608CAE130}"/>
            </c:ext>
          </c:extLst>
        </c:ser>
        <c:ser>
          <c:idx val="2"/>
          <c:order val="2"/>
          <c:tx>
            <c:strRef>
              <c:f>'EU Added Value_Avg'!$X$2:$X$3</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E-3A59-4B55-B387-3ED608CAE130}"/>
              </c:ext>
            </c:extLst>
          </c:dPt>
          <c:dPt>
            <c:idx val="1"/>
            <c:invertIfNegative val="0"/>
            <c:bubble3D val="0"/>
            <c:extLst xmlns:c16r2="http://schemas.microsoft.com/office/drawing/2015/06/chart">
              <c:ext xmlns:c16="http://schemas.microsoft.com/office/drawing/2014/chart" uri="{C3380CC4-5D6E-409C-BE32-E72D297353CC}">
                <c16:uniqueId val="{0000000F-3A59-4B55-B387-3ED608CAE130}"/>
              </c:ext>
            </c:extLst>
          </c:dPt>
          <c:dPt>
            <c:idx val="2"/>
            <c:invertIfNegative val="0"/>
            <c:bubble3D val="0"/>
            <c:extLst xmlns:c16r2="http://schemas.microsoft.com/office/drawing/2015/06/chart">
              <c:ext xmlns:c16="http://schemas.microsoft.com/office/drawing/2014/chart" uri="{C3380CC4-5D6E-409C-BE32-E72D297353CC}">
                <c16:uniqueId val="{00000010-3A59-4B55-B387-3ED608CAE130}"/>
              </c:ext>
            </c:extLst>
          </c:dPt>
          <c:dPt>
            <c:idx val="3"/>
            <c:invertIfNegative val="0"/>
            <c:bubble3D val="0"/>
            <c:extLst xmlns:c16r2="http://schemas.microsoft.com/office/drawing/2015/06/chart">
              <c:ext xmlns:c16="http://schemas.microsoft.com/office/drawing/2014/chart" uri="{C3380CC4-5D6E-409C-BE32-E72D297353CC}">
                <c16:uniqueId val="{00000011-3A59-4B55-B387-3ED608CAE130}"/>
              </c:ext>
            </c:extLst>
          </c:dPt>
          <c:dPt>
            <c:idx val="4"/>
            <c:invertIfNegative val="0"/>
            <c:bubble3D val="0"/>
            <c:extLst xmlns:c16r2="http://schemas.microsoft.com/office/drawing/2015/06/chart">
              <c:ext xmlns:c16="http://schemas.microsoft.com/office/drawing/2014/chart" uri="{C3380CC4-5D6E-409C-BE32-E72D297353CC}">
                <c16:uniqueId val="{00000012-3A59-4B55-B387-3ED608CAE130}"/>
              </c:ext>
            </c:extLst>
          </c:dPt>
          <c:dPt>
            <c:idx val="5"/>
            <c:invertIfNegative val="0"/>
            <c:bubble3D val="0"/>
            <c:extLst xmlns:c16r2="http://schemas.microsoft.com/office/drawing/2015/06/chart">
              <c:ext xmlns:c16="http://schemas.microsoft.com/office/drawing/2014/chart" uri="{C3380CC4-5D6E-409C-BE32-E72D297353CC}">
                <c16:uniqueId val="{00000013-3A59-4B55-B387-3ED608CAE130}"/>
              </c:ext>
            </c:extLst>
          </c:dPt>
          <c:dLbls>
            <c:dLbl>
              <c:idx val="0"/>
              <c:tx>
                <c:rich>
                  <a:bodyPr/>
                  <a:lstStyle/>
                  <a:p>
                    <a:fld id="{BEC43125-9E88-45F4-A810-1BA563F28C8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E-3A59-4B55-B387-3ED608CAE130}"/>
                </c:ext>
              </c:extLst>
            </c:dLbl>
            <c:dLbl>
              <c:idx val="1"/>
              <c:tx>
                <c:rich>
                  <a:bodyPr/>
                  <a:lstStyle/>
                  <a:p>
                    <a:fld id="{7AAB95EE-775F-4CC8-9AB6-0B438F693E5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3A59-4B55-B387-3ED608CAE130}"/>
                </c:ext>
              </c:extLst>
            </c:dLbl>
            <c:dLbl>
              <c:idx val="2"/>
              <c:tx>
                <c:rich>
                  <a:bodyPr/>
                  <a:lstStyle/>
                  <a:p>
                    <a:fld id="{009EEAB9-FE1B-4CF1-A960-AFDD7BCBD9C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3A59-4B55-B387-3ED608CAE130}"/>
                </c:ext>
              </c:extLst>
            </c:dLbl>
            <c:dLbl>
              <c:idx val="3"/>
              <c:tx>
                <c:rich>
                  <a:bodyPr/>
                  <a:lstStyle/>
                  <a:p>
                    <a:fld id="{F5E77326-FD39-4595-BB1D-669FA9A56D5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3A59-4B55-B387-3ED608CAE130}"/>
                </c:ext>
              </c:extLst>
            </c:dLbl>
            <c:dLbl>
              <c:idx val="4"/>
              <c:tx>
                <c:rich>
                  <a:bodyPr/>
                  <a:lstStyle/>
                  <a:p>
                    <a:fld id="{3E7B9BDA-158F-4C14-8F73-178CACC8633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3A59-4B55-B387-3ED608CAE130}"/>
                </c:ext>
              </c:extLst>
            </c:dLbl>
            <c:dLbl>
              <c:idx val="5"/>
              <c:tx>
                <c:rich>
                  <a:bodyPr/>
                  <a:lstStyle/>
                  <a:p>
                    <a:fld id="{09235705-A363-4FEE-905F-A4036709DB1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3A59-4B55-B387-3ED608CAE1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Value_Avg'!$X$4:$X$10</c:f>
              <c:numCache>
                <c:formatCode>General</c:formatCode>
                <c:ptCount val="6"/>
                <c:pt idx="0">
                  <c:v>2.4</c:v>
                </c:pt>
                <c:pt idx="1">
                  <c:v>2.35</c:v>
                </c:pt>
                <c:pt idx="2">
                  <c:v>2.75</c:v>
                </c:pt>
                <c:pt idx="3">
                  <c:v>2.2564102564102564</c:v>
                </c:pt>
                <c:pt idx="4">
                  <c:v>1.8205128205128205</c:v>
                </c:pt>
                <c:pt idx="5">
                  <c:v>2.2894736842105261</c:v>
                </c:pt>
              </c:numCache>
            </c:numRef>
          </c:val>
          <c:extLst xmlns:c16r2="http://schemas.microsoft.com/office/drawing/2015/06/chart">
            <c:ext xmlns:c15="http://schemas.microsoft.com/office/drawing/2012/chart" uri="{02D57815-91ED-43cb-92C2-25804820EDAC}">
              <c15:datalabelsRange>
                <c15:f>'EU Added Value_Avg'!$X$21:$X$26</c15:f>
                <c15:dlblRangeCache>
                  <c:ptCount val="6"/>
                  <c:pt idx="0">
                    <c:v>2.40 (40)</c:v>
                  </c:pt>
                  <c:pt idx="1">
                    <c:v>2.35 (40)</c:v>
                  </c:pt>
                  <c:pt idx="2">
                    <c:v>2.75 (40)</c:v>
                  </c:pt>
                  <c:pt idx="3">
                    <c:v>2.26 (39)</c:v>
                  </c:pt>
                  <c:pt idx="4">
                    <c:v>1.82 (39)</c:v>
                  </c:pt>
                  <c:pt idx="5">
                    <c:v>2.29 (38)</c:v>
                  </c:pt>
                </c15:dlblRangeCache>
              </c15:datalabelsRange>
            </c:ext>
            <c:ext xmlns:c16="http://schemas.microsoft.com/office/drawing/2014/chart" uri="{C3380CC4-5D6E-409C-BE32-E72D297353CC}">
              <c16:uniqueId val="{00000014-3A59-4B55-B387-3ED608CAE130}"/>
            </c:ext>
          </c:extLst>
        </c:ser>
        <c:ser>
          <c:idx val="3"/>
          <c:order val="3"/>
          <c:tx>
            <c:strRef>
              <c:f>'EU Added Value_Avg'!$Y$2:$Y$3</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5-3A59-4B55-B387-3ED608CAE130}"/>
              </c:ext>
            </c:extLst>
          </c:dPt>
          <c:dPt>
            <c:idx val="1"/>
            <c:invertIfNegative val="0"/>
            <c:bubble3D val="0"/>
            <c:extLst xmlns:c16r2="http://schemas.microsoft.com/office/drawing/2015/06/chart">
              <c:ext xmlns:c16="http://schemas.microsoft.com/office/drawing/2014/chart" uri="{C3380CC4-5D6E-409C-BE32-E72D297353CC}">
                <c16:uniqueId val="{00000016-3A59-4B55-B387-3ED608CAE130}"/>
              </c:ext>
            </c:extLst>
          </c:dPt>
          <c:dPt>
            <c:idx val="2"/>
            <c:invertIfNegative val="0"/>
            <c:bubble3D val="0"/>
            <c:extLst xmlns:c16r2="http://schemas.microsoft.com/office/drawing/2015/06/chart">
              <c:ext xmlns:c16="http://schemas.microsoft.com/office/drawing/2014/chart" uri="{C3380CC4-5D6E-409C-BE32-E72D297353CC}">
                <c16:uniqueId val="{00000017-3A59-4B55-B387-3ED608CAE130}"/>
              </c:ext>
            </c:extLst>
          </c:dPt>
          <c:dPt>
            <c:idx val="3"/>
            <c:invertIfNegative val="0"/>
            <c:bubble3D val="0"/>
            <c:extLst xmlns:c16r2="http://schemas.microsoft.com/office/drawing/2015/06/chart">
              <c:ext xmlns:c16="http://schemas.microsoft.com/office/drawing/2014/chart" uri="{C3380CC4-5D6E-409C-BE32-E72D297353CC}">
                <c16:uniqueId val="{00000018-3A59-4B55-B387-3ED608CAE130}"/>
              </c:ext>
            </c:extLst>
          </c:dPt>
          <c:dPt>
            <c:idx val="4"/>
            <c:invertIfNegative val="0"/>
            <c:bubble3D val="0"/>
            <c:extLst xmlns:c16r2="http://schemas.microsoft.com/office/drawing/2015/06/chart">
              <c:ext xmlns:c16="http://schemas.microsoft.com/office/drawing/2014/chart" uri="{C3380CC4-5D6E-409C-BE32-E72D297353CC}">
                <c16:uniqueId val="{00000019-3A59-4B55-B387-3ED608CAE130}"/>
              </c:ext>
            </c:extLst>
          </c:dPt>
          <c:dPt>
            <c:idx val="5"/>
            <c:invertIfNegative val="0"/>
            <c:bubble3D val="0"/>
            <c:extLst xmlns:c16r2="http://schemas.microsoft.com/office/drawing/2015/06/chart">
              <c:ext xmlns:c16="http://schemas.microsoft.com/office/drawing/2014/chart" uri="{C3380CC4-5D6E-409C-BE32-E72D297353CC}">
                <c16:uniqueId val="{0000001A-3A59-4B55-B387-3ED608CAE130}"/>
              </c:ext>
            </c:extLst>
          </c:dPt>
          <c:dLbls>
            <c:dLbl>
              <c:idx val="0"/>
              <c:tx>
                <c:rich>
                  <a:bodyPr/>
                  <a:lstStyle/>
                  <a:p>
                    <a:fld id="{5772A613-B459-4E25-8FF9-5D82C7E6A6C2}"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5-3A59-4B55-B387-3ED608CAE130}"/>
                </c:ext>
              </c:extLst>
            </c:dLbl>
            <c:dLbl>
              <c:idx val="1"/>
              <c:tx>
                <c:rich>
                  <a:bodyPr/>
                  <a:lstStyle/>
                  <a:p>
                    <a:fld id="{4F2EBE25-3358-4A35-A30C-DDFFB33E273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3A59-4B55-B387-3ED608CAE130}"/>
                </c:ext>
              </c:extLst>
            </c:dLbl>
            <c:dLbl>
              <c:idx val="2"/>
              <c:tx>
                <c:rich>
                  <a:bodyPr/>
                  <a:lstStyle/>
                  <a:p>
                    <a:fld id="{BE0ACD3A-A2B1-4C57-A307-45BB926F2DE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3A59-4B55-B387-3ED608CAE130}"/>
                </c:ext>
              </c:extLst>
            </c:dLbl>
            <c:dLbl>
              <c:idx val="3"/>
              <c:tx>
                <c:rich>
                  <a:bodyPr/>
                  <a:lstStyle/>
                  <a:p>
                    <a:fld id="{EBF44124-ADE7-413C-BD64-8ECE5B20EA6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3A59-4B55-B387-3ED608CAE130}"/>
                </c:ext>
              </c:extLst>
            </c:dLbl>
            <c:dLbl>
              <c:idx val="4"/>
              <c:tx>
                <c:rich>
                  <a:bodyPr/>
                  <a:lstStyle/>
                  <a:p>
                    <a:fld id="{BB0E2BF0-8BB9-4B98-A704-CC404E2708B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3A59-4B55-B387-3ED608CAE130}"/>
                </c:ext>
              </c:extLst>
            </c:dLbl>
            <c:dLbl>
              <c:idx val="5"/>
              <c:tx>
                <c:rich>
                  <a:bodyPr/>
                  <a:lstStyle/>
                  <a:p>
                    <a:fld id="{3574C173-5266-4846-8A68-8452CF01DA68}"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3A59-4B55-B387-3ED608CAE1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Value_Avg'!$Y$4:$Y$10</c:f>
              <c:numCache>
                <c:formatCode>General</c:formatCode>
                <c:ptCount val="6"/>
                <c:pt idx="0">
                  <c:v>1.7222222222222223</c:v>
                </c:pt>
                <c:pt idx="1">
                  <c:v>2</c:v>
                </c:pt>
                <c:pt idx="2">
                  <c:v>2.7777777777777777</c:v>
                </c:pt>
                <c:pt idx="3">
                  <c:v>1.8888888888888888</c:v>
                </c:pt>
                <c:pt idx="4">
                  <c:v>1.5</c:v>
                </c:pt>
                <c:pt idx="5">
                  <c:v>2</c:v>
                </c:pt>
              </c:numCache>
            </c:numRef>
          </c:val>
          <c:extLst xmlns:c16r2="http://schemas.microsoft.com/office/drawing/2015/06/chart">
            <c:ext xmlns:c15="http://schemas.microsoft.com/office/drawing/2012/chart" uri="{02D57815-91ED-43cb-92C2-25804820EDAC}">
              <c15:datalabelsRange>
                <c15:f>'EU Added Value_Avg'!$Y$21:$Y$26</c15:f>
                <c15:dlblRangeCache>
                  <c:ptCount val="6"/>
                  <c:pt idx="0">
                    <c:v>1.72 (18)</c:v>
                  </c:pt>
                  <c:pt idx="1">
                    <c:v>2.00 (18)</c:v>
                  </c:pt>
                  <c:pt idx="2">
                    <c:v>2.78 (18)</c:v>
                  </c:pt>
                  <c:pt idx="3">
                    <c:v>1.89 (18)</c:v>
                  </c:pt>
                  <c:pt idx="4">
                    <c:v>1.50 (18)</c:v>
                  </c:pt>
                  <c:pt idx="5">
                    <c:v>2.00 (18)</c:v>
                  </c:pt>
                </c15:dlblRangeCache>
              </c15:datalabelsRange>
            </c:ext>
            <c:ext xmlns:c16="http://schemas.microsoft.com/office/drawing/2014/chart" uri="{C3380CC4-5D6E-409C-BE32-E72D297353CC}">
              <c16:uniqueId val="{0000001B-3A59-4B55-B387-3ED608CAE130}"/>
            </c:ext>
          </c:extLst>
        </c:ser>
        <c:ser>
          <c:idx val="4"/>
          <c:order val="4"/>
          <c:tx>
            <c:strRef>
              <c:f>'EU Added Value_Avg'!$Z$2:$Z$3</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C-3A59-4B55-B387-3ED608CAE130}"/>
              </c:ext>
            </c:extLst>
          </c:dPt>
          <c:dPt>
            <c:idx val="1"/>
            <c:invertIfNegative val="0"/>
            <c:bubble3D val="0"/>
            <c:extLst xmlns:c16r2="http://schemas.microsoft.com/office/drawing/2015/06/chart">
              <c:ext xmlns:c16="http://schemas.microsoft.com/office/drawing/2014/chart" uri="{C3380CC4-5D6E-409C-BE32-E72D297353CC}">
                <c16:uniqueId val="{0000001D-3A59-4B55-B387-3ED608CAE130}"/>
              </c:ext>
            </c:extLst>
          </c:dPt>
          <c:dPt>
            <c:idx val="2"/>
            <c:invertIfNegative val="0"/>
            <c:bubble3D val="0"/>
            <c:extLst xmlns:c16r2="http://schemas.microsoft.com/office/drawing/2015/06/chart">
              <c:ext xmlns:c16="http://schemas.microsoft.com/office/drawing/2014/chart" uri="{C3380CC4-5D6E-409C-BE32-E72D297353CC}">
                <c16:uniqueId val="{0000001E-3A59-4B55-B387-3ED608CAE130}"/>
              </c:ext>
            </c:extLst>
          </c:dPt>
          <c:dPt>
            <c:idx val="3"/>
            <c:invertIfNegative val="0"/>
            <c:bubble3D val="0"/>
            <c:extLst xmlns:c16r2="http://schemas.microsoft.com/office/drawing/2015/06/chart">
              <c:ext xmlns:c16="http://schemas.microsoft.com/office/drawing/2014/chart" uri="{C3380CC4-5D6E-409C-BE32-E72D297353CC}">
                <c16:uniqueId val="{0000001F-3A59-4B55-B387-3ED608CAE130}"/>
              </c:ext>
            </c:extLst>
          </c:dPt>
          <c:dPt>
            <c:idx val="4"/>
            <c:invertIfNegative val="0"/>
            <c:bubble3D val="0"/>
            <c:extLst xmlns:c16r2="http://schemas.microsoft.com/office/drawing/2015/06/chart">
              <c:ext xmlns:c16="http://schemas.microsoft.com/office/drawing/2014/chart" uri="{C3380CC4-5D6E-409C-BE32-E72D297353CC}">
                <c16:uniqueId val="{00000020-3A59-4B55-B387-3ED608CAE130}"/>
              </c:ext>
            </c:extLst>
          </c:dPt>
          <c:dPt>
            <c:idx val="5"/>
            <c:invertIfNegative val="0"/>
            <c:bubble3D val="0"/>
            <c:extLst xmlns:c16r2="http://schemas.microsoft.com/office/drawing/2015/06/chart">
              <c:ext xmlns:c16="http://schemas.microsoft.com/office/drawing/2014/chart" uri="{C3380CC4-5D6E-409C-BE32-E72D297353CC}">
                <c16:uniqueId val="{00000021-3A59-4B55-B387-3ED608CAE130}"/>
              </c:ext>
            </c:extLst>
          </c:dPt>
          <c:dLbls>
            <c:dLbl>
              <c:idx val="0"/>
              <c:tx>
                <c:rich>
                  <a:bodyPr/>
                  <a:lstStyle/>
                  <a:p>
                    <a:fld id="{B7DCD798-434C-4B44-8695-884A12D872E7}"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C-3A59-4B55-B387-3ED608CAE130}"/>
                </c:ext>
              </c:extLst>
            </c:dLbl>
            <c:dLbl>
              <c:idx val="1"/>
              <c:tx>
                <c:rich>
                  <a:bodyPr/>
                  <a:lstStyle/>
                  <a:p>
                    <a:fld id="{4B57C317-EFAC-45A3-872C-0B80A1A1283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3A59-4B55-B387-3ED608CAE130}"/>
                </c:ext>
              </c:extLst>
            </c:dLbl>
            <c:dLbl>
              <c:idx val="2"/>
              <c:tx>
                <c:rich>
                  <a:bodyPr/>
                  <a:lstStyle/>
                  <a:p>
                    <a:fld id="{E0D2BC48-4E1F-4AB4-B19E-DAC1C96D5A9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3A59-4B55-B387-3ED608CAE130}"/>
                </c:ext>
              </c:extLst>
            </c:dLbl>
            <c:dLbl>
              <c:idx val="3"/>
              <c:tx>
                <c:rich>
                  <a:bodyPr/>
                  <a:lstStyle/>
                  <a:p>
                    <a:fld id="{2EC6B4B5-2123-4E6E-ACD2-12D61802C61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3A59-4B55-B387-3ED608CAE130}"/>
                </c:ext>
              </c:extLst>
            </c:dLbl>
            <c:dLbl>
              <c:idx val="4"/>
              <c:tx>
                <c:rich>
                  <a:bodyPr/>
                  <a:lstStyle/>
                  <a:p>
                    <a:fld id="{0664DF59-F993-4F53-A3AA-ED71592FD57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3A59-4B55-B387-3ED608CAE130}"/>
                </c:ext>
              </c:extLst>
            </c:dLbl>
            <c:dLbl>
              <c:idx val="5"/>
              <c:tx>
                <c:rich>
                  <a:bodyPr/>
                  <a:lstStyle/>
                  <a:p>
                    <a:fld id="{CFA3BFD4-4A30-4D7F-BD7C-DB8D83CB15E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3A59-4B55-B387-3ED608CAE1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Value_Avg'!$U$4:$U$10</c:f>
              <c:strCache>
                <c:ptCount val="6"/>
                <c:pt idx="0">
                  <c:v>Specific objective 5: To facilitate the reuse of interoperability solutions by European public administrations</c:v>
                </c:pt>
                <c:pt idx="1">
                  <c:v>Specific objective 4: To identify, create and operate interoperability solutions supporting the implementation of Union policies and activities</c:v>
                </c:pt>
                <c:pt idx="2">
                  <c:v>Specific objective 3: To contribute to the development of a more effective, simplified and user-friendly e-administration at the national, regional and local levels of public administration</c:v>
                </c:pt>
                <c:pt idx="3">
                  <c:v>Specific objective 2: To facilitate efficient and effective electronic cross-border or cross-sector interaction between European public administrations, and between European public administrations and businesses and citizens</c:v>
                </c:pt>
                <c:pt idx="4">
                  <c:v>Specific objective 1: To develop, maintain and promote a holistic approach to interoperability in the Union in order to eliminate fragmentation in the interoperability landscape in the Union</c:v>
                </c:pt>
                <c:pt idx="5">
                  <c:v>General objective: To promote the ICT-based modernisation of the public sector in Europe and to facilitate addressing the needs of businesses and citizens via improved interoperability of public administrations, contributing to the DSM and to growth</c:v>
                </c:pt>
              </c:strCache>
            </c:strRef>
          </c:cat>
          <c:val>
            <c:numRef>
              <c:f>'EU Added Value_Avg'!$Z$4:$Z$10</c:f>
              <c:numCache>
                <c:formatCode>General</c:formatCode>
                <c:ptCount val="6"/>
                <c:pt idx="0">
                  <c:v>2.2727272727272729</c:v>
                </c:pt>
                <c:pt idx="1">
                  <c:v>2.3636363636363638</c:v>
                </c:pt>
                <c:pt idx="2">
                  <c:v>3.0476190476190474</c:v>
                </c:pt>
                <c:pt idx="3">
                  <c:v>2.4090909090909092</c:v>
                </c:pt>
                <c:pt idx="4">
                  <c:v>2.0909090909090908</c:v>
                </c:pt>
                <c:pt idx="5">
                  <c:v>2.5909090909090908</c:v>
                </c:pt>
              </c:numCache>
            </c:numRef>
          </c:val>
          <c:extLst xmlns:c16r2="http://schemas.microsoft.com/office/drawing/2015/06/chart">
            <c:ext xmlns:c15="http://schemas.microsoft.com/office/drawing/2012/chart" uri="{02D57815-91ED-43cb-92C2-25804820EDAC}">
              <c15:datalabelsRange>
                <c15:f>'EU Added Value_Avg'!$Z$21:$Z$26</c15:f>
                <c15:dlblRangeCache>
                  <c:ptCount val="6"/>
                  <c:pt idx="0">
                    <c:v>2.27 (22)</c:v>
                  </c:pt>
                  <c:pt idx="1">
                    <c:v>2.36 (22)</c:v>
                  </c:pt>
                  <c:pt idx="2">
                    <c:v>3.05 (21)</c:v>
                  </c:pt>
                  <c:pt idx="3">
                    <c:v>2.41 (22)</c:v>
                  </c:pt>
                  <c:pt idx="4">
                    <c:v>2.09 (22)</c:v>
                  </c:pt>
                  <c:pt idx="5">
                    <c:v>2.59 (22)</c:v>
                  </c:pt>
                </c15:dlblRangeCache>
              </c15:datalabelsRange>
            </c:ext>
            <c:ext xmlns:c16="http://schemas.microsoft.com/office/drawing/2014/chart" uri="{C3380CC4-5D6E-409C-BE32-E72D297353CC}">
              <c16:uniqueId val="{00000022-3A59-4B55-B387-3ED608CAE130}"/>
            </c:ext>
          </c:extLst>
        </c:ser>
        <c:dLbls>
          <c:dLblPos val="outEnd"/>
          <c:showLegendKey val="0"/>
          <c:showVal val="1"/>
          <c:showCatName val="0"/>
          <c:showSerName val="0"/>
          <c:showPercent val="0"/>
          <c:showBubbleSize val="0"/>
        </c:dLbls>
        <c:gapWidth val="182"/>
        <c:axId val="110433408"/>
        <c:axId val="110434944"/>
      </c:barChart>
      <c:catAx>
        <c:axId val="11043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34944"/>
        <c:crosses val="autoZero"/>
        <c:auto val="1"/>
        <c:lblAlgn val="ctr"/>
        <c:lblOffset val="100"/>
        <c:noMultiLvlLbl val="0"/>
      </c:catAx>
      <c:valAx>
        <c:axId val="110434944"/>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334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Graphs_averages_final.xlsx]EU Added Value_Avg!Tableau croisé dynamique11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2A2C5B-48D7-42C2-A0B8-7D5B503EE0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CE4B58-2F69-4E83-87E3-F3C3758FD8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2F168B-511A-4369-BE53-9D46A83A5B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CB3B42-CA89-42FF-A4D6-4F8F213831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1CC930-5689-4439-A61A-5ED4E90249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FBA56E-00B9-4B98-A884-449C5389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2A2C5B-48D7-42C2-A0B8-7D5B503EE0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CE4B58-2F69-4E83-87E3-F3C3758FD8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2F168B-511A-4369-BE53-9D46A83A5B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CB3B42-CA89-42FF-A4D6-4F8F213831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1CC930-5689-4439-A61A-5ED4E90249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FBA56E-00B9-4B98-A884-449C5389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2A2C5B-48D7-42C2-A0B8-7D5B503EE0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CE4B58-2F69-4E83-87E3-F3C3758FD8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2F168B-511A-4369-BE53-9D46A83A5B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CB3B42-CA89-42FF-A4D6-4F8F213831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1CC930-5689-4439-A61A-5ED4E90249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FBA56E-00B9-4B98-A884-449C5389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2.9426102370928402E-2"/>
          <c:y val="4.7930283224400898E-2"/>
          <c:w val="0.6220695767781963"/>
          <c:h val="0.79343832020997362"/>
        </c:manualLayout>
      </c:layout>
      <c:barChart>
        <c:barDir val="bar"/>
        <c:grouping val="clustered"/>
        <c:varyColors val="0"/>
        <c:ser>
          <c:idx val="0"/>
          <c:order val="0"/>
          <c:tx>
            <c:strRef>
              <c:f>'EU Added Value_Avg'!$V$30:$V$31</c:f>
              <c:strCache>
                <c:ptCount val="1"/>
                <c:pt idx="0">
                  <c:v>Wider public</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A787-4EE1-94B4-AA40D3AF563E}"/>
              </c:ext>
            </c:extLst>
          </c:dPt>
          <c:dLbls>
            <c:dLbl>
              <c:idx val="0"/>
              <c:tx>
                <c:rich>
                  <a:bodyPr/>
                  <a:lstStyle/>
                  <a:p>
                    <a:fld id="{AB9A50EF-DA46-4E61-B46C-2625AA46FC26}"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A787-4EE1-94B4-AA40D3AF563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Value_Avg'!$V$32</c:f>
              <c:numCache>
                <c:formatCode>General</c:formatCode>
                <c:ptCount val="1"/>
                <c:pt idx="0">
                  <c:v>3.2352941176470589</c:v>
                </c:pt>
              </c:numCache>
            </c:numRef>
          </c:val>
          <c:extLst xmlns:c16r2="http://schemas.microsoft.com/office/drawing/2015/06/chart">
            <c:ext xmlns:c15="http://schemas.microsoft.com/office/drawing/2012/chart" uri="{02D57815-91ED-43cb-92C2-25804820EDAC}">
              <c15:datalabelsRange>
                <c15:f>'EU Added Value_Avg'!$V$37</c15:f>
                <c15:dlblRangeCache>
                  <c:ptCount val="1"/>
                  <c:pt idx="0">
                    <c:v>3.24 (27)</c:v>
                  </c:pt>
                </c15:dlblRangeCache>
              </c15:datalabelsRange>
            </c:ext>
            <c:ext xmlns:c16="http://schemas.microsoft.com/office/drawing/2014/chart" uri="{C3380CC4-5D6E-409C-BE32-E72D297353CC}">
              <c16:uniqueId val="{00000001-A787-4EE1-94B4-AA40D3AF563E}"/>
            </c:ext>
          </c:extLst>
        </c:ser>
        <c:ser>
          <c:idx val="1"/>
          <c:order val="1"/>
          <c:tx>
            <c:strRef>
              <c:f>'EU Added Value_Avg'!$W$30:$W$31</c:f>
              <c:strCache>
                <c:ptCount val="1"/>
                <c:pt idx="0">
                  <c:v>Standardisation organisations</c:v>
                </c:pt>
              </c:strCache>
            </c:strRef>
          </c:tx>
          <c:spPr>
            <a:solidFill>
              <a:schemeClr val="accent2"/>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2-A787-4EE1-94B4-AA40D3AF563E}"/>
              </c:ext>
            </c:extLst>
          </c:dPt>
          <c:dLbls>
            <c:dLbl>
              <c:idx val="0"/>
              <c:tx>
                <c:rich>
                  <a:bodyPr/>
                  <a:lstStyle/>
                  <a:p>
                    <a:fld id="{FC675E33-D5E3-4145-9F42-C84557A2C804}"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A787-4EE1-94B4-AA40D3AF563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Value_Avg'!$W$32</c:f>
              <c:numCache>
                <c:formatCode>General</c:formatCode>
                <c:ptCount val="1"/>
                <c:pt idx="0">
                  <c:v>3.6666666666666665</c:v>
                </c:pt>
              </c:numCache>
            </c:numRef>
          </c:val>
          <c:extLst xmlns:c16r2="http://schemas.microsoft.com/office/drawing/2015/06/chart">
            <c:ext xmlns:c15="http://schemas.microsoft.com/office/drawing/2012/chart" uri="{02D57815-91ED-43cb-92C2-25804820EDAC}">
              <c15:datalabelsRange>
                <c15:f>'EU Added Value_Avg'!$W$37</c15:f>
                <c15:dlblRangeCache>
                  <c:ptCount val="1"/>
                  <c:pt idx="0">
                    <c:v>3.67 (3)</c:v>
                  </c:pt>
                </c15:dlblRangeCache>
              </c15:datalabelsRange>
            </c:ext>
            <c:ext xmlns:c16="http://schemas.microsoft.com/office/drawing/2014/chart" uri="{C3380CC4-5D6E-409C-BE32-E72D297353CC}">
              <c16:uniqueId val="{00000003-A787-4EE1-94B4-AA40D3AF563E}"/>
            </c:ext>
          </c:extLst>
        </c:ser>
        <c:ser>
          <c:idx val="2"/>
          <c:order val="2"/>
          <c:tx>
            <c:strRef>
              <c:f>'EU Added Value_Avg'!$X$30:$X$31</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A787-4EE1-94B4-AA40D3AF563E}"/>
              </c:ext>
            </c:extLst>
          </c:dPt>
          <c:dLbls>
            <c:dLbl>
              <c:idx val="0"/>
              <c:tx>
                <c:rich>
                  <a:bodyPr/>
                  <a:lstStyle/>
                  <a:p>
                    <a:fld id="{066A8792-EEFD-43FA-905C-8C500262857E}"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A787-4EE1-94B4-AA40D3AF563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Value_Avg'!$X$32</c:f>
              <c:numCache>
                <c:formatCode>General</c:formatCode>
                <c:ptCount val="1"/>
                <c:pt idx="0">
                  <c:v>3.2222222222222223</c:v>
                </c:pt>
              </c:numCache>
            </c:numRef>
          </c:val>
          <c:extLst xmlns:c16r2="http://schemas.microsoft.com/office/drawing/2015/06/chart">
            <c:ext xmlns:c15="http://schemas.microsoft.com/office/drawing/2012/chart" uri="{02D57815-91ED-43cb-92C2-25804820EDAC}">
              <c15:datalabelsRange>
                <c15:f>'EU Added Value_Avg'!$X$37</c15:f>
                <c15:dlblRangeCache>
                  <c:ptCount val="1"/>
                  <c:pt idx="0">
                    <c:v>3.22 (9)</c:v>
                  </c:pt>
                </c15:dlblRangeCache>
              </c15:datalabelsRange>
            </c:ext>
            <c:ext xmlns:c16="http://schemas.microsoft.com/office/drawing/2014/chart" uri="{C3380CC4-5D6E-409C-BE32-E72D297353CC}">
              <c16:uniqueId val="{00000005-A787-4EE1-94B4-AA40D3AF563E}"/>
            </c:ext>
          </c:extLst>
        </c:ser>
        <c:ser>
          <c:idx val="3"/>
          <c:order val="3"/>
          <c:tx>
            <c:strRef>
              <c:f>'EU Added Value_Avg'!$Y$30:$Y$31</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6-A787-4EE1-94B4-AA40D3AF563E}"/>
              </c:ext>
            </c:extLst>
          </c:dPt>
          <c:dLbls>
            <c:dLbl>
              <c:idx val="0"/>
              <c:tx>
                <c:rich>
                  <a:bodyPr/>
                  <a:lstStyle/>
                  <a:p>
                    <a:fld id="{AABBB63E-3F28-41B5-9ACA-C75167B0580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A787-4EE1-94B4-AA40D3AF563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Value_Avg'!$Y$32</c:f>
              <c:numCache>
                <c:formatCode>General</c:formatCode>
                <c:ptCount val="1"/>
                <c:pt idx="0">
                  <c:v>3.2727272727272729</c:v>
                </c:pt>
              </c:numCache>
            </c:numRef>
          </c:val>
          <c:extLst xmlns:c16r2="http://schemas.microsoft.com/office/drawing/2015/06/chart">
            <c:ext xmlns:c15="http://schemas.microsoft.com/office/drawing/2012/chart" uri="{02D57815-91ED-43cb-92C2-25804820EDAC}">
              <c15:datalabelsRange>
                <c15:f>'EU Added Value_Avg'!$Y$37</c15:f>
                <c15:dlblRangeCache>
                  <c:ptCount val="1"/>
                  <c:pt idx="0">
                    <c:v>3.27 (33)</c:v>
                  </c:pt>
                </c15:dlblRangeCache>
              </c15:datalabelsRange>
            </c:ext>
            <c:ext xmlns:c16="http://schemas.microsoft.com/office/drawing/2014/chart" uri="{C3380CC4-5D6E-409C-BE32-E72D297353CC}">
              <c16:uniqueId val="{00000007-A787-4EE1-94B4-AA40D3AF563E}"/>
            </c:ext>
          </c:extLst>
        </c:ser>
        <c:ser>
          <c:idx val="4"/>
          <c:order val="4"/>
          <c:tx>
            <c:strRef>
              <c:f>'EU Added Value_Avg'!$Z$30:$Z$31</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8-A787-4EE1-94B4-AA40D3AF563E}"/>
              </c:ext>
            </c:extLst>
          </c:dPt>
          <c:dLbls>
            <c:dLbl>
              <c:idx val="0"/>
              <c:tx>
                <c:rich>
                  <a:bodyPr/>
                  <a:lstStyle/>
                  <a:p>
                    <a:fld id="{82094466-891D-48DD-8EE8-11C6A06C381F}"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A787-4EE1-94B4-AA40D3AF563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Value_Avg'!$Z$32</c:f>
              <c:numCache>
                <c:formatCode>General</c:formatCode>
                <c:ptCount val="1"/>
                <c:pt idx="0">
                  <c:v>3.3333333333333335</c:v>
                </c:pt>
              </c:numCache>
            </c:numRef>
          </c:val>
          <c:extLst xmlns:c16r2="http://schemas.microsoft.com/office/drawing/2015/06/chart">
            <c:ext xmlns:c15="http://schemas.microsoft.com/office/drawing/2012/chart" uri="{02D57815-91ED-43cb-92C2-25804820EDAC}">
              <c15:datalabelsRange>
                <c15:f>'EU Added Value_Avg'!$Z$37</c15:f>
                <c15:dlblRangeCache>
                  <c:ptCount val="1"/>
                  <c:pt idx="0">
                    <c:v>3.33 (15)</c:v>
                  </c:pt>
                </c15:dlblRangeCache>
              </c15:datalabelsRange>
            </c:ext>
            <c:ext xmlns:c16="http://schemas.microsoft.com/office/drawing/2014/chart" uri="{C3380CC4-5D6E-409C-BE32-E72D297353CC}">
              <c16:uniqueId val="{00000009-A787-4EE1-94B4-AA40D3AF563E}"/>
            </c:ext>
          </c:extLst>
        </c:ser>
        <c:ser>
          <c:idx val="5"/>
          <c:order val="5"/>
          <c:tx>
            <c:strRef>
              <c:f>'EU Added Value_Avg'!$AA$30:$AA$31</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A-A787-4EE1-94B4-AA40D3AF563E}"/>
              </c:ext>
            </c:extLst>
          </c:dPt>
          <c:dLbls>
            <c:dLbl>
              <c:idx val="0"/>
              <c:tx>
                <c:rich>
                  <a:bodyPr/>
                  <a:lstStyle/>
                  <a:p>
                    <a:fld id="{B2A982DC-AC82-4359-8F38-4C935E81535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A787-4EE1-94B4-AA40D3AF563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Value_Avg'!$U$32</c:f>
              <c:strCache>
                <c:ptCount val="1"/>
                <c:pt idx="0">
                  <c:v>Total</c:v>
                </c:pt>
              </c:strCache>
            </c:strRef>
          </c:cat>
          <c:val>
            <c:numRef>
              <c:f>'EU Added Value_Avg'!$AA$32</c:f>
              <c:numCache>
                <c:formatCode>General</c:formatCode>
                <c:ptCount val="1"/>
                <c:pt idx="0">
                  <c:v>3.3181818181818183</c:v>
                </c:pt>
              </c:numCache>
            </c:numRef>
          </c:val>
          <c:extLst xmlns:c16r2="http://schemas.microsoft.com/office/drawing/2015/06/chart">
            <c:ext xmlns:c15="http://schemas.microsoft.com/office/drawing/2012/chart" uri="{02D57815-91ED-43cb-92C2-25804820EDAC}">
              <c15:datalabelsRange>
                <c15:f>'EU Added Value_Avg'!$AA$37</c15:f>
                <c15:dlblRangeCache>
                  <c:ptCount val="1"/>
                  <c:pt idx="0">
                    <c:v>3.32 (22)</c:v>
                  </c:pt>
                </c15:dlblRangeCache>
              </c15:datalabelsRange>
            </c:ext>
            <c:ext xmlns:c16="http://schemas.microsoft.com/office/drawing/2014/chart" uri="{C3380CC4-5D6E-409C-BE32-E72D297353CC}">
              <c16:uniqueId val="{0000000B-A787-4EE1-94B4-AA40D3AF563E}"/>
            </c:ext>
          </c:extLst>
        </c:ser>
        <c:dLbls>
          <c:dLblPos val="outEnd"/>
          <c:showLegendKey val="0"/>
          <c:showVal val="1"/>
          <c:showCatName val="0"/>
          <c:showSerName val="0"/>
          <c:showPercent val="0"/>
          <c:showBubbleSize val="0"/>
        </c:dLbls>
        <c:gapWidth val="182"/>
        <c:axId val="110742144"/>
        <c:axId val="110887296"/>
      </c:barChart>
      <c:catAx>
        <c:axId val="110742144"/>
        <c:scaling>
          <c:orientation val="minMax"/>
        </c:scaling>
        <c:delete val="1"/>
        <c:axPos val="l"/>
        <c:numFmt formatCode="General" sourceLinked="1"/>
        <c:majorTickMark val="none"/>
        <c:minorTickMark val="none"/>
        <c:tickLblPos val="nextTo"/>
        <c:crossAx val="110887296"/>
        <c:crosses val="autoZero"/>
        <c:auto val="1"/>
        <c:lblAlgn val="ctr"/>
        <c:lblOffset val="100"/>
        <c:noMultiLvlLbl val="0"/>
      </c:catAx>
      <c:valAx>
        <c:axId val="110887296"/>
        <c:scaling>
          <c:orientation val="minMax"/>
          <c:max val="4"/>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0742144"/>
        <c:crosses val="autoZero"/>
        <c:crossBetween val="between"/>
        <c:majorUnit val="1"/>
      </c:valAx>
      <c:spPr>
        <a:noFill/>
        <a:ln>
          <a:noFill/>
        </a:ln>
        <a:effectLst/>
      </c:spPr>
    </c:plotArea>
    <c:legend>
      <c:legendPos val="r"/>
      <c:layout>
        <c:manualLayout>
          <c:xMode val="edge"/>
          <c:yMode val="edge"/>
          <c:x val="0.69105558570080139"/>
          <c:y val="6.9938908498506647E-2"/>
          <c:w val="0.29783599784350029"/>
          <c:h val="0.870877002443660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Graphs_averages_final.xlsx]EU Added Value_Avg!PivotTable1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marker>
          <c:symbol val="none"/>
        </c:marker>
        <c:dLbl>
          <c:idx val="0"/>
          <c:delete val="1"/>
          <c:extLst xmlns:c16r2="http://schemas.microsoft.com/office/drawing/2015/06/chart">
            <c:ext xmlns:c15="http://schemas.microsoft.com/office/drawing/2012/chart" uri="{CE6537A1-D6FC-4f65-9D91-7224C49458BB}"/>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7B080DE-6B97-4830-91C4-AFA38340509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3F74C83-4A5F-43B1-BEBB-F9585566B78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E76E7A0-75DE-4C9A-B3A4-14989091E3C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F17D229-906B-4A8A-A67F-E467AC5F6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18F3F51-25C3-47E7-B8A2-C1F419F3F1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7B080DE-6B97-4830-91C4-AFA38340509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3F74C83-4A5F-43B1-BEBB-F9585566B78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E76E7A0-75DE-4C9A-B3A4-14989091E3C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F17D229-906B-4A8A-A67F-E467AC5F6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18F3F51-25C3-47E7-B8A2-C1F419F3F1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37A0716-BF3B-4F17-A45B-4CBAB3800A3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A77F048-CF52-4C67-80AC-D7FFB64E03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DF0F26-E4D5-435F-B3CC-171F608F458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29F9A8E-E7E9-489C-BC4A-386166E3FEB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6A33ECC-8688-4C73-8F8E-C3173AE3828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37A0716-BF3B-4F17-A45B-4CBAB3800A3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A77F048-CF52-4C67-80AC-D7FFB64E03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DF0F26-E4D5-435F-B3CC-171F608F458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29F9A8E-E7E9-489C-BC4A-386166E3FEB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6A33ECC-8688-4C73-8F8E-C3173AE3828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4"/>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37A0716-BF3B-4F17-A45B-4CBAB3800A3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6"/>
        <c:marker>
          <c:symbol val="none"/>
        </c:marker>
        <c:dLbl>
          <c:idx val="0"/>
          <c:delete val="1"/>
          <c:extLst xmlns:c16r2="http://schemas.microsoft.com/office/drawing/2015/06/chart">
            <c:ext xmlns:c15="http://schemas.microsoft.com/office/drawing/2012/chart" uri="{CE6537A1-D6FC-4f65-9D91-7224C49458BB}"/>
          </c:extLst>
        </c:dLbl>
      </c:pivotFmt>
      <c:pivotFmt>
        <c:idx val="18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A77F048-CF52-4C67-80AC-D7FFB64E03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8"/>
        <c:marker>
          <c:symbol val="none"/>
        </c:marker>
        <c:dLbl>
          <c:idx val="0"/>
          <c:delete val="1"/>
          <c:extLst xmlns:c16r2="http://schemas.microsoft.com/office/drawing/2015/06/chart">
            <c:ext xmlns:c15="http://schemas.microsoft.com/office/drawing/2012/chart" uri="{CE6537A1-D6FC-4f65-9D91-7224C49458BB}"/>
          </c:extLst>
        </c:dLbl>
      </c:pivotFmt>
      <c:pivotFmt>
        <c:idx val="18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DF0F26-E4D5-435F-B3CC-171F608F458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0"/>
        <c:marker>
          <c:symbol val="none"/>
        </c:marker>
        <c:dLbl>
          <c:idx val="0"/>
          <c:delete val="1"/>
          <c:extLst xmlns:c16r2="http://schemas.microsoft.com/office/drawing/2015/06/chart">
            <c:ext xmlns:c15="http://schemas.microsoft.com/office/drawing/2012/chart" uri="{CE6537A1-D6FC-4f65-9D91-7224C49458BB}"/>
          </c:extLst>
        </c:dLbl>
      </c:pivotFmt>
      <c:pivotFmt>
        <c:idx val="19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29F9A8E-E7E9-489C-BC4A-386166E3FEB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2"/>
        <c:marker>
          <c:symbol val="none"/>
        </c:marker>
        <c:dLbl>
          <c:idx val="0"/>
          <c:delete val="1"/>
          <c:extLst xmlns:c16r2="http://schemas.microsoft.com/office/drawing/2015/06/chart">
            <c:ext xmlns:c15="http://schemas.microsoft.com/office/drawing/2012/chart" uri="{CE6537A1-D6FC-4f65-9D91-7224C49458BB}"/>
          </c:extLst>
        </c:dLbl>
      </c:pivotFmt>
      <c:pivotFmt>
        <c:idx val="19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6A33ECC-8688-4C73-8F8E-C3173AE3828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'EU Added Value_Avg'!$V$58:$V$59</c:f>
              <c:strCache>
                <c:ptCount val="1"/>
                <c:pt idx="0">
                  <c:v>Standardisation organisations</c:v>
                </c:pt>
              </c:strCache>
            </c:strRef>
          </c:tx>
          <c:spPr>
            <a:solidFill>
              <a:schemeClr val="accent2"/>
            </a:solidFill>
            <a:ln>
              <a:noFill/>
            </a:ln>
            <a:effectLst/>
          </c:spPr>
          <c:invertIfNegative val="0"/>
          <c:dLbls>
            <c:dLbl>
              <c:idx val="0"/>
              <c:tx>
                <c:rich>
                  <a:bodyPr/>
                  <a:lstStyle/>
                  <a:p>
                    <a:fld id="{BDE9AD95-1435-4FB2-82D1-52FCD0215AB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6AF2-4ABF-B557-861C0313EA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Value_Avg'!$V$60</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'EU Added Value_Avg'!$V$52:$Z$52</c15:f>
                <c15:dlblRangeCache>
                  <c:ptCount val="5"/>
                  <c:pt idx="0">
                    <c:v>3.00 (1)</c:v>
                  </c:pt>
                  <c:pt idx="1">
                    <c:v>3.38 (8)</c:v>
                  </c:pt>
                  <c:pt idx="2">
                    <c:v>3.52 (42)</c:v>
                  </c:pt>
                  <c:pt idx="3">
                    <c:v>3.58 (19)</c:v>
                  </c:pt>
                  <c:pt idx="4">
                    <c:v>3.48 (23)</c:v>
                  </c:pt>
                </c15:dlblRangeCache>
              </c15:datalabelsRange>
            </c:ext>
            <c:ext xmlns:c16="http://schemas.microsoft.com/office/drawing/2014/chart" uri="{C3380CC4-5D6E-409C-BE32-E72D297353CC}">
              <c16:uniqueId val="{00000001-6AF2-4ABF-B557-861C0313EAD3}"/>
            </c:ext>
          </c:extLst>
        </c:ser>
        <c:ser>
          <c:idx val="1"/>
          <c:order val="1"/>
          <c:tx>
            <c:strRef>
              <c:f>'EU Added Value_Avg'!$W$58:$W$59</c:f>
              <c:strCache>
                <c:ptCount val="1"/>
                <c:pt idx="0">
                  <c:v>Stakeholders responsible for linked EU policies initiatives</c:v>
                </c:pt>
              </c:strCache>
            </c:strRef>
          </c:tx>
          <c:spPr>
            <a:solidFill>
              <a:schemeClr val="accent3"/>
            </a:solidFill>
            <a:ln>
              <a:noFill/>
            </a:ln>
            <a:effectLst/>
          </c:spPr>
          <c:invertIfNegative val="0"/>
          <c:dLbls>
            <c:dLbl>
              <c:idx val="0"/>
              <c:tx>
                <c:rich>
                  <a:bodyPr/>
                  <a:lstStyle/>
                  <a:p>
                    <a:fld id="{EE8DA2E4-9A8C-4C95-92EF-B08054A32CD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6AF2-4ABF-B557-861C0313EA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Value_Avg'!$W$60</c:f>
              <c:numCache>
                <c:formatCode>General</c:formatCode>
                <c:ptCount val="1"/>
                <c:pt idx="0">
                  <c:v>3.375</c:v>
                </c:pt>
              </c:numCache>
            </c:numRef>
          </c:val>
          <c:extLst xmlns:c16r2="http://schemas.microsoft.com/office/drawing/2015/06/chart">
            <c:ext xmlns:c15="http://schemas.microsoft.com/office/drawing/2012/chart" uri="{02D57815-91ED-43cb-92C2-25804820EDAC}">
              <c15:datalabelsRange>
                <c15:f>'EU Added Value_Avg'!$W$52</c15:f>
                <c15:dlblRangeCache>
                  <c:ptCount val="1"/>
                  <c:pt idx="0">
                    <c:v>3.38 (8)</c:v>
                  </c:pt>
                </c15:dlblRangeCache>
              </c15:datalabelsRange>
            </c:ext>
            <c:ext xmlns:c16="http://schemas.microsoft.com/office/drawing/2014/chart" uri="{C3380CC4-5D6E-409C-BE32-E72D297353CC}">
              <c16:uniqueId val="{00000003-6AF2-4ABF-B557-861C0313EAD3}"/>
            </c:ext>
          </c:extLst>
        </c:ser>
        <c:ser>
          <c:idx val="2"/>
          <c:order val="2"/>
          <c:tx>
            <c:strRef>
              <c:f>'EU Added Value_Avg'!$X$58:$X$59</c:f>
              <c:strCache>
                <c:ptCount val="1"/>
                <c:pt idx="0">
                  <c:v>Solution users</c:v>
                </c:pt>
              </c:strCache>
            </c:strRef>
          </c:tx>
          <c:spPr>
            <a:solidFill>
              <a:schemeClr val="accent4"/>
            </a:solidFill>
            <a:ln>
              <a:noFill/>
            </a:ln>
            <a:effectLst/>
          </c:spPr>
          <c:invertIfNegative val="0"/>
          <c:dLbls>
            <c:dLbl>
              <c:idx val="0"/>
              <c:tx>
                <c:rich>
                  <a:bodyPr/>
                  <a:lstStyle/>
                  <a:p>
                    <a:fld id="{01E5A365-F080-43DD-87D6-9B9D30807E0F}"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6AF2-4ABF-B557-861C0313EA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Value_Avg'!$X$60</c:f>
              <c:numCache>
                <c:formatCode>General</c:formatCode>
                <c:ptCount val="1"/>
                <c:pt idx="0">
                  <c:v>3.5238095238095237</c:v>
                </c:pt>
              </c:numCache>
            </c:numRef>
          </c:val>
          <c:extLst xmlns:c16r2="http://schemas.microsoft.com/office/drawing/2015/06/chart">
            <c:ext xmlns:c15="http://schemas.microsoft.com/office/drawing/2012/chart" uri="{02D57815-91ED-43cb-92C2-25804820EDAC}">
              <c15:datalabelsRange>
                <c15:f>'EU Added Value_Avg'!$X$52</c15:f>
                <c15:dlblRangeCache>
                  <c:ptCount val="1"/>
                  <c:pt idx="0">
                    <c:v>3.52 (42)</c:v>
                  </c:pt>
                </c15:dlblRangeCache>
              </c15:datalabelsRange>
            </c:ext>
            <c:ext xmlns:c16="http://schemas.microsoft.com/office/drawing/2014/chart" uri="{C3380CC4-5D6E-409C-BE32-E72D297353CC}">
              <c16:uniqueId val="{00000005-6AF2-4ABF-B557-861C0313EAD3}"/>
            </c:ext>
          </c:extLst>
        </c:ser>
        <c:ser>
          <c:idx val="3"/>
          <c:order val="3"/>
          <c:tx>
            <c:strRef>
              <c:f>'EU Added Value_Avg'!$Y$58:$Y$59</c:f>
              <c:strCache>
                <c:ptCount val="1"/>
                <c:pt idx="0">
                  <c:v>Programme governance</c:v>
                </c:pt>
              </c:strCache>
            </c:strRef>
          </c:tx>
          <c:spPr>
            <a:solidFill>
              <a:schemeClr val="accent5"/>
            </a:solidFill>
            <a:ln>
              <a:noFill/>
            </a:ln>
            <a:effectLst/>
          </c:spPr>
          <c:invertIfNegative val="0"/>
          <c:dLbls>
            <c:dLbl>
              <c:idx val="0"/>
              <c:tx>
                <c:rich>
                  <a:bodyPr/>
                  <a:lstStyle/>
                  <a:p>
                    <a:fld id="{3894856B-EFC0-4CC8-A7D0-9513DE5C6C1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6AF2-4ABF-B557-861C0313EA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Value_Avg'!$Y$60</c:f>
              <c:numCache>
                <c:formatCode>General</c:formatCode>
                <c:ptCount val="1"/>
                <c:pt idx="0">
                  <c:v>3.5789473684210527</c:v>
                </c:pt>
              </c:numCache>
            </c:numRef>
          </c:val>
          <c:extLst xmlns:c16r2="http://schemas.microsoft.com/office/drawing/2015/06/chart">
            <c:ext xmlns:c15="http://schemas.microsoft.com/office/drawing/2012/chart" uri="{02D57815-91ED-43cb-92C2-25804820EDAC}">
              <c15:datalabelsRange>
                <c15:f>'EU Added Value_Avg'!$Y$52</c15:f>
                <c15:dlblRangeCache>
                  <c:ptCount val="1"/>
                  <c:pt idx="0">
                    <c:v>3.58 (19)</c:v>
                  </c:pt>
                </c15:dlblRangeCache>
              </c15:datalabelsRange>
            </c:ext>
            <c:ext xmlns:c16="http://schemas.microsoft.com/office/drawing/2014/chart" uri="{C3380CC4-5D6E-409C-BE32-E72D297353CC}">
              <c16:uniqueId val="{00000007-6AF2-4ABF-B557-861C0313EAD3}"/>
            </c:ext>
          </c:extLst>
        </c:ser>
        <c:ser>
          <c:idx val="4"/>
          <c:order val="4"/>
          <c:tx>
            <c:strRef>
              <c:f>'EU Added Value_Avg'!$Z$58:$Z$59</c:f>
              <c:strCache>
                <c:ptCount val="1"/>
                <c:pt idx="0">
                  <c:v>Action owners</c:v>
                </c:pt>
              </c:strCache>
            </c:strRef>
          </c:tx>
          <c:spPr>
            <a:solidFill>
              <a:schemeClr val="accent6"/>
            </a:solidFill>
            <a:ln>
              <a:noFill/>
            </a:ln>
            <a:effectLst/>
          </c:spPr>
          <c:invertIfNegative val="0"/>
          <c:dLbls>
            <c:dLbl>
              <c:idx val="0"/>
              <c:tx>
                <c:rich>
                  <a:bodyPr/>
                  <a:lstStyle/>
                  <a:p>
                    <a:fld id="{16822AD4-1AEC-40FF-B4B7-0BDE83548F9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6AF2-4ABF-B557-861C0313EA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Value_Avg'!$U$60</c:f>
              <c:strCache>
                <c:ptCount val="1"/>
                <c:pt idx="0">
                  <c:v>Total</c:v>
                </c:pt>
              </c:strCache>
            </c:strRef>
          </c:cat>
          <c:val>
            <c:numRef>
              <c:f>'EU Added Value_Avg'!$Z$60</c:f>
              <c:numCache>
                <c:formatCode>General</c:formatCode>
                <c:ptCount val="1"/>
                <c:pt idx="0">
                  <c:v>3.4782608695652173</c:v>
                </c:pt>
              </c:numCache>
            </c:numRef>
          </c:val>
          <c:extLst xmlns:c16r2="http://schemas.microsoft.com/office/drawing/2015/06/chart">
            <c:ext xmlns:c15="http://schemas.microsoft.com/office/drawing/2012/chart" uri="{02D57815-91ED-43cb-92C2-25804820EDAC}">
              <c15:datalabelsRange>
                <c15:f>'EU Added Value_Avg'!$Z$52</c15:f>
                <c15:dlblRangeCache>
                  <c:ptCount val="1"/>
                  <c:pt idx="0">
                    <c:v>3.48 (23)</c:v>
                  </c:pt>
                </c15:dlblRangeCache>
              </c15:datalabelsRange>
            </c:ext>
            <c:ext xmlns:c16="http://schemas.microsoft.com/office/drawing/2014/chart" uri="{C3380CC4-5D6E-409C-BE32-E72D297353CC}">
              <c16:uniqueId val="{00000009-6AF2-4ABF-B557-861C0313EAD3}"/>
            </c:ext>
          </c:extLst>
        </c:ser>
        <c:dLbls>
          <c:showLegendKey val="0"/>
          <c:showVal val="1"/>
          <c:showCatName val="0"/>
          <c:showSerName val="0"/>
          <c:showPercent val="0"/>
          <c:showBubbleSize val="0"/>
        </c:dLbls>
        <c:gapWidth val="182"/>
        <c:axId val="111851392"/>
        <c:axId val="111852928"/>
      </c:barChart>
      <c:catAx>
        <c:axId val="111851392"/>
        <c:scaling>
          <c:orientation val="minMax"/>
        </c:scaling>
        <c:delete val="1"/>
        <c:axPos val="l"/>
        <c:numFmt formatCode="General" sourceLinked="1"/>
        <c:majorTickMark val="none"/>
        <c:minorTickMark val="none"/>
        <c:tickLblPos val="nextTo"/>
        <c:crossAx val="111852928"/>
        <c:crosses val="autoZero"/>
        <c:auto val="0"/>
        <c:lblAlgn val="ctr"/>
        <c:lblOffset val="100"/>
        <c:noMultiLvlLbl val="0"/>
      </c:catAx>
      <c:valAx>
        <c:axId val="111852928"/>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1851392"/>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Graphs_averages_final.xlsx]EU Added Value_Avg!PivotTable2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22BE8375-1183-4FA2-92CD-4D4188A2CB2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0909C08-1227-48F0-A270-E206C1F4023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78CDB36-64CF-4E77-8138-65C20AE37DC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4FDC166-C53F-4698-A03B-74C621DC7F8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'EU Added Value_Avg'!$V$74:$V$75</c:f>
              <c:strCache>
                <c:ptCount val="1"/>
                <c:pt idx="0">
                  <c:v>Stakeholders responsible for linked EU policies initiatives</c:v>
                </c:pt>
              </c:strCache>
            </c:strRef>
          </c:tx>
          <c:spPr>
            <a:solidFill>
              <a:schemeClr val="accent3"/>
            </a:solidFill>
            <a:ln>
              <a:noFill/>
            </a:ln>
            <a:effectLst/>
          </c:spPr>
          <c:invertIfNegative val="0"/>
          <c:dLbls>
            <c:dLbl>
              <c:idx val="0"/>
              <c:tx>
                <c:rich>
                  <a:bodyPr/>
                  <a:lstStyle/>
                  <a:p>
                    <a:fld id="{24747A5A-38A4-4D96-9BE2-E98C2DA2319A}"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07B2-4270-A988-3B6731F8F7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Value_Avg'!$U$76</c:f>
              <c:strCache>
                <c:ptCount val="1"/>
                <c:pt idx="0">
                  <c:v>Total</c:v>
                </c:pt>
              </c:strCache>
            </c:strRef>
          </c:cat>
          <c:val>
            <c:numRef>
              <c:f>'EU Added Value_Avg'!$V$76</c:f>
              <c:numCache>
                <c:formatCode>General</c:formatCode>
                <c:ptCount val="1"/>
                <c:pt idx="0">
                  <c:v>3.25</c:v>
                </c:pt>
              </c:numCache>
            </c:numRef>
          </c:val>
          <c:extLst xmlns:c16r2="http://schemas.microsoft.com/office/drawing/2015/06/chart">
            <c:ext xmlns:c15="http://schemas.microsoft.com/office/drawing/2012/chart" uri="{02D57815-91ED-43cb-92C2-25804820EDAC}">
              <c15:datalabelsRange>
                <c15:f>'EU Added Value_Avg'!$W$53</c15:f>
                <c15:dlblRangeCache>
                  <c:ptCount val="1"/>
                  <c:pt idx="0">
                    <c:v>3.25 (8)</c:v>
                  </c:pt>
                </c15:dlblRangeCache>
              </c15:datalabelsRange>
            </c:ext>
            <c:ext xmlns:c16="http://schemas.microsoft.com/office/drawing/2014/chart" uri="{C3380CC4-5D6E-409C-BE32-E72D297353CC}">
              <c16:uniqueId val="{00000001-07B2-4270-A988-3B6731F8F778}"/>
            </c:ext>
          </c:extLst>
        </c:ser>
        <c:ser>
          <c:idx val="1"/>
          <c:order val="1"/>
          <c:tx>
            <c:strRef>
              <c:f>'EU Added Value_Avg'!$W$74:$W$75</c:f>
              <c:strCache>
                <c:ptCount val="1"/>
                <c:pt idx="0">
                  <c:v>Solution users</c:v>
                </c:pt>
              </c:strCache>
            </c:strRef>
          </c:tx>
          <c:spPr>
            <a:solidFill>
              <a:schemeClr val="accent4"/>
            </a:solidFill>
            <a:ln>
              <a:noFill/>
            </a:ln>
            <a:effectLst/>
          </c:spPr>
          <c:invertIfNegative val="0"/>
          <c:dLbls>
            <c:dLbl>
              <c:idx val="0"/>
              <c:tx>
                <c:rich>
                  <a:bodyPr/>
                  <a:lstStyle/>
                  <a:p>
                    <a:fld id="{9DA4448D-C6ED-4D17-865E-FE1EC3CC08EC}"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07B2-4270-A988-3B6731F8F7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Value_Avg'!$U$76</c:f>
              <c:strCache>
                <c:ptCount val="1"/>
                <c:pt idx="0">
                  <c:v>Total</c:v>
                </c:pt>
              </c:strCache>
            </c:strRef>
          </c:cat>
          <c:val>
            <c:numRef>
              <c:f>'EU Added Value_Avg'!$W$76</c:f>
              <c:numCache>
                <c:formatCode>General</c:formatCode>
                <c:ptCount val="1"/>
                <c:pt idx="0">
                  <c:v>3.4</c:v>
                </c:pt>
              </c:numCache>
            </c:numRef>
          </c:val>
          <c:extLst xmlns:c16r2="http://schemas.microsoft.com/office/drawing/2015/06/chart">
            <c:ext xmlns:c15="http://schemas.microsoft.com/office/drawing/2012/chart" uri="{02D57815-91ED-43cb-92C2-25804820EDAC}">
              <c15:datalabelsRange>
                <c15:f>'EU Added Value_Avg'!$X$53</c15:f>
                <c15:dlblRangeCache>
                  <c:ptCount val="1"/>
                  <c:pt idx="0">
                    <c:v>3.40 (35)</c:v>
                  </c:pt>
                </c15:dlblRangeCache>
              </c15:datalabelsRange>
            </c:ext>
            <c:ext xmlns:c16="http://schemas.microsoft.com/office/drawing/2014/chart" uri="{C3380CC4-5D6E-409C-BE32-E72D297353CC}">
              <c16:uniqueId val="{00000003-07B2-4270-A988-3B6731F8F778}"/>
            </c:ext>
          </c:extLst>
        </c:ser>
        <c:ser>
          <c:idx val="2"/>
          <c:order val="2"/>
          <c:tx>
            <c:strRef>
              <c:f>'EU Added Value_Avg'!$X$74:$X$75</c:f>
              <c:strCache>
                <c:ptCount val="1"/>
                <c:pt idx="0">
                  <c:v>Programme governance</c:v>
                </c:pt>
              </c:strCache>
            </c:strRef>
          </c:tx>
          <c:spPr>
            <a:solidFill>
              <a:schemeClr val="accent5"/>
            </a:solidFill>
            <a:ln>
              <a:noFill/>
            </a:ln>
            <a:effectLst/>
          </c:spPr>
          <c:invertIfNegative val="0"/>
          <c:dLbls>
            <c:dLbl>
              <c:idx val="0"/>
              <c:tx>
                <c:rich>
                  <a:bodyPr/>
                  <a:lstStyle/>
                  <a:p>
                    <a:fld id="{130F1424-3A34-4922-AA3D-2A336162C02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07B2-4270-A988-3B6731F8F7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Value_Avg'!$U$76</c:f>
              <c:strCache>
                <c:ptCount val="1"/>
                <c:pt idx="0">
                  <c:v>Total</c:v>
                </c:pt>
              </c:strCache>
            </c:strRef>
          </c:cat>
          <c:val>
            <c:numRef>
              <c:f>'EU Added Value_Avg'!$X$76</c:f>
              <c:numCache>
                <c:formatCode>General</c:formatCode>
                <c:ptCount val="1"/>
                <c:pt idx="0">
                  <c:v>3.736842105263158</c:v>
                </c:pt>
              </c:numCache>
            </c:numRef>
          </c:val>
          <c:extLst xmlns:c16r2="http://schemas.microsoft.com/office/drawing/2015/06/chart">
            <c:ext xmlns:c15="http://schemas.microsoft.com/office/drawing/2012/chart" uri="{02D57815-91ED-43cb-92C2-25804820EDAC}">
              <c15:datalabelsRange>
                <c15:f>'EU Added Value_Avg'!$Y$53</c15:f>
                <c15:dlblRangeCache>
                  <c:ptCount val="1"/>
                  <c:pt idx="0">
                    <c:v>3.74 (19)</c:v>
                  </c:pt>
                </c15:dlblRangeCache>
              </c15:datalabelsRange>
            </c:ext>
            <c:ext xmlns:c16="http://schemas.microsoft.com/office/drawing/2014/chart" uri="{C3380CC4-5D6E-409C-BE32-E72D297353CC}">
              <c16:uniqueId val="{00000005-07B2-4270-A988-3B6731F8F778}"/>
            </c:ext>
          </c:extLst>
        </c:ser>
        <c:ser>
          <c:idx val="3"/>
          <c:order val="3"/>
          <c:tx>
            <c:strRef>
              <c:f>'EU Added Value_Avg'!$Y$74:$Y$75</c:f>
              <c:strCache>
                <c:ptCount val="1"/>
                <c:pt idx="0">
                  <c:v>Action owners</c:v>
                </c:pt>
              </c:strCache>
            </c:strRef>
          </c:tx>
          <c:spPr>
            <a:solidFill>
              <a:schemeClr val="accent6"/>
            </a:solidFill>
            <a:ln>
              <a:noFill/>
            </a:ln>
            <a:effectLst/>
          </c:spPr>
          <c:invertIfNegative val="0"/>
          <c:dLbls>
            <c:dLbl>
              <c:idx val="0"/>
              <c:tx>
                <c:rich>
                  <a:bodyPr/>
                  <a:lstStyle/>
                  <a:p>
                    <a:fld id="{05479A79-35FB-4FDD-8CFE-F97C93F7E43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07B2-4270-A988-3B6731F8F7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Added Value_Avg'!$U$76</c:f>
              <c:strCache>
                <c:ptCount val="1"/>
                <c:pt idx="0">
                  <c:v>Total</c:v>
                </c:pt>
              </c:strCache>
            </c:strRef>
          </c:cat>
          <c:val>
            <c:numRef>
              <c:f>'EU Added Value_Avg'!$Y$76</c:f>
              <c:numCache>
                <c:formatCode>General</c:formatCode>
                <c:ptCount val="1"/>
                <c:pt idx="0">
                  <c:v>3.3181818181818183</c:v>
                </c:pt>
              </c:numCache>
            </c:numRef>
          </c:val>
          <c:extLst xmlns:c16r2="http://schemas.microsoft.com/office/drawing/2015/06/chart">
            <c:ext xmlns:c15="http://schemas.microsoft.com/office/drawing/2012/chart" uri="{02D57815-91ED-43cb-92C2-25804820EDAC}">
              <c15:datalabelsRange>
                <c15:f>'EU Added Value_Avg'!$Z$53</c15:f>
                <c15:dlblRangeCache>
                  <c:ptCount val="1"/>
                  <c:pt idx="0">
                    <c:v>3.32 (22)</c:v>
                  </c:pt>
                </c15:dlblRangeCache>
              </c15:datalabelsRange>
            </c:ext>
            <c:ext xmlns:c16="http://schemas.microsoft.com/office/drawing/2014/chart" uri="{C3380CC4-5D6E-409C-BE32-E72D297353CC}">
              <c16:uniqueId val="{00000007-07B2-4270-A988-3B6731F8F778}"/>
            </c:ext>
          </c:extLst>
        </c:ser>
        <c:dLbls>
          <c:showLegendKey val="0"/>
          <c:showVal val="1"/>
          <c:showCatName val="0"/>
          <c:showSerName val="0"/>
          <c:showPercent val="0"/>
          <c:showBubbleSize val="0"/>
        </c:dLbls>
        <c:gapWidth val="182"/>
        <c:axId val="112522368"/>
        <c:axId val="112523904"/>
      </c:barChart>
      <c:catAx>
        <c:axId val="112522368"/>
        <c:scaling>
          <c:orientation val="minMax"/>
        </c:scaling>
        <c:delete val="1"/>
        <c:axPos val="l"/>
        <c:numFmt formatCode="General" sourceLinked="1"/>
        <c:majorTickMark val="none"/>
        <c:minorTickMark val="none"/>
        <c:tickLblPos val="nextTo"/>
        <c:crossAx val="112523904"/>
        <c:crosses val="autoZero"/>
        <c:auto val="0"/>
        <c:lblAlgn val="ctr"/>
        <c:lblOffset val="100"/>
        <c:noMultiLvlLbl val="0"/>
      </c:catAx>
      <c:valAx>
        <c:axId val="112523904"/>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2522368"/>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Graphs_averages_final.xlsx]Utility_Avg!Tableau croisé dynamique1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marker>
          <c:symbol val="none"/>
        </c:marker>
        <c:dLbl>
          <c:idx val="0"/>
          <c:delete val="1"/>
          <c:extLst xmlns:c16r2="http://schemas.microsoft.com/office/drawing/2015/06/chart">
            <c:ext xmlns:c15="http://schemas.microsoft.com/office/drawing/2012/chart" uri="{CE6537A1-D6FC-4f65-9D91-7224C49458BB}"/>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349ED84-5186-440B-80F7-E9419DF47DA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595358-1A0A-4368-B6FF-6E2DA2503A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2DFA6BC-9518-4467-8683-B60DB1E34F2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5CDA232-4F33-4143-9265-F496966CC67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A9C8690-3977-4934-9D7E-B434884DEF4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349ED84-5186-440B-80F7-E9419DF47DA8}"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595358-1A0A-4368-B6FF-6E2DA2503A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2DFA6BC-9518-4467-8683-B60DB1E34F2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5CDA232-4F33-4143-9265-F496966CC67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A9C8690-3977-4934-9D7E-B434884DEF46}"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834FD62-C180-41A5-B787-B4C344DAE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CB07401-A5F7-4663-B572-C930A2FF879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097E410-8D42-4519-8F85-A9A9B4FE36B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3F8314F-6871-49BC-88B2-9C3AA267D02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81FE18E-2111-4BF6-8433-6560B46BA13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834FD62-C180-41A5-B787-B4C344DAE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CB07401-A5F7-4663-B572-C930A2FF879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097E410-8D42-4519-8F85-A9A9B4FE36B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3F8314F-6871-49BC-88B2-9C3AA267D02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81FE18E-2111-4BF6-8433-6560B46BA13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4"/>
        <c:marker>
          <c:symbol val="none"/>
        </c:marker>
        <c:dLbl>
          <c:idx val="0"/>
          <c:delete val="1"/>
          <c:extLst xmlns:c16r2="http://schemas.microsoft.com/office/drawing/2015/06/chart">
            <c:ext xmlns:c15="http://schemas.microsoft.com/office/drawing/2012/chart" uri="{CE6537A1-D6FC-4f65-9D91-7224C49458BB}"/>
          </c:extLst>
        </c:dLbl>
      </c:pivotFmt>
      <c:pivotFmt>
        <c:idx val="18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834FD62-C180-41A5-B787-B4C344DAEE2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6"/>
        <c:marker>
          <c:symbol val="none"/>
        </c:marker>
        <c:dLbl>
          <c:idx val="0"/>
          <c:delete val="1"/>
          <c:extLst xmlns:c16r2="http://schemas.microsoft.com/office/drawing/2015/06/chart">
            <c:ext xmlns:c15="http://schemas.microsoft.com/office/drawing/2012/chart" uri="{CE6537A1-D6FC-4f65-9D91-7224C49458BB}"/>
          </c:extLst>
        </c:dLbl>
      </c:pivotFmt>
      <c:pivotFmt>
        <c:idx val="18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CB07401-A5F7-4663-B572-C930A2FF879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8"/>
        <c:marker>
          <c:symbol val="none"/>
        </c:marker>
        <c:dLbl>
          <c:idx val="0"/>
          <c:delete val="1"/>
          <c:extLst xmlns:c16r2="http://schemas.microsoft.com/office/drawing/2015/06/chart">
            <c:ext xmlns:c15="http://schemas.microsoft.com/office/drawing/2012/chart" uri="{CE6537A1-D6FC-4f65-9D91-7224C49458BB}"/>
          </c:extLst>
        </c:dLbl>
      </c:pivotFmt>
      <c:pivotFmt>
        <c:idx val="18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097E410-8D42-4519-8F85-A9A9B4FE36B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0"/>
        <c:marker>
          <c:symbol val="none"/>
        </c:marker>
        <c:dLbl>
          <c:idx val="0"/>
          <c:delete val="1"/>
          <c:extLst xmlns:c16r2="http://schemas.microsoft.com/office/drawing/2015/06/chart">
            <c:ext xmlns:c15="http://schemas.microsoft.com/office/drawing/2012/chart" uri="{CE6537A1-D6FC-4f65-9D91-7224C49458BB}"/>
          </c:extLst>
        </c:dLbl>
      </c:pivotFmt>
      <c:pivotFmt>
        <c:idx val="1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3F8314F-6871-49BC-88B2-9C3AA267D02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2"/>
        <c:marker>
          <c:symbol val="none"/>
        </c:marker>
        <c:dLbl>
          <c:idx val="0"/>
          <c:delete val="1"/>
          <c:extLst xmlns:c16r2="http://schemas.microsoft.com/office/drawing/2015/06/chart">
            <c:ext xmlns:c15="http://schemas.microsoft.com/office/drawing/2012/chart" uri="{CE6537A1-D6FC-4f65-9D91-7224C49458BB}"/>
          </c:extLst>
        </c:dLbl>
      </c:pivotFmt>
      <c:pivotFmt>
        <c:idx val="1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81FE18E-2111-4BF6-8433-6560B46BA13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Utility_Avg!$R$2:$R$3</c:f>
              <c:strCache>
                <c:ptCount val="1"/>
                <c:pt idx="0">
                  <c:v>Standardisation organisations</c:v>
                </c:pt>
              </c:strCache>
            </c:strRef>
          </c:tx>
          <c:spPr>
            <a:solidFill>
              <a:schemeClr val="accent2"/>
            </a:solidFill>
            <a:ln>
              <a:noFill/>
            </a:ln>
            <a:effectLst/>
          </c:spPr>
          <c:invertIfNegative val="0"/>
          <c:dLbls>
            <c:dLbl>
              <c:idx val="0"/>
              <c:tx>
                <c:rich>
                  <a:bodyPr/>
                  <a:lstStyle/>
                  <a:p>
                    <a:fld id="{94636917-E0D4-45B7-9234-79383FB410CB}"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7FA1-464A-A7AE-556D563EEC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Utility_Avg!$R$4</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Utility_Avg!$R$11</c15:f>
                <c15:dlblRangeCache>
                  <c:ptCount val="1"/>
                  <c:pt idx="0">
                    <c:v>3.00 (2)</c:v>
                  </c:pt>
                </c15:dlblRangeCache>
              </c15:datalabelsRange>
            </c:ext>
            <c:ext xmlns:c16="http://schemas.microsoft.com/office/drawing/2014/chart" uri="{C3380CC4-5D6E-409C-BE32-E72D297353CC}">
              <c16:uniqueId val="{00000001-7FA1-464A-A7AE-556D563EEC4A}"/>
            </c:ext>
          </c:extLst>
        </c:ser>
        <c:ser>
          <c:idx val="1"/>
          <c:order val="1"/>
          <c:tx>
            <c:strRef>
              <c:f>Utility_Avg!$S$2:$S$3</c:f>
              <c:strCache>
                <c:ptCount val="1"/>
                <c:pt idx="0">
                  <c:v>Stakeholders responsible for linked EU policies initiatives (with the exception of CIOs)</c:v>
                </c:pt>
              </c:strCache>
            </c:strRef>
          </c:tx>
          <c:spPr>
            <a:solidFill>
              <a:schemeClr val="accent3"/>
            </a:solidFill>
            <a:ln>
              <a:noFill/>
            </a:ln>
            <a:effectLst/>
          </c:spPr>
          <c:invertIfNegative val="0"/>
          <c:dLbls>
            <c:dLbl>
              <c:idx val="0"/>
              <c:tx>
                <c:rich>
                  <a:bodyPr/>
                  <a:lstStyle/>
                  <a:p>
                    <a:fld id="{C182CE64-17B3-47BA-BC9B-EC0A9CA723FE}"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7FA1-464A-A7AE-556D563EEC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Utility_Avg!$S$4</c:f>
              <c:numCache>
                <c:formatCode>General</c:formatCode>
                <c:ptCount val="1"/>
                <c:pt idx="0">
                  <c:v>3.4285714285714284</c:v>
                </c:pt>
              </c:numCache>
            </c:numRef>
          </c:val>
          <c:extLst xmlns:c16r2="http://schemas.microsoft.com/office/drawing/2015/06/chart">
            <c:ext xmlns:c15="http://schemas.microsoft.com/office/drawing/2012/chart" uri="{02D57815-91ED-43cb-92C2-25804820EDAC}">
              <c15:datalabelsRange>
                <c15:f>Utility_Avg!$S$11</c15:f>
                <c15:dlblRangeCache>
                  <c:ptCount val="1"/>
                  <c:pt idx="0">
                    <c:v>3.43 (7)</c:v>
                  </c:pt>
                </c15:dlblRangeCache>
              </c15:datalabelsRange>
            </c:ext>
            <c:ext xmlns:c16="http://schemas.microsoft.com/office/drawing/2014/chart" uri="{C3380CC4-5D6E-409C-BE32-E72D297353CC}">
              <c16:uniqueId val="{00000003-7FA1-464A-A7AE-556D563EEC4A}"/>
            </c:ext>
          </c:extLst>
        </c:ser>
        <c:ser>
          <c:idx val="2"/>
          <c:order val="2"/>
          <c:tx>
            <c:strRef>
              <c:f>Utility_Avg!$T$2:$T$3</c:f>
              <c:strCache>
                <c:ptCount val="1"/>
                <c:pt idx="0">
                  <c:v>Solution users (from EC)</c:v>
                </c:pt>
              </c:strCache>
            </c:strRef>
          </c:tx>
          <c:spPr>
            <a:solidFill>
              <a:schemeClr val="accent4"/>
            </a:solidFill>
            <a:ln>
              <a:noFill/>
            </a:ln>
            <a:effectLst/>
          </c:spPr>
          <c:invertIfNegative val="0"/>
          <c:dLbls>
            <c:dLbl>
              <c:idx val="0"/>
              <c:tx>
                <c:rich>
                  <a:bodyPr/>
                  <a:lstStyle/>
                  <a:p>
                    <a:fld id="{B9E5A13E-08F5-4FDB-9827-1EF0285D159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7FA1-464A-A7AE-556D563EEC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Utility_Avg!$T$4</c:f>
              <c:numCache>
                <c:formatCode>General</c:formatCode>
                <c:ptCount val="1"/>
                <c:pt idx="0">
                  <c:v>3.3333333333333335</c:v>
                </c:pt>
              </c:numCache>
            </c:numRef>
          </c:val>
          <c:extLst xmlns:c16r2="http://schemas.microsoft.com/office/drawing/2015/06/chart">
            <c:ext xmlns:c15="http://schemas.microsoft.com/office/drawing/2012/chart" uri="{02D57815-91ED-43cb-92C2-25804820EDAC}">
              <c15:datalabelsRange>
                <c15:f>Utility_Avg!$T$11</c15:f>
                <c15:dlblRangeCache>
                  <c:ptCount val="1"/>
                  <c:pt idx="0">
                    <c:v>3.33 (15)</c:v>
                  </c:pt>
                </c15:dlblRangeCache>
              </c15:datalabelsRange>
            </c:ext>
            <c:ext xmlns:c16="http://schemas.microsoft.com/office/drawing/2014/chart" uri="{C3380CC4-5D6E-409C-BE32-E72D297353CC}">
              <c16:uniqueId val="{00000005-7FA1-464A-A7AE-556D563EEC4A}"/>
            </c:ext>
          </c:extLst>
        </c:ser>
        <c:ser>
          <c:idx val="3"/>
          <c:order val="3"/>
          <c:tx>
            <c:strRef>
              <c:f>Utility_Avg!$U$2:$U$3</c:f>
              <c:strCache>
                <c:ptCount val="1"/>
                <c:pt idx="0">
                  <c:v>Programme governance (from DIGIT)</c:v>
                </c:pt>
              </c:strCache>
            </c:strRef>
          </c:tx>
          <c:spPr>
            <a:solidFill>
              <a:schemeClr val="accent5"/>
            </a:solidFill>
            <a:ln>
              <a:noFill/>
            </a:ln>
            <a:effectLst/>
          </c:spPr>
          <c:invertIfNegative val="0"/>
          <c:dLbls>
            <c:dLbl>
              <c:idx val="0"/>
              <c:tx>
                <c:rich>
                  <a:bodyPr/>
                  <a:lstStyle/>
                  <a:p>
                    <a:fld id="{EEAC9E9B-2437-4E8D-B829-0DCB867F269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7FA1-464A-A7AE-556D563EEC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Utility_Avg!$U$4</c:f>
              <c:numCache>
                <c:formatCode>General</c:formatCode>
                <c:ptCount val="1"/>
                <c:pt idx="0">
                  <c:v>3.375</c:v>
                </c:pt>
              </c:numCache>
            </c:numRef>
          </c:val>
          <c:extLst xmlns:c16r2="http://schemas.microsoft.com/office/drawing/2015/06/chart">
            <c:ext xmlns:c15="http://schemas.microsoft.com/office/drawing/2012/chart" uri="{02D57815-91ED-43cb-92C2-25804820EDAC}">
              <c15:datalabelsRange>
                <c15:f>Utility_Avg!$U$11</c15:f>
                <c15:dlblRangeCache>
                  <c:ptCount val="1"/>
                  <c:pt idx="0">
                    <c:v>3.38 (16)</c:v>
                  </c:pt>
                </c15:dlblRangeCache>
              </c15:datalabelsRange>
            </c:ext>
            <c:ext xmlns:c16="http://schemas.microsoft.com/office/drawing/2014/chart" uri="{C3380CC4-5D6E-409C-BE32-E72D297353CC}">
              <c16:uniqueId val="{00000007-7FA1-464A-A7AE-556D563EEC4A}"/>
            </c:ext>
          </c:extLst>
        </c:ser>
        <c:ser>
          <c:idx val="4"/>
          <c:order val="4"/>
          <c:tx>
            <c:strRef>
              <c:f>Utility_Avg!$V$2:$V$3</c:f>
              <c:strCache>
                <c:ptCount val="1"/>
                <c:pt idx="0">
                  <c:v>Action owners</c:v>
                </c:pt>
              </c:strCache>
            </c:strRef>
          </c:tx>
          <c:spPr>
            <a:solidFill>
              <a:schemeClr val="accent6"/>
            </a:solidFill>
            <a:ln>
              <a:noFill/>
            </a:ln>
            <a:effectLst/>
          </c:spPr>
          <c:invertIfNegative val="0"/>
          <c:dLbls>
            <c:dLbl>
              <c:idx val="0"/>
              <c:tx>
                <c:rich>
                  <a:bodyPr/>
                  <a:lstStyle/>
                  <a:p>
                    <a:fld id="{C5A0979A-8B71-46ED-9468-BDCF6FBC9EF0}"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7FA1-464A-A7AE-556D563EEC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c:f>
              <c:strCache>
                <c:ptCount val="1"/>
                <c:pt idx="0">
                  <c:v>Total</c:v>
                </c:pt>
              </c:strCache>
            </c:strRef>
          </c:cat>
          <c:val>
            <c:numRef>
              <c:f>Utility_Avg!$V$4</c:f>
              <c:numCache>
                <c:formatCode>General</c:formatCode>
                <c:ptCount val="1"/>
                <c:pt idx="0">
                  <c:v>3.4347826086956523</c:v>
                </c:pt>
              </c:numCache>
            </c:numRef>
          </c:val>
          <c:extLst xmlns:c16r2="http://schemas.microsoft.com/office/drawing/2015/06/chart">
            <c:ext xmlns:c15="http://schemas.microsoft.com/office/drawing/2012/chart" uri="{02D57815-91ED-43cb-92C2-25804820EDAC}">
              <c15:datalabelsRange>
                <c15:f>Utility_Avg!$V$11</c15:f>
                <c15:dlblRangeCache>
                  <c:ptCount val="1"/>
                  <c:pt idx="0">
                    <c:v>3.43 (23)</c:v>
                  </c:pt>
                </c15:dlblRangeCache>
              </c15:datalabelsRange>
            </c:ext>
            <c:ext xmlns:c16="http://schemas.microsoft.com/office/drawing/2014/chart" uri="{C3380CC4-5D6E-409C-BE32-E72D297353CC}">
              <c16:uniqueId val="{00000009-7FA1-464A-A7AE-556D563EEC4A}"/>
            </c:ext>
          </c:extLst>
        </c:ser>
        <c:dLbls>
          <c:showLegendKey val="0"/>
          <c:showVal val="1"/>
          <c:showCatName val="0"/>
          <c:showSerName val="0"/>
          <c:showPercent val="0"/>
          <c:showBubbleSize val="0"/>
        </c:dLbls>
        <c:gapWidth val="182"/>
        <c:axId val="113448832"/>
        <c:axId val="113450368"/>
      </c:barChart>
      <c:catAx>
        <c:axId val="113448832"/>
        <c:scaling>
          <c:orientation val="minMax"/>
        </c:scaling>
        <c:delete val="1"/>
        <c:axPos val="l"/>
        <c:numFmt formatCode="General" sourceLinked="1"/>
        <c:majorTickMark val="none"/>
        <c:minorTickMark val="none"/>
        <c:tickLblPos val="nextTo"/>
        <c:crossAx val="113450368"/>
        <c:crosses val="autoZero"/>
        <c:auto val="0"/>
        <c:lblAlgn val="ctr"/>
        <c:lblOffset val="100"/>
        <c:noMultiLvlLbl val="0"/>
      </c:catAx>
      <c:valAx>
        <c:axId val="113450368"/>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3448832"/>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Graphs_averages_final.xlsx]Utility_Avg!PivotTable7</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0E0C427E-909F-4AC5-87AA-34D926A76E9B}"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8"/>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E0F1C85-0D5A-46AF-BC6F-A3462A21650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F7484F1-F5AB-4EC6-8652-DD7E0AA8C9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marker>
          <c:symbol val="none"/>
        </c:marker>
        <c:dLbl>
          <c:idx val="0"/>
          <c:delete val="1"/>
          <c:extLst xmlns:c16r2="http://schemas.microsoft.com/office/drawing/2015/06/chart">
            <c:ext xmlns:c15="http://schemas.microsoft.com/office/drawing/2012/chart" uri="{CE6537A1-D6FC-4f65-9D91-7224C49458BB}"/>
          </c:extLst>
        </c:dLbl>
      </c:pivotFmt>
      <c:pivotFmt>
        <c:idx val="151"/>
        <c:marker>
          <c:symbol val="none"/>
        </c:marker>
        <c:dLbl>
          <c:idx val="0"/>
          <c:delete val="1"/>
          <c:extLst xmlns:c16r2="http://schemas.microsoft.com/office/drawing/2015/06/chart">
            <c:ext xmlns:c15="http://schemas.microsoft.com/office/drawing/2012/chart" uri="{CE6537A1-D6FC-4f65-9D91-7224C49458BB}"/>
          </c:extLst>
        </c:dLbl>
      </c:pivotFmt>
      <c:pivotFmt>
        <c:idx val="152"/>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E0F1C85-0D5A-46AF-BC6F-A3462A21650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3"/>
        <c:marker>
          <c:symbol val="none"/>
        </c:marker>
        <c:dLbl>
          <c:idx val="0"/>
          <c:delete val="1"/>
          <c:extLst xmlns:c16r2="http://schemas.microsoft.com/office/drawing/2015/06/chart">
            <c:ext xmlns:c15="http://schemas.microsoft.com/office/drawing/2012/chart" uri="{CE6537A1-D6FC-4f65-9D91-7224C49458BB}"/>
          </c:extLst>
        </c:dLbl>
      </c:pivotFmt>
      <c:pivotFmt>
        <c:idx val="154"/>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F7484F1-F5AB-4EC6-8652-DD7E0AA8C9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5"/>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7276CB64-1941-47BD-9A57-4ACFCDE8D79C}"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marker>
          <c:symbol val="none"/>
        </c:marker>
        <c:dLbl>
          <c:idx val="0"/>
          <c:delete val="1"/>
          <c:extLst xmlns:c16r2="http://schemas.microsoft.com/office/drawing/2015/06/chart">
            <c:ext xmlns:c15="http://schemas.microsoft.com/office/drawing/2012/chart" uri="{CE6537A1-D6FC-4f65-9D91-7224C49458BB}"/>
          </c:extLst>
        </c:dLbl>
      </c:pivotFmt>
      <c:pivotFmt>
        <c:idx val="158"/>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7A28EB3-2F32-4F32-92F8-94793BF8BAB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9"/>
        <c:marker>
          <c:symbol val="none"/>
        </c:marker>
        <c:dLbl>
          <c:idx val="0"/>
          <c:delete val="1"/>
          <c:extLst xmlns:c16r2="http://schemas.microsoft.com/office/drawing/2015/06/chart">
            <c:ext xmlns:c15="http://schemas.microsoft.com/office/drawing/2012/chart" uri="{CE6537A1-D6FC-4f65-9D91-7224C49458BB}"/>
          </c:extLst>
        </c:dLbl>
      </c:pivotFmt>
      <c:pivotFmt>
        <c:idx val="160"/>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0748ABA-BA4C-4005-B056-B5E1E213CE9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1"/>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1E4562D-E7FE-4236-A91D-8837EC6C109A}"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marker>
          <c:symbol val="none"/>
        </c:marker>
        <c:dLbl>
          <c:idx val="0"/>
          <c:delete val="1"/>
          <c:extLst xmlns:c16r2="http://schemas.microsoft.com/office/drawing/2015/06/chart">
            <c:ext xmlns:c15="http://schemas.microsoft.com/office/drawing/2012/chart" uri="{CE6537A1-D6FC-4f65-9D91-7224C49458BB}"/>
          </c:extLst>
        </c:dLbl>
      </c:pivotFmt>
      <c:pivotFmt>
        <c:idx val="164"/>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7A28EB3-2F32-4F32-92F8-94793BF8BAB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5"/>
        <c:marker>
          <c:symbol val="none"/>
        </c:marker>
        <c:dLbl>
          <c:idx val="0"/>
          <c:delete val="1"/>
          <c:extLst xmlns:c16r2="http://schemas.microsoft.com/office/drawing/2015/06/chart">
            <c:ext xmlns:c15="http://schemas.microsoft.com/office/drawing/2012/chart" uri="{CE6537A1-D6FC-4f65-9D91-7224C49458BB}"/>
          </c:extLst>
        </c:dLbl>
      </c:pivotFmt>
      <c:pivotFmt>
        <c:idx val="166"/>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0748ABA-BA4C-4005-B056-B5E1E213CE9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7"/>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6AD7FB8B-3B56-4259-A234-6377389237B7}"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marker>
          <c:symbol val="none"/>
        </c:marker>
        <c:dLbl>
          <c:idx val="0"/>
          <c:delete val="1"/>
          <c:extLst xmlns:c16r2="http://schemas.microsoft.com/office/drawing/2015/06/chart">
            <c:ext xmlns:c15="http://schemas.microsoft.com/office/drawing/2012/chart" uri="{CE6537A1-D6FC-4f65-9D91-7224C49458BB}"/>
          </c:extLst>
        </c:dLbl>
      </c:pivotFmt>
      <c:pivotFmt>
        <c:idx val="170"/>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7A28EB3-2F32-4F32-92F8-94793BF8BAB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1"/>
        <c:marker>
          <c:symbol val="none"/>
        </c:marker>
        <c:dLbl>
          <c:idx val="0"/>
          <c:delete val="1"/>
          <c:extLst xmlns:c16r2="http://schemas.microsoft.com/office/drawing/2015/06/chart">
            <c:ext xmlns:c15="http://schemas.microsoft.com/office/drawing/2012/chart" uri="{CE6537A1-D6FC-4f65-9D91-7224C49458BB}"/>
          </c:extLst>
        </c:dLbl>
      </c:pivotFmt>
      <c:pivotFmt>
        <c:idx val="172"/>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0748ABA-BA4C-4005-B056-B5E1E213CE9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3"/>
        <c:dLbl>
          <c:idx val="0"/>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B552139-F73B-4446-9440-AEADAA347423}" type="CELLRANGE">
                  <a:rPr lang="en-GB"/>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Utility_Avg!$R$16:$R$17</c:f>
              <c:strCache>
                <c:ptCount val="1"/>
                <c:pt idx="0">
                  <c:v>Stakeholders responsible for linked EU policies initiatives (CIOs)</c:v>
                </c:pt>
              </c:strCache>
            </c:strRef>
          </c:tx>
          <c:spPr>
            <a:solidFill>
              <a:schemeClr val="accent3"/>
            </a:solidFill>
            <a:ln>
              <a:noFill/>
            </a:ln>
            <a:effectLst/>
          </c:spPr>
          <c:invertIfNegative val="0"/>
          <c:dLbls>
            <c:dLbl>
              <c:idx val="0"/>
              <c:tx>
                <c:rich>
                  <a:bodyPr/>
                  <a:lstStyle/>
                  <a:p>
                    <a:fld id="{73FD1367-9705-4678-AA42-9322E466B947}"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A160-42BA-A3EF-C652162719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Utility_Avg!$Q$18</c:f>
              <c:strCache>
                <c:ptCount val="1"/>
                <c:pt idx="0">
                  <c:v>Total</c:v>
                </c:pt>
              </c:strCache>
            </c:strRef>
          </c:cat>
          <c:val>
            <c:numRef>
              <c:f>Utility_Avg!$R$18</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Utility_Avg!$R$25</c15:f>
                <c15:dlblRangeCache>
                  <c:ptCount val="1"/>
                  <c:pt idx="0">
                    <c:v>3.00 (1)</c:v>
                  </c:pt>
                </c15:dlblRangeCache>
              </c15:datalabelsRange>
            </c:ext>
            <c:ext xmlns:c16="http://schemas.microsoft.com/office/drawing/2014/chart" uri="{C3380CC4-5D6E-409C-BE32-E72D297353CC}">
              <c16:uniqueId val="{00000001-A160-42BA-A3EF-C652162719A4}"/>
            </c:ext>
          </c:extLst>
        </c:ser>
        <c:ser>
          <c:idx val="1"/>
          <c:order val="1"/>
          <c:tx>
            <c:strRef>
              <c:f>Utility_Avg!$S$16:$S$17</c:f>
              <c:strCache>
                <c:ptCount val="1"/>
                <c:pt idx="0">
                  <c:v>Solution users (except from EC)</c:v>
                </c:pt>
              </c:strCache>
            </c:strRef>
          </c:tx>
          <c:spPr>
            <a:solidFill>
              <a:schemeClr val="accent4"/>
            </a:solidFill>
            <a:ln>
              <a:noFill/>
            </a:ln>
            <a:effectLst/>
          </c:spPr>
          <c:invertIfNegative val="0"/>
          <c:dLbls>
            <c:dLbl>
              <c:idx val="0"/>
              <c:tx>
                <c:rich>
                  <a:bodyPr/>
                  <a:lstStyle/>
                  <a:p>
                    <a:fld id="{A869B499-91CD-446F-84E7-568430BDB16A}"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A160-42BA-A3EF-C652162719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Utility_Avg!$Q$18</c:f>
              <c:strCache>
                <c:ptCount val="1"/>
                <c:pt idx="0">
                  <c:v>Total</c:v>
                </c:pt>
              </c:strCache>
            </c:strRef>
          </c:cat>
          <c:val>
            <c:numRef>
              <c:f>Utility_Avg!$S$18</c:f>
              <c:numCache>
                <c:formatCode>General</c:formatCode>
                <c:ptCount val="1"/>
                <c:pt idx="0">
                  <c:v>3.4583333333333335</c:v>
                </c:pt>
              </c:numCache>
            </c:numRef>
          </c:val>
          <c:extLst xmlns:c16r2="http://schemas.microsoft.com/office/drawing/2015/06/chart">
            <c:ext xmlns:c15="http://schemas.microsoft.com/office/drawing/2012/chart" uri="{02D57815-91ED-43cb-92C2-25804820EDAC}">
              <c15:datalabelsRange>
                <c15:f>Utility_Avg!$S$25</c15:f>
                <c15:dlblRangeCache>
                  <c:ptCount val="1"/>
                  <c:pt idx="0">
                    <c:v>3.46 (24)</c:v>
                  </c:pt>
                </c15:dlblRangeCache>
              </c15:datalabelsRange>
            </c:ext>
            <c:ext xmlns:c16="http://schemas.microsoft.com/office/drawing/2014/chart" uri="{C3380CC4-5D6E-409C-BE32-E72D297353CC}">
              <c16:uniqueId val="{00000003-A160-42BA-A3EF-C652162719A4}"/>
            </c:ext>
          </c:extLst>
        </c:ser>
        <c:ser>
          <c:idx val="2"/>
          <c:order val="2"/>
          <c:tx>
            <c:strRef>
              <c:f>Utility_Avg!$T$16:$T$17</c:f>
              <c:strCache>
                <c:ptCount val="1"/>
                <c:pt idx="0">
                  <c:v>Programme governance (Committee members and Coordination group members)</c:v>
                </c:pt>
              </c:strCache>
            </c:strRef>
          </c:tx>
          <c:spPr>
            <a:solidFill>
              <a:schemeClr val="accent5"/>
            </a:solidFill>
            <a:ln>
              <a:noFill/>
            </a:ln>
            <a:effectLst/>
          </c:spPr>
          <c:invertIfNegative val="0"/>
          <c:dLbls>
            <c:dLbl>
              <c:idx val="0"/>
              <c:tx>
                <c:rich>
                  <a:bodyPr/>
                  <a:lstStyle/>
                  <a:p>
                    <a:fld id="{7F3BE3E5-53E7-45BF-ABA2-2EA229B8BF0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A160-42BA-A3EF-C652162719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Utility_Avg!$Q$18</c:f>
              <c:strCache>
                <c:ptCount val="1"/>
                <c:pt idx="0">
                  <c:v>Total</c:v>
                </c:pt>
              </c:strCache>
            </c:strRef>
          </c:cat>
          <c:val>
            <c:numRef>
              <c:f>Utility_Avg!$T$18</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Utility_Avg!$T$25</c15:f>
                <c15:dlblRangeCache>
                  <c:ptCount val="1"/>
                  <c:pt idx="0">
                    <c:v>3.00 (3)</c:v>
                  </c:pt>
                </c15:dlblRangeCache>
              </c15:datalabelsRange>
            </c:ext>
            <c:ext xmlns:c16="http://schemas.microsoft.com/office/drawing/2014/chart" uri="{C3380CC4-5D6E-409C-BE32-E72D297353CC}">
              <c16:uniqueId val="{00000005-A160-42BA-A3EF-C652162719A4}"/>
            </c:ext>
          </c:extLst>
        </c:ser>
        <c:dLbls>
          <c:showLegendKey val="0"/>
          <c:showVal val="0"/>
          <c:showCatName val="0"/>
          <c:showSerName val="0"/>
          <c:showPercent val="0"/>
          <c:showBubbleSize val="0"/>
        </c:dLbls>
        <c:gapWidth val="182"/>
        <c:axId val="114648960"/>
        <c:axId val="114650496"/>
      </c:barChart>
      <c:catAx>
        <c:axId val="114648960"/>
        <c:scaling>
          <c:orientation val="minMax"/>
        </c:scaling>
        <c:delete val="1"/>
        <c:axPos val="l"/>
        <c:numFmt formatCode="General" sourceLinked="1"/>
        <c:majorTickMark val="none"/>
        <c:minorTickMark val="none"/>
        <c:tickLblPos val="nextTo"/>
        <c:crossAx val="114650496"/>
        <c:crosses val="autoZero"/>
        <c:auto val="0"/>
        <c:lblAlgn val="ctr"/>
        <c:lblOffset val="100"/>
        <c:noMultiLvlLbl val="0"/>
      </c:catAx>
      <c:valAx>
        <c:axId val="114650496"/>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4648960"/>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dynamique7</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684C011-54AA-4098-BB1F-AD70674F30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D5C2C77-290D-47FE-9C86-21649839CEB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6C82EF-9EEE-4AF5-B6A3-66B64FE5114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B050DC1-0796-42A2-8969-F7EAFD41F30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68809C5-A51E-4405-9853-C9689462199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771C56A-3C9A-4506-AE2B-8B22C243B645}"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6FADA6A2-B928-4B19-BD05-6BE4C2204BC4}"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06C7EE5-2F17-4E15-ADAE-6EC4636EDAF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C43B7DC-0014-4CBD-BF93-01BF9936F10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F932F393-9F94-483A-9575-DE79BF8A7D4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F04D443-74C7-4080-8A62-999C2C2C4F4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5A7C1FBA-0B97-4531-8D2C-36C6D9E8156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E5A9D8-3F5E-423C-AE1D-2F2571BFD2DA}"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DE080ADA-8451-413B-AD24-B38DB9637C9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FDDD230-2B60-462D-8E01-935DC623303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485F0FC-5FB1-4909-AD62-B2DA0457DD86}"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9AABD24-DEC0-466A-835D-D86AA8B3356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06B0F119-3562-45E9-BBDD-3E882ADC229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B165BC43-A958-49B9-BE7A-9DD9BA59A5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A4D453F-58EE-4BAA-B3DB-E43681CD5BD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E6030B84-2BEC-45FE-931F-484B06015291}"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140A029-3F97-4F73-B5B4-CDAC5E40F352}"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6F43026-A89B-4A17-B4F7-42B5BCE9CC8F}"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2D1A008-EACC-4399-801E-664A9DE7B88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7A40ECBF-1A67-4A31-AA41-5ABECBFB2E1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1316CB1-BB3F-41D2-8FA6-BFCE144D335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AFCEAAC-B6B9-4E26-8042-F3142D4E8750}"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D7AEC65-CBEA-4CE4-9CCD-721517D1E8BC}"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A1EA995F-2DCD-4610-9DEC-5E25B3F8B4F9}"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583D494-B217-4891-9BD5-384BD98474C3}"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1398A5C4-9EAE-464E-9B8B-AC45F357FE38}"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83387C45-DDF3-4640-889F-EF0D702902F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49A6830F-7A71-42EC-A568-D6AE0D685EED}"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2C375649-1539-428B-9A34-374660A0871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CC13974-ABC5-4B42-9D06-601F714AE7AB}"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fld id="{95E93B08-6256-4D61-B583-016B93CCF4DE}" type="CELLRANGE">
                  <a:rPr lang="en-US"/>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0.50230895865172853"/>
          <c:y val="1.2483870761069431E-2"/>
          <c:w val="0.37166129431766676"/>
          <c:h val="0.9217452042702623"/>
        </c:manualLayout>
      </c:layout>
      <c:barChart>
        <c:barDir val="bar"/>
        <c:grouping val="clustered"/>
        <c:varyColors val="0"/>
        <c:ser>
          <c:idx val="0"/>
          <c:order val="0"/>
          <c:tx>
            <c:strRef>
              <c:f>Effectiveness_Avg!$Z$114:$Z$115</c:f>
              <c:strCache>
                <c:ptCount val="1"/>
                <c:pt idx="0">
                  <c:v>Solution users</c:v>
                </c:pt>
              </c:strCache>
            </c:strRef>
          </c:tx>
          <c:spPr>
            <a:solidFill>
              <a:schemeClr val="accent4"/>
            </a:solidFill>
            <a:ln>
              <a:solidFill>
                <a:schemeClr val="accent4"/>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C867-4157-A3CB-914F43D5F92B}"/>
              </c:ext>
            </c:extLst>
          </c:dPt>
          <c:dPt>
            <c:idx val="1"/>
            <c:invertIfNegative val="0"/>
            <c:bubble3D val="0"/>
            <c:extLst xmlns:c16r2="http://schemas.microsoft.com/office/drawing/2015/06/chart">
              <c:ext xmlns:c16="http://schemas.microsoft.com/office/drawing/2014/chart" uri="{C3380CC4-5D6E-409C-BE32-E72D297353CC}">
                <c16:uniqueId val="{00000001-C867-4157-A3CB-914F43D5F92B}"/>
              </c:ext>
            </c:extLst>
          </c:dPt>
          <c:dPt>
            <c:idx val="2"/>
            <c:invertIfNegative val="0"/>
            <c:bubble3D val="0"/>
            <c:extLst xmlns:c16r2="http://schemas.microsoft.com/office/drawing/2015/06/chart">
              <c:ext xmlns:c16="http://schemas.microsoft.com/office/drawing/2014/chart" uri="{C3380CC4-5D6E-409C-BE32-E72D297353CC}">
                <c16:uniqueId val="{00000002-C867-4157-A3CB-914F43D5F92B}"/>
              </c:ext>
            </c:extLst>
          </c:dPt>
          <c:dPt>
            <c:idx val="3"/>
            <c:invertIfNegative val="0"/>
            <c:bubble3D val="0"/>
            <c:extLst xmlns:c16r2="http://schemas.microsoft.com/office/drawing/2015/06/chart">
              <c:ext xmlns:c16="http://schemas.microsoft.com/office/drawing/2014/chart" uri="{C3380CC4-5D6E-409C-BE32-E72D297353CC}">
                <c16:uniqueId val="{00000003-C867-4157-A3CB-914F43D5F92B}"/>
              </c:ext>
            </c:extLst>
          </c:dPt>
          <c:dPt>
            <c:idx val="4"/>
            <c:invertIfNegative val="0"/>
            <c:bubble3D val="0"/>
            <c:extLst xmlns:c16r2="http://schemas.microsoft.com/office/drawing/2015/06/chart">
              <c:ext xmlns:c16="http://schemas.microsoft.com/office/drawing/2014/chart" uri="{C3380CC4-5D6E-409C-BE32-E72D297353CC}">
                <c16:uniqueId val="{00000004-C867-4157-A3CB-914F43D5F92B}"/>
              </c:ext>
            </c:extLst>
          </c:dPt>
          <c:dPt>
            <c:idx val="5"/>
            <c:invertIfNegative val="0"/>
            <c:bubble3D val="0"/>
            <c:extLst xmlns:c16r2="http://schemas.microsoft.com/office/drawing/2015/06/chart">
              <c:ext xmlns:c16="http://schemas.microsoft.com/office/drawing/2014/chart" uri="{C3380CC4-5D6E-409C-BE32-E72D297353CC}">
                <c16:uniqueId val="{00000005-C867-4157-A3CB-914F43D5F92B}"/>
              </c:ext>
            </c:extLst>
          </c:dPt>
          <c:dPt>
            <c:idx val="6"/>
            <c:invertIfNegative val="0"/>
            <c:bubble3D val="0"/>
            <c:extLst xmlns:c16r2="http://schemas.microsoft.com/office/drawing/2015/06/chart">
              <c:ext xmlns:c16="http://schemas.microsoft.com/office/drawing/2014/chart" uri="{C3380CC4-5D6E-409C-BE32-E72D297353CC}">
                <c16:uniqueId val="{00000006-C867-4157-A3CB-914F43D5F92B}"/>
              </c:ext>
            </c:extLst>
          </c:dPt>
          <c:dPt>
            <c:idx val="7"/>
            <c:invertIfNegative val="0"/>
            <c:bubble3D val="0"/>
            <c:extLst xmlns:c16r2="http://schemas.microsoft.com/office/drawing/2015/06/chart">
              <c:ext xmlns:c16="http://schemas.microsoft.com/office/drawing/2014/chart" uri="{C3380CC4-5D6E-409C-BE32-E72D297353CC}">
                <c16:uniqueId val="{00000007-C867-4157-A3CB-914F43D5F92B}"/>
              </c:ext>
            </c:extLst>
          </c:dPt>
          <c:dPt>
            <c:idx val="8"/>
            <c:invertIfNegative val="0"/>
            <c:bubble3D val="0"/>
            <c:extLst xmlns:c16r2="http://schemas.microsoft.com/office/drawing/2015/06/chart">
              <c:ext xmlns:c16="http://schemas.microsoft.com/office/drawing/2014/chart" uri="{C3380CC4-5D6E-409C-BE32-E72D297353CC}">
                <c16:uniqueId val="{00000008-C867-4157-A3CB-914F43D5F92B}"/>
              </c:ext>
            </c:extLst>
          </c:dPt>
          <c:dPt>
            <c:idx val="9"/>
            <c:invertIfNegative val="0"/>
            <c:bubble3D val="0"/>
            <c:extLst xmlns:c16r2="http://schemas.microsoft.com/office/drawing/2015/06/chart">
              <c:ext xmlns:c16="http://schemas.microsoft.com/office/drawing/2014/chart" uri="{C3380CC4-5D6E-409C-BE32-E72D297353CC}">
                <c16:uniqueId val="{00000009-C867-4157-A3CB-914F43D5F92B}"/>
              </c:ext>
            </c:extLst>
          </c:dPt>
          <c:dPt>
            <c:idx val="10"/>
            <c:invertIfNegative val="0"/>
            <c:bubble3D val="0"/>
            <c:extLst xmlns:c16r2="http://schemas.microsoft.com/office/drawing/2015/06/chart">
              <c:ext xmlns:c16="http://schemas.microsoft.com/office/drawing/2014/chart" uri="{C3380CC4-5D6E-409C-BE32-E72D297353CC}">
                <c16:uniqueId val="{0000000A-C867-4157-A3CB-914F43D5F92B}"/>
              </c:ext>
            </c:extLst>
          </c:dPt>
          <c:dPt>
            <c:idx val="11"/>
            <c:invertIfNegative val="0"/>
            <c:bubble3D val="0"/>
            <c:extLst xmlns:c16r2="http://schemas.microsoft.com/office/drawing/2015/06/chart">
              <c:ext xmlns:c16="http://schemas.microsoft.com/office/drawing/2014/chart" uri="{C3380CC4-5D6E-409C-BE32-E72D297353CC}">
                <c16:uniqueId val="{0000000B-C867-4157-A3CB-914F43D5F92B}"/>
              </c:ext>
            </c:extLst>
          </c:dPt>
          <c:dLbls>
            <c:dLbl>
              <c:idx val="0"/>
              <c:tx>
                <c:rich>
                  <a:bodyPr/>
                  <a:lstStyle/>
                  <a:p>
                    <a:fld id="{3272B952-EACD-4203-B883-6F270733D7D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C867-4157-A3CB-914F43D5F92B}"/>
                </c:ext>
              </c:extLst>
            </c:dLbl>
            <c:dLbl>
              <c:idx val="1"/>
              <c:tx>
                <c:rich>
                  <a:bodyPr/>
                  <a:lstStyle/>
                  <a:p>
                    <a:fld id="{24B2709B-992D-4D64-B744-2B99B81B8658}"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C867-4157-A3CB-914F43D5F92B}"/>
                </c:ext>
              </c:extLst>
            </c:dLbl>
            <c:dLbl>
              <c:idx val="2"/>
              <c:tx>
                <c:rich>
                  <a:bodyPr/>
                  <a:lstStyle/>
                  <a:p>
                    <a:fld id="{DCD4FAED-6CDE-4718-ACE0-72316CC8E92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C867-4157-A3CB-914F43D5F92B}"/>
                </c:ext>
              </c:extLst>
            </c:dLbl>
            <c:dLbl>
              <c:idx val="3"/>
              <c:tx>
                <c:rich>
                  <a:bodyPr/>
                  <a:lstStyle/>
                  <a:p>
                    <a:fld id="{83CAD8CE-C7F0-44A3-9284-C542AE67D797}"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C867-4157-A3CB-914F43D5F92B}"/>
                </c:ext>
              </c:extLst>
            </c:dLbl>
            <c:dLbl>
              <c:idx val="4"/>
              <c:tx>
                <c:rich>
                  <a:bodyPr/>
                  <a:lstStyle/>
                  <a:p>
                    <a:fld id="{135666A2-82AA-4F84-B79B-CC1B73F772C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C867-4157-A3CB-914F43D5F92B}"/>
                </c:ext>
              </c:extLst>
            </c:dLbl>
            <c:dLbl>
              <c:idx val="5"/>
              <c:tx>
                <c:rich>
                  <a:bodyPr/>
                  <a:lstStyle/>
                  <a:p>
                    <a:fld id="{1F9C535E-4A6A-4E1A-9F79-40697CE8EFBA}"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C867-4157-A3CB-914F43D5F92B}"/>
                </c:ext>
              </c:extLst>
            </c:dLbl>
            <c:dLbl>
              <c:idx val="6"/>
              <c:tx>
                <c:rich>
                  <a:bodyPr/>
                  <a:lstStyle/>
                  <a:p>
                    <a:fld id="{E510B315-631F-4FC2-B3F8-2723B6350FBB}"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C867-4157-A3CB-914F43D5F92B}"/>
                </c:ext>
              </c:extLst>
            </c:dLbl>
            <c:dLbl>
              <c:idx val="7"/>
              <c:tx>
                <c:rich>
                  <a:bodyPr/>
                  <a:lstStyle/>
                  <a:p>
                    <a:fld id="{1D57A7CA-CA50-4231-9E77-38F263BB38B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C867-4157-A3CB-914F43D5F92B}"/>
                </c:ext>
              </c:extLst>
            </c:dLbl>
            <c:dLbl>
              <c:idx val="8"/>
              <c:tx>
                <c:rich>
                  <a:bodyPr/>
                  <a:lstStyle/>
                  <a:p>
                    <a:fld id="{F1FA2D52-6B9D-4DF6-8B63-49CAAA31B35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C867-4157-A3CB-914F43D5F92B}"/>
                </c:ext>
              </c:extLst>
            </c:dLbl>
            <c:dLbl>
              <c:idx val="9"/>
              <c:tx>
                <c:rich>
                  <a:bodyPr/>
                  <a:lstStyle/>
                  <a:p>
                    <a:fld id="{D32D75CC-E20E-425C-A15C-63CD4B89442A}"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C867-4157-A3CB-914F43D5F92B}"/>
                </c:ext>
              </c:extLst>
            </c:dLbl>
            <c:dLbl>
              <c:idx val="10"/>
              <c:tx>
                <c:rich>
                  <a:bodyPr/>
                  <a:lstStyle/>
                  <a:p>
                    <a:fld id="{608210D8-6A3F-407A-983A-6DC4209A53C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C867-4157-A3CB-914F43D5F92B}"/>
                </c:ext>
              </c:extLst>
            </c:dLbl>
            <c:dLbl>
              <c:idx val="11"/>
              <c:tx>
                <c:rich>
                  <a:bodyPr/>
                  <a:lstStyle/>
                  <a:p>
                    <a:fld id="{6ABF5FF9-FABA-4899-99E3-0C773F4FEB3F}"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C867-4157-A3CB-914F43D5F92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Effectiveness_Avg!$Y$116:$Y$128</c:f>
              <c:strCache>
                <c:ptCount val="12"/>
                <c:pt idx="0">
                  <c:v>12: To develop a communication strategy aiming to increase awareness with regard to ISA² and its benefits, targeting businesses and citizens, and employing user-friendly means on the ISA² website</c:v>
                </c:pt>
                <c:pt idx="1">
                  <c:v>11: To support and promote the identification of best practices, to develop guidelines to coordinate interoperability initiatives and to animate and support communities working in the field</c:v>
                </c:pt>
                <c:pt idx="2">
                  <c:v>10: To support and promote the bringing of new interoperability services and tools to maturity, and maintaining and operating existing interoperability services and tools on an interim basis</c:v>
                </c:pt>
                <c:pt idx="3">
                  <c:v>9: To support and promote the maintenance and publication of a platform allowing access to and collaboration on best practices, functioning as a means of raising awareness of existing solutions</c:v>
                </c:pt>
                <c:pt idx="4">
                  <c:v>8: To support and promote the assessment, updating, promotion of existing/new common specifications through the EU's standardisation platforms and in cooperation with standardisation organisations</c:v>
                </c:pt>
                <c:pt idx="5">
                  <c:v>7: To support and promote the maintenance, updating, promotion and monitoring of the implementation of the EIS, the EIF and the EIRA</c:v>
                </c:pt>
                <c:pt idx="6">
                  <c:v>6: To support and promote the mapping and analysis of the interoperability landscape in the EU through the establishment, maintenance and improvement of the EIRA and the EIC reuse facilitators</c:v>
                </c:pt>
                <c:pt idx="7">
                  <c:v>5: To support and promote the development of mechanisms that measure and quantify the benefits of interoperability solutions including methodologies for assessing cost-savings </c:v>
                </c:pt>
                <c:pt idx="8">
                  <c:v>4: To support and promote the identification of legislation gaps, at Union and national level, that hamper cross-border or cross-sector interoperability between European public administrations</c:v>
                </c:pt>
                <c:pt idx="9">
                  <c:v>3: To support and promote the assessment of the ICT implications of proposed or adopted Union law</c:v>
                </c:pt>
                <c:pt idx="10">
                  <c:v>2: To support and promote the development, establishment, bringing to maturity, operation and re-use of new cross-border or cross-sector interoperability solutions and common frameworks</c:v>
                </c:pt>
                <c:pt idx="11">
                  <c:v>1: To support and promote the assessment, improvement, operation and re-use of existing cross-border or cross-sector interoperability solutions and common frameworks</c:v>
                </c:pt>
              </c:strCache>
            </c:strRef>
          </c:cat>
          <c:val>
            <c:numRef>
              <c:f>Effectiveness_Avg!$Z$116:$Z$128</c:f>
              <c:numCache>
                <c:formatCode>General</c:formatCode>
                <c:ptCount val="12"/>
                <c:pt idx="0">
                  <c:v>3.2647058823529411</c:v>
                </c:pt>
                <c:pt idx="1">
                  <c:v>3.6388888888888888</c:v>
                </c:pt>
                <c:pt idx="2">
                  <c:v>3.5833333333333335</c:v>
                </c:pt>
                <c:pt idx="3">
                  <c:v>3.6857142857142855</c:v>
                </c:pt>
                <c:pt idx="4">
                  <c:v>3.4571428571428573</c:v>
                </c:pt>
                <c:pt idx="5">
                  <c:v>3.625</c:v>
                </c:pt>
                <c:pt idx="6">
                  <c:v>3.6153846153846154</c:v>
                </c:pt>
                <c:pt idx="7">
                  <c:v>3.393939393939394</c:v>
                </c:pt>
                <c:pt idx="8">
                  <c:v>3.03125</c:v>
                </c:pt>
                <c:pt idx="9">
                  <c:v>3.3333333333333335</c:v>
                </c:pt>
                <c:pt idx="10">
                  <c:v>3.4871794871794872</c:v>
                </c:pt>
                <c:pt idx="11">
                  <c:v>3.4871794871794872</c:v>
                </c:pt>
              </c:numCache>
            </c:numRef>
          </c:val>
          <c:extLst xmlns:c16r2="http://schemas.microsoft.com/office/drawing/2015/06/chart">
            <c:ext xmlns:c15="http://schemas.microsoft.com/office/drawing/2012/chart" uri="{02D57815-91ED-43cb-92C2-25804820EDAC}">
              <c15:datalabelsRange>
                <c15:f>Effectiveness_Avg!$Z$146:$Z$157</c15:f>
                <c15:dlblRangeCache>
                  <c:ptCount val="12"/>
                  <c:pt idx="0">
                    <c:v>3.26 (34)</c:v>
                  </c:pt>
                  <c:pt idx="1">
                    <c:v>3.64 (36)</c:v>
                  </c:pt>
                  <c:pt idx="2">
                    <c:v>3.58 (36)</c:v>
                  </c:pt>
                  <c:pt idx="3">
                    <c:v>3.69 (35)</c:v>
                  </c:pt>
                  <c:pt idx="4">
                    <c:v>3.46 (35)</c:v>
                  </c:pt>
                  <c:pt idx="5">
                    <c:v>3.63 (24)</c:v>
                  </c:pt>
                  <c:pt idx="6">
                    <c:v>3.62 (26)</c:v>
                  </c:pt>
                  <c:pt idx="7">
                    <c:v>3.39 (33)</c:v>
                  </c:pt>
                  <c:pt idx="8">
                    <c:v>3.03 (32)</c:v>
                  </c:pt>
                  <c:pt idx="9">
                    <c:v>3.33 (27)</c:v>
                  </c:pt>
                  <c:pt idx="10">
                    <c:v>3.49 (39)</c:v>
                  </c:pt>
                  <c:pt idx="11">
                    <c:v>3.49 (39)</c:v>
                  </c:pt>
                </c15:dlblRangeCache>
              </c15:datalabelsRange>
            </c:ext>
            <c:ext xmlns:c16="http://schemas.microsoft.com/office/drawing/2014/chart" uri="{C3380CC4-5D6E-409C-BE32-E72D297353CC}">
              <c16:uniqueId val="{0000000C-C867-4157-A3CB-914F43D5F92B}"/>
            </c:ext>
          </c:extLst>
        </c:ser>
        <c:ser>
          <c:idx val="1"/>
          <c:order val="1"/>
          <c:tx>
            <c:strRef>
              <c:f>Effectiveness_Avg!$AA$114:$AA$115</c:f>
              <c:strCache>
                <c:ptCount val="1"/>
                <c:pt idx="0">
                  <c:v>Programme governance</c:v>
                </c:pt>
              </c:strCache>
            </c:strRef>
          </c:tx>
          <c:spPr>
            <a:solidFill>
              <a:schemeClr val="accent5"/>
            </a:solidFill>
            <a:ln>
              <a:solidFill>
                <a:schemeClr val="accent5"/>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D-C867-4157-A3CB-914F43D5F92B}"/>
              </c:ext>
            </c:extLst>
          </c:dPt>
          <c:dPt>
            <c:idx val="1"/>
            <c:invertIfNegative val="0"/>
            <c:bubble3D val="0"/>
            <c:extLst xmlns:c16r2="http://schemas.microsoft.com/office/drawing/2015/06/chart">
              <c:ext xmlns:c16="http://schemas.microsoft.com/office/drawing/2014/chart" uri="{C3380CC4-5D6E-409C-BE32-E72D297353CC}">
                <c16:uniqueId val="{0000000E-C867-4157-A3CB-914F43D5F92B}"/>
              </c:ext>
            </c:extLst>
          </c:dPt>
          <c:dPt>
            <c:idx val="2"/>
            <c:invertIfNegative val="0"/>
            <c:bubble3D val="0"/>
            <c:extLst xmlns:c16r2="http://schemas.microsoft.com/office/drawing/2015/06/chart">
              <c:ext xmlns:c16="http://schemas.microsoft.com/office/drawing/2014/chart" uri="{C3380CC4-5D6E-409C-BE32-E72D297353CC}">
                <c16:uniqueId val="{0000000F-C867-4157-A3CB-914F43D5F92B}"/>
              </c:ext>
            </c:extLst>
          </c:dPt>
          <c:dPt>
            <c:idx val="3"/>
            <c:invertIfNegative val="0"/>
            <c:bubble3D val="0"/>
            <c:extLst xmlns:c16r2="http://schemas.microsoft.com/office/drawing/2015/06/chart">
              <c:ext xmlns:c16="http://schemas.microsoft.com/office/drawing/2014/chart" uri="{C3380CC4-5D6E-409C-BE32-E72D297353CC}">
                <c16:uniqueId val="{00000010-C867-4157-A3CB-914F43D5F92B}"/>
              </c:ext>
            </c:extLst>
          </c:dPt>
          <c:dPt>
            <c:idx val="4"/>
            <c:invertIfNegative val="0"/>
            <c:bubble3D val="0"/>
            <c:extLst xmlns:c16r2="http://schemas.microsoft.com/office/drawing/2015/06/chart">
              <c:ext xmlns:c16="http://schemas.microsoft.com/office/drawing/2014/chart" uri="{C3380CC4-5D6E-409C-BE32-E72D297353CC}">
                <c16:uniqueId val="{00000011-C867-4157-A3CB-914F43D5F92B}"/>
              </c:ext>
            </c:extLst>
          </c:dPt>
          <c:dPt>
            <c:idx val="5"/>
            <c:invertIfNegative val="0"/>
            <c:bubble3D val="0"/>
            <c:extLst xmlns:c16r2="http://schemas.microsoft.com/office/drawing/2015/06/chart">
              <c:ext xmlns:c16="http://schemas.microsoft.com/office/drawing/2014/chart" uri="{C3380CC4-5D6E-409C-BE32-E72D297353CC}">
                <c16:uniqueId val="{00000012-C867-4157-A3CB-914F43D5F92B}"/>
              </c:ext>
            </c:extLst>
          </c:dPt>
          <c:dPt>
            <c:idx val="6"/>
            <c:invertIfNegative val="0"/>
            <c:bubble3D val="0"/>
            <c:extLst xmlns:c16r2="http://schemas.microsoft.com/office/drawing/2015/06/chart">
              <c:ext xmlns:c16="http://schemas.microsoft.com/office/drawing/2014/chart" uri="{C3380CC4-5D6E-409C-BE32-E72D297353CC}">
                <c16:uniqueId val="{00000013-C867-4157-A3CB-914F43D5F92B}"/>
              </c:ext>
            </c:extLst>
          </c:dPt>
          <c:dPt>
            <c:idx val="7"/>
            <c:invertIfNegative val="0"/>
            <c:bubble3D val="0"/>
            <c:extLst xmlns:c16r2="http://schemas.microsoft.com/office/drawing/2015/06/chart">
              <c:ext xmlns:c16="http://schemas.microsoft.com/office/drawing/2014/chart" uri="{C3380CC4-5D6E-409C-BE32-E72D297353CC}">
                <c16:uniqueId val="{00000014-C867-4157-A3CB-914F43D5F92B}"/>
              </c:ext>
            </c:extLst>
          </c:dPt>
          <c:dPt>
            <c:idx val="8"/>
            <c:invertIfNegative val="0"/>
            <c:bubble3D val="0"/>
            <c:extLst xmlns:c16r2="http://schemas.microsoft.com/office/drawing/2015/06/chart">
              <c:ext xmlns:c16="http://schemas.microsoft.com/office/drawing/2014/chart" uri="{C3380CC4-5D6E-409C-BE32-E72D297353CC}">
                <c16:uniqueId val="{00000015-C867-4157-A3CB-914F43D5F92B}"/>
              </c:ext>
            </c:extLst>
          </c:dPt>
          <c:dPt>
            <c:idx val="9"/>
            <c:invertIfNegative val="0"/>
            <c:bubble3D val="0"/>
            <c:extLst xmlns:c16r2="http://schemas.microsoft.com/office/drawing/2015/06/chart">
              <c:ext xmlns:c16="http://schemas.microsoft.com/office/drawing/2014/chart" uri="{C3380CC4-5D6E-409C-BE32-E72D297353CC}">
                <c16:uniqueId val="{00000016-C867-4157-A3CB-914F43D5F92B}"/>
              </c:ext>
            </c:extLst>
          </c:dPt>
          <c:dPt>
            <c:idx val="10"/>
            <c:invertIfNegative val="0"/>
            <c:bubble3D val="0"/>
            <c:extLst xmlns:c16r2="http://schemas.microsoft.com/office/drawing/2015/06/chart">
              <c:ext xmlns:c16="http://schemas.microsoft.com/office/drawing/2014/chart" uri="{C3380CC4-5D6E-409C-BE32-E72D297353CC}">
                <c16:uniqueId val="{00000017-C867-4157-A3CB-914F43D5F92B}"/>
              </c:ext>
            </c:extLst>
          </c:dPt>
          <c:dPt>
            <c:idx val="11"/>
            <c:invertIfNegative val="0"/>
            <c:bubble3D val="0"/>
            <c:extLst xmlns:c16r2="http://schemas.microsoft.com/office/drawing/2015/06/chart">
              <c:ext xmlns:c16="http://schemas.microsoft.com/office/drawing/2014/chart" uri="{C3380CC4-5D6E-409C-BE32-E72D297353CC}">
                <c16:uniqueId val="{00000018-C867-4157-A3CB-914F43D5F92B}"/>
              </c:ext>
            </c:extLst>
          </c:dPt>
          <c:dLbls>
            <c:dLbl>
              <c:idx val="0"/>
              <c:tx>
                <c:rich>
                  <a:bodyPr/>
                  <a:lstStyle/>
                  <a:p>
                    <a:fld id="{61609B74-D162-49B6-A713-FF559F4EADC3}"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C867-4157-A3CB-914F43D5F92B}"/>
                </c:ext>
              </c:extLst>
            </c:dLbl>
            <c:dLbl>
              <c:idx val="1"/>
              <c:tx>
                <c:rich>
                  <a:bodyPr/>
                  <a:lstStyle/>
                  <a:p>
                    <a:fld id="{4280E81E-0C42-432E-A50A-8D3FBC3AAE2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C867-4157-A3CB-914F43D5F92B}"/>
                </c:ext>
              </c:extLst>
            </c:dLbl>
            <c:dLbl>
              <c:idx val="2"/>
              <c:tx>
                <c:rich>
                  <a:bodyPr/>
                  <a:lstStyle/>
                  <a:p>
                    <a:fld id="{1DF2C8D9-D4F5-4BC6-96CB-E9A160F87311}"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C867-4157-A3CB-914F43D5F92B}"/>
                </c:ext>
              </c:extLst>
            </c:dLbl>
            <c:dLbl>
              <c:idx val="3"/>
              <c:tx>
                <c:rich>
                  <a:bodyPr/>
                  <a:lstStyle/>
                  <a:p>
                    <a:fld id="{80B4016A-1DF7-4EE2-B1D8-0DFDAB2C8D59}"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C867-4157-A3CB-914F43D5F92B}"/>
                </c:ext>
              </c:extLst>
            </c:dLbl>
            <c:dLbl>
              <c:idx val="4"/>
              <c:tx>
                <c:rich>
                  <a:bodyPr/>
                  <a:lstStyle/>
                  <a:p>
                    <a:fld id="{DB6A4B67-C9CB-4530-BC6B-119070106995}"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C867-4157-A3CB-914F43D5F92B}"/>
                </c:ext>
              </c:extLst>
            </c:dLbl>
            <c:dLbl>
              <c:idx val="5"/>
              <c:tx>
                <c:rich>
                  <a:bodyPr/>
                  <a:lstStyle/>
                  <a:p>
                    <a:fld id="{A276F3DB-5EB2-4AE8-8CF6-18C32136810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C867-4157-A3CB-914F43D5F92B}"/>
                </c:ext>
              </c:extLst>
            </c:dLbl>
            <c:dLbl>
              <c:idx val="6"/>
              <c:tx>
                <c:rich>
                  <a:bodyPr/>
                  <a:lstStyle/>
                  <a:p>
                    <a:fld id="{C444B973-FFD3-4D5E-9EF7-BC6B85A5C36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C867-4157-A3CB-914F43D5F92B}"/>
                </c:ext>
              </c:extLst>
            </c:dLbl>
            <c:dLbl>
              <c:idx val="7"/>
              <c:tx>
                <c:rich>
                  <a:bodyPr/>
                  <a:lstStyle/>
                  <a:p>
                    <a:fld id="{775BEF6F-9E1B-4A87-96E5-B8A71F59AD80}"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C867-4157-A3CB-914F43D5F92B}"/>
                </c:ext>
              </c:extLst>
            </c:dLbl>
            <c:dLbl>
              <c:idx val="8"/>
              <c:tx>
                <c:rich>
                  <a:bodyPr/>
                  <a:lstStyle/>
                  <a:p>
                    <a:fld id="{78E75CE3-7C79-4AAC-AEFD-9C2B119BCD7B}"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C867-4157-A3CB-914F43D5F92B}"/>
                </c:ext>
              </c:extLst>
            </c:dLbl>
            <c:dLbl>
              <c:idx val="9"/>
              <c:tx>
                <c:rich>
                  <a:bodyPr/>
                  <a:lstStyle/>
                  <a:p>
                    <a:fld id="{4C19F01D-1364-4035-95F3-94AB5E3DCCA1}"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C867-4157-A3CB-914F43D5F92B}"/>
                </c:ext>
              </c:extLst>
            </c:dLbl>
            <c:dLbl>
              <c:idx val="10"/>
              <c:tx>
                <c:rich>
                  <a:bodyPr/>
                  <a:lstStyle/>
                  <a:p>
                    <a:fld id="{43828475-6284-43E2-AF40-287D69C1538F}"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C867-4157-A3CB-914F43D5F92B}"/>
                </c:ext>
              </c:extLst>
            </c:dLbl>
            <c:dLbl>
              <c:idx val="11"/>
              <c:tx>
                <c:rich>
                  <a:bodyPr/>
                  <a:lstStyle/>
                  <a:p>
                    <a:fld id="{B47F0ED5-1100-4F68-9106-1E2B6CF9971F}"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C867-4157-A3CB-914F43D5F92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Effectiveness_Avg!$Y$116:$Y$128</c:f>
              <c:strCache>
                <c:ptCount val="12"/>
                <c:pt idx="0">
                  <c:v>12: To develop a communication strategy aiming to increase awareness with regard to ISA² and its benefits, targeting businesses and citizens, and employing user-friendly means on the ISA² website</c:v>
                </c:pt>
                <c:pt idx="1">
                  <c:v>11: To support and promote the identification of best practices, to develop guidelines to coordinate interoperability initiatives and to animate and support communities working in the field</c:v>
                </c:pt>
                <c:pt idx="2">
                  <c:v>10: To support and promote the bringing of new interoperability services and tools to maturity, and maintaining and operating existing interoperability services and tools on an interim basis</c:v>
                </c:pt>
                <c:pt idx="3">
                  <c:v>9: To support and promote the maintenance and publication of a platform allowing access to and collaboration on best practices, functioning as a means of raising awareness of existing solutions</c:v>
                </c:pt>
                <c:pt idx="4">
                  <c:v>8: To support and promote the assessment, updating, promotion of existing/new common specifications through the EU's standardisation platforms and in cooperation with standardisation organisations</c:v>
                </c:pt>
                <c:pt idx="5">
                  <c:v>7: To support and promote the maintenance, updating, promotion and monitoring of the implementation of the EIS, the EIF and the EIRA</c:v>
                </c:pt>
                <c:pt idx="6">
                  <c:v>6: To support and promote the mapping and analysis of the interoperability landscape in the EU through the establishment, maintenance and improvement of the EIRA and the EIC reuse facilitators</c:v>
                </c:pt>
                <c:pt idx="7">
                  <c:v>5: To support and promote the development of mechanisms that measure and quantify the benefits of interoperability solutions including methodologies for assessing cost-savings </c:v>
                </c:pt>
                <c:pt idx="8">
                  <c:v>4: To support and promote the identification of legislation gaps, at Union and national level, that hamper cross-border or cross-sector interoperability between European public administrations</c:v>
                </c:pt>
                <c:pt idx="9">
                  <c:v>3: To support and promote the assessment of the ICT implications of proposed or adopted Union law</c:v>
                </c:pt>
                <c:pt idx="10">
                  <c:v>2: To support and promote the development, establishment, bringing to maturity, operation and re-use of new cross-border or cross-sector interoperability solutions and common frameworks</c:v>
                </c:pt>
                <c:pt idx="11">
                  <c:v>1: To support and promote the assessment, improvement, operation and re-use of existing cross-border or cross-sector interoperability solutions and common frameworks</c:v>
                </c:pt>
              </c:strCache>
            </c:strRef>
          </c:cat>
          <c:val>
            <c:numRef>
              <c:f>Effectiveness_Avg!$AA$116:$AA$128</c:f>
              <c:numCache>
                <c:formatCode>General</c:formatCode>
                <c:ptCount val="12"/>
                <c:pt idx="0">
                  <c:v>3.3333333333333335</c:v>
                </c:pt>
                <c:pt idx="1">
                  <c:v>3.6315789473684212</c:v>
                </c:pt>
                <c:pt idx="2">
                  <c:v>3.8421052631578947</c:v>
                </c:pt>
                <c:pt idx="3">
                  <c:v>4.1052631578947372</c:v>
                </c:pt>
                <c:pt idx="4">
                  <c:v>3.8421052631578947</c:v>
                </c:pt>
                <c:pt idx="5">
                  <c:v>4.0526315789473681</c:v>
                </c:pt>
                <c:pt idx="6">
                  <c:v>3.6842105263157894</c:v>
                </c:pt>
                <c:pt idx="7">
                  <c:v>2.8823529411764706</c:v>
                </c:pt>
                <c:pt idx="8">
                  <c:v>2.8125</c:v>
                </c:pt>
                <c:pt idx="9">
                  <c:v>3.2</c:v>
                </c:pt>
                <c:pt idx="10">
                  <c:v>3.7894736842105261</c:v>
                </c:pt>
                <c:pt idx="11">
                  <c:v>3.736842105263158</c:v>
                </c:pt>
              </c:numCache>
            </c:numRef>
          </c:val>
          <c:extLst xmlns:c16r2="http://schemas.microsoft.com/office/drawing/2015/06/chart">
            <c:ext xmlns:c15="http://schemas.microsoft.com/office/drawing/2012/chart" uri="{02D57815-91ED-43cb-92C2-25804820EDAC}">
              <c15:datalabelsRange>
                <c15:f>Effectiveness_Avg!$AA$146:$AA$157</c15:f>
                <c15:dlblRangeCache>
                  <c:ptCount val="12"/>
                  <c:pt idx="0">
                    <c:v>3.33 (18)</c:v>
                  </c:pt>
                  <c:pt idx="1">
                    <c:v>3.63 (19)</c:v>
                  </c:pt>
                  <c:pt idx="2">
                    <c:v>3.84 (19)</c:v>
                  </c:pt>
                  <c:pt idx="3">
                    <c:v>4.11 (19)</c:v>
                  </c:pt>
                  <c:pt idx="4">
                    <c:v>3.84 (19)</c:v>
                  </c:pt>
                  <c:pt idx="5">
                    <c:v>4.05 (19)</c:v>
                  </c:pt>
                  <c:pt idx="6">
                    <c:v>3.68 (19)</c:v>
                  </c:pt>
                  <c:pt idx="7">
                    <c:v>2.88 (17)</c:v>
                  </c:pt>
                  <c:pt idx="8">
                    <c:v>2.81 (16)</c:v>
                  </c:pt>
                  <c:pt idx="9">
                    <c:v>3.20 (15)</c:v>
                  </c:pt>
                  <c:pt idx="10">
                    <c:v>3.79 (19)</c:v>
                  </c:pt>
                  <c:pt idx="11">
                    <c:v>3.74 (19)</c:v>
                  </c:pt>
                </c15:dlblRangeCache>
              </c15:datalabelsRange>
            </c:ext>
            <c:ext xmlns:c16="http://schemas.microsoft.com/office/drawing/2014/chart" uri="{C3380CC4-5D6E-409C-BE32-E72D297353CC}">
              <c16:uniqueId val="{00000019-C867-4157-A3CB-914F43D5F92B}"/>
            </c:ext>
          </c:extLst>
        </c:ser>
        <c:ser>
          <c:idx val="2"/>
          <c:order val="2"/>
          <c:tx>
            <c:strRef>
              <c:f>Effectiveness_Avg!$AB$114:$AB$115</c:f>
              <c:strCache>
                <c:ptCount val="1"/>
                <c:pt idx="0">
                  <c:v>Action owners</c:v>
                </c:pt>
              </c:strCache>
            </c:strRef>
          </c:tx>
          <c:spPr>
            <a:solidFill>
              <a:schemeClr val="accent6"/>
            </a:solidFill>
            <a:ln>
              <a:solidFill>
                <a:schemeClr val="accent6"/>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A-C867-4157-A3CB-914F43D5F92B}"/>
              </c:ext>
            </c:extLst>
          </c:dPt>
          <c:dPt>
            <c:idx val="1"/>
            <c:invertIfNegative val="0"/>
            <c:bubble3D val="0"/>
            <c:extLst xmlns:c16r2="http://schemas.microsoft.com/office/drawing/2015/06/chart">
              <c:ext xmlns:c16="http://schemas.microsoft.com/office/drawing/2014/chart" uri="{C3380CC4-5D6E-409C-BE32-E72D297353CC}">
                <c16:uniqueId val="{0000001B-C867-4157-A3CB-914F43D5F92B}"/>
              </c:ext>
            </c:extLst>
          </c:dPt>
          <c:dPt>
            <c:idx val="2"/>
            <c:invertIfNegative val="0"/>
            <c:bubble3D val="0"/>
            <c:extLst xmlns:c16r2="http://schemas.microsoft.com/office/drawing/2015/06/chart">
              <c:ext xmlns:c16="http://schemas.microsoft.com/office/drawing/2014/chart" uri="{C3380CC4-5D6E-409C-BE32-E72D297353CC}">
                <c16:uniqueId val="{0000001C-C867-4157-A3CB-914F43D5F92B}"/>
              </c:ext>
            </c:extLst>
          </c:dPt>
          <c:dPt>
            <c:idx val="3"/>
            <c:invertIfNegative val="0"/>
            <c:bubble3D val="0"/>
            <c:extLst xmlns:c16r2="http://schemas.microsoft.com/office/drawing/2015/06/chart">
              <c:ext xmlns:c16="http://schemas.microsoft.com/office/drawing/2014/chart" uri="{C3380CC4-5D6E-409C-BE32-E72D297353CC}">
                <c16:uniqueId val="{0000001D-C867-4157-A3CB-914F43D5F92B}"/>
              </c:ext>
            </c:extLst>
          </c:dPt>
          <c:dPt>
            <c:idx val="4"/>
            <c:invertIfNegative val="0"/>
            <c:bubble3D val="0"/>
            <c:extLst xmlns:c16r2="http://schemas.microsoft.com/office/drawing/2015/06/chart">
              <c:ext xmlns:c16="http://schemas.microsoft.com/office/drawing/2014/chart" uri="{C3380CC4-5D6E-409C-BE32-E72D297353CC}">
                <c16:uniqueId val="{0000001E-C867-4157-A3CB-914F43D5F92B}"/>
              </c:ext>
            </c:extLst>
          </c:dPt>
          <c:dPt>
            <c:idx val="5"/>
            <c:invertIfNegative val="0"/>
            <c:bubble3D val="0"/>
            <c:extLst xmlns:c16r2="http://schemas.microsoft.com/office/drawing/2015/06/chart">
              <c:ext xmlns:c16="http://schemas.microsoft.com/office/drawing/2014/chart" uri="{C3380CC4-5D6E-409C-BE32-E72D297353CC}">
                <c16:uniqueId val="{0000001F-C867-4157-A3CB-914F43D5F92B}"/>
              </c:ext>
            </c:extLst>
          </c:dPt>
          <c:dPt>
            <c:idx val="6"/>
            <c:invertIfNegative val="0"/>
            <c:bubble3D val="0"/>
            <c:extLst xmlns:c16r2="http://schemas.microsoft.com/office/drawing/2015/06/chart">
              <c:ext xmlns:c16="http://schemas.microsoft.com/office/drawing/2014/chart" uri="{C3380CC4-5D6E-409C-BE32-E72D297353CC}">
                <c16:uniqueId val="{00000020-C867-4157-A3CB-914F43D5F92B}"/>
              </c:ext>
            </c:extLst>
          </c:dPt>
          <c:dPt>
            <c:idx val="7"/>
            <c:invertIfNegative val="0"/>
            <c:bubble3D val="0"/>
            <c:extLst xmlns:c16r2="http://schemas.microsoft.com/office/drawing/2015/06/chart">
              <c:ext xmlns:c16="http://schemas.microsoft.com/office/drawing/2014/chart" uri="{C3380CC4-5D6E-409C-BE32-E72D297353CC}">
                <c16:uniqueId val="{00000021-C867-4157-A3CB-914F43D5F92B}"/>
              </c:ext>
            </c:extLst>
          </c:dPt>
          <c:dPt>
            <c:idx val="8"/>
            <c:invertIfNegative val="0"/>
            <c:bubble3D val="0"/>
            <c:extLst xmlns:c16r2="http://schemas.microsoft.com/office/drawing/2015/06/chart">
              <c:ext xmlns:c16="http://schemas.microsoft.com/office/drawing/2014/chart" uri="{C3380CC4-5D6E-409C-BE32-E72D297353CC}">
                <c16:uniqueId val="{00000022-C867-4157-A3CB-914F43D5F92B}"/>
              </c:ext>
            </c:extLst>
          </c:dPt>
          <c:dPt>
            <c:idx val="9"/>
            <c:invertIfNegative val="0"/>
            <c:bubble3D val="0"/>
            <c:extLst xmlns:c16r2="http://schemas.microsoft.com/office/drawing/2015/06/chart">
              <c:ext xmlns:c16="http://schemas.microsoft.com/office/drawing/2014/chart" uri="{C3380CC4-5D6E-409C-BE32-E72D297353CC}">
                <c16:uniqueId val="{00000023-C867-4157-A3CB-914F43D5F92B}"/>
              </c:ext>
            </c:extLst>
          </c:dPt>
          <c:dPt>
            <c:idx val="10"/>
            <c:invertIfNegative val="0"/>
            <c:bubble3D val="0"/>
            <c:extLst xmlns:c16r2="http://schemas.microsoft.com/office/drawing/2015/06/chart">
              <c:ext xmlns:c16="http://schemas.microsoft.com/office/drawing/2014/chart" uri="{C3380CC4-5D6E-409C-BE32-E72D297353CC}">
                <c16:uniqueId val="{00000024-C867-4157-A3CB-914F43D5F92B}"/>
              </c:ext>
            </c:extLst>
          </c:dPt>
          <c:dPt>
            <c:idx val="11"/>
            <c:invertIfNegative val="0"/>
            <c:bubble3D val="0"/>
            <c:extLst xmlns:c16r2="http://schemas.microsoft.com/office/drawing/2015/06/chart">
              <c:ext xmlns:c16="http://schemas.microsoft.com/office/drawing/2014/chart" uri="{C3380CC4-5D6E-409C-BE32-E72D297353CC}">
                <c16:uniqueId val="{00000025-C867-4157-A3CB-914F43D5F92B}"/>
              </c:ext>
            </c:extLst>
          </c:dPt>
          <c:dLbls>
            <c:dLbl>
              <c:idx val="0"/>
              <c:tx>
                <c:rich>
                  <a:bodyPr/>
                  <a:lstStyle/>
                  <a:p>
                    <a:fld id="{72CFC999-57B3-4612-AACB-3458BE1E07D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A-C867-4157-A3CB-914F43D5F92B}"/>
                </c:ext>
              </c:extLst>
            </c:dLbl>
            <c:dLbl>
              <c:idx val="1"/>
              <c:tx>
                <c:rich>
                  <a:bodyPr/>
                  <a:lstStyle/>
                  <a:p>
                    <a:fld id="{97883B74-8226-4866-9AF5-F613E1D5373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C867-4157-A3CB-914F43D5F92B}"/>
                </c:ext>
              </c:extLst>
            </c:dLbl>
            <c:dLbl>
              <c:idx val="2"/>
              <c:tx>
                <c:rich>
                  <a:bodyPr/>
                  <a:lstStyle/>
                  <a:p>
                    <a:fld id="{D6F40F58-07AC-4CB4-BA57-9D58AF4BA629}"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C867-4157-A3CB-914F43D5F92B}"/>
                </c:ext>
              </c:extLst>
            </c:dLbl>
            <c:dLbl>
              <c:idx val="3"/>
              <c:tx>
                <c:rich>
                  <a:bodyPr/>
                  <a:lstStyle/>
                  <a:p>
                    <a:fld id="{334E4A78-0755-4E59-8DCA-A5D38FEB320B}"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C867-4157-A3CB-914F43D5F92B}"/>
                </c:ext>
              </c:extLst>
            </c:dLbl>
            <c:dLbl>
              <c:idx val="4"/>
              <c:tx>
                <c:rich>
                  <a:bodyPr/>
                  <a:lstStyle/>
                  <a:p>
                    <a:fld id="{11B56AB6-9450-4125-A18A-12D23B24E956}"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C867-4157-A3CB-914F43D5F92B}"/>
                </c:ext>
              </c:extLst>
            </c:dLbl>
            <c:dLbl>
              <c:idx val="5"/>
              <c:tx>
                <c:rich>
                  <a:bodyPr/>
                  <a:lstStyle/>
                  <a:p>
                    <a:fld id="{9C7D1D70-E637-4298-8494-C9A2DF451CB5}"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C867-4157-A3CB-914F43D5F92B}"/>
                </c:ext>
              </c:extLst>
            </c:dLbl>
            <c:dLbl>
              <c:idx val="6"/>
              <c:tx>
                <c:rich>
                  <a:bodyPr/>
                  <a:lstStyle/>
                  <a:p>
                    <a:fld id="{72802510-BC66-4E1D-B627-F6B01E388B7A}"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C867-4157-A3CB-914F43D5F92B}"/>
                </c:ext>
              </c:extLst>
            </c:dLbl>
            <c:dLbl>
              <c:idx val="7"/>
              <c:tx>
                <c:rich>
                  <a:bodyPr/>
                  <a:lstStyle/>
                  <a:p>
                    <a:fld id="{299D2E58-D1A6-4819-BCC7-074C2747967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C867-4157-A3CB-914F43D5F92B}"/>
                </c:ext>
              </c:extLst>
            </c:dLbl>
            <c:dLbl>
              <c:idx val="8"/>
              <c:tx>
                <c:rich>
                  <a:bodyPr/>
                  <a:lstStyle/>
                  <a:p>
                    <a:fld id="{2C536255-399F-4C50-981D-B0F65098AB6A}"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C867-4157-A3CB-914F43D5F92B}"/>
                </c:ext>
              </c:extLst>
            </c:dLbl>
            <c:dLbl>
              <c:idx val="9"/>
              <c:tx>
                <c:rich>
                  <a:bodyPr/>
                  <a:lstStyle/>
                  <a:p>
                    <a:fld id="{09E989F3-83E9-46C1-9638-41D4D753375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3-C867-4157-A3CB-914F43D5F92B}"/>
                </c:ext>
              </c:extLst>
            </c:dLbl>
            <c:dLbl>
              <c:idx val="10"/>
              <c:tx>
                <c:rich>
                  <a:bodyPr/>
                  <a:lstStyle/>
                  <a:p>
                    <a:fld id="{54168101-1872-4BEB-9BBE-B52B6C451086}"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4-C867-4157-A3CB-914F43D5F92B}"/>
                </c:ext>
              </c:extLst>
            </c:dLbl>
            <c:dLbl>
              <c:idx val="11"/>
              <c:tx>
                <c:rich>
                  <a:bodyPr/>
                  <a:lstStyle/>
                  <a:p>
                    <a:fld id="{295B737B-1F3E-44F8-B930-7054FD1F039C}"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5-C867-4157-A3CB-914F43D5F92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strRef>
              <c:f>Effectiveness_Avg!$Y$116:$Y$128</c:f>
              <c:strCache>
                <c:ptCount val="12"/>
                <c:pt idx="0">
                  <c:v>12: To develop a communication strategy aiming to increase awareness with regard to ISA² and its benefits, targeting businesses and citizens, and employing user-friendly means on the ISA² website</c:v>
                </c:pt>
                <c:pt idx="1">
                  <c:v>11: To support and promote the identification of best practices, to develop guidelines to coordinate interoperability initiatives and to animate and support communities working in the field</c:v>
                </c:pt>
                <c:pt idx="2">
                  <c:v>10: To support and promote the bringing of new interoperability services and tools to maturity, and maintaining and operating existing interoperability services and tools on an interim basis</c:v>
                </c:pt>
                <c:pt idx="3">
                  <c:v>9: To support and promote the maintenance and publication of a platform allowing access to and collaboration on best practices, functioning as a means of raising awareness of existing solutions</c:v>
                </c:pt>
                <c:pt idx="4">
                  <c:v>8: To support and promote the assessment, updating, promotion of existing/new common specifications through the EU's standardisation platforms and in cooperation with standardisation organisations</c:v>
                </c:pt>
                <c:pt idx="5">
                  <c:v>7: To support and promote the maintenance, updating, promotion and monitoring of the implementation of the EIS, the EIF and the EIRA</c:v>
                </c:pt>
                <c:pt idx="6">
                  <c:v>6: To support and promote the mapping and analysis of the interoperability landscape in the EU through the establishment, maintenance and improvement of the EIRA and the EIC reuse facilitators</c:v>
                </c:pt>
                <c:pt idx="7">
                  <c:v>5: To support and promote the development of mechanisms that measure and quantify the benefits of interoperability solutions including methodologies for assessing cost-savings </c:v>
                </c:pt>
                <c:pt idx="8">
                  <c:v>4: To support and promote the identification of legislation gaps, at Union and national level, that hamper cross-border or cross-sector interoperability between European public administrations</c:v>
                </c:pt>
                <c:pt idx="9">
                  <c:v>3: To support and promote the assessment of the ICT implications of proposed or adopted Union law</c:v>
                </c:pt>
                <c:pt idx="10">
                  <c:v>2: To support and promote the development, establishment, bringing to maturity, operation and re-use of new cross-border or cross-sector interoperability solutions and common frameworks</c:v>
                </c:pt>
                <c:pt idx="11">
                  <c:v>1: To support and promote the assessment, improvement, operation and re-use of existing cross-border or cross-sector interoperability solutions and common frameworks</c:v>
                </c:pt>
              </c:strCache>
            </c:strRef>
          </c:cat>
          <c:val>
            <c:numRef>
              <c:f>Effectiveness_Avg!$AB$116:$AB$128</c:f>
              <c:numCache>
                <c:formatCode>General</c:formatCode>
                <c:ptCount val="12"/>
                <c:pt idx="0">
                  <c:v>3.65</c:v>
                </c:pt>
                <c:pt idx="1">
                  <c:v>3.65</c:v>
                </c:pt>
                <c:pt idx="2">
                  <c:v>3.45</c:v>
                </c:pt>
                <c:pt idx="3">
                  <c:v>3.6842105263157894</c:v>
                </c:pt>
                <c:pt idx="4">
                  <c:v>3.3333333333333335</c:v>
                </c:pt>
                <c:pt idx="5">
                  <c:v>3.8421052631578947</c:v>
                </c:pt>
                <c:pt idx="6">
                  <c:v>3.6315789473684212</c:v>
                </c:pt>
                <c:pt idx="7">
                  <c:v>2.6666666666666665</c:v>
                </c:pt>
                <c:pt idx="8">
                  <c:v>2.75</c:v>
                </c:pt>
                <c:pt idx="9">
                  <c:v>3.4117647058823528</c:v>
                </c:pt>
                <c:pt idx="10">
                  <c:v>3.4</c:v>
                </c:pt>
                <c:pt idx="11">
                  <c:v>3.4</c:v>
                </c:pt>
              </c:numCache>
            </c:numRef>
          </c:val>
          <c:extLst xmlns:c16r2="http://schemas.microsoft.com/office/drawing/2015/06/chart">
            <c:ext xmlns:c15="http://schemas.microsoft.com/office/drawing/2012/chart" uri="{02D57815-91ED-43cb-92C2-25804820EDAC}">
              <c15:datalabelsRange>
                <c15:f>Effectiveness_Avg!$AB$146:$AB$157</c15:f>
                <c15:dlblRangeCache>
                  <c:ptCount val="12"/>
                  <c:pt idx="0">
                    <c:v>3.65 (20)</c:v>
                  </c:pt>
                  <c:pt idx="1">
                    <c:v>3.65 (20)</c:v>
                  </c:pt>
                  <c:pt idx="2">
                    <c:v>3.45 (20)</c:v>
                  </c:pt>
                  <c:pt idx="3">
                    <c:v>3.68 (19)</c:v>
                  </c:pt>
                  <c:pt idx="4">
                    <c:v>3.33 (18)</c:v>
                  </c:pt>
                  <c:pt idx="5">
                    <c:v>3.84 (19)</c:v>
                  </c:pt>
                  <c:pt idx="6">
                    <c:v>3.63 (19)</c:v>
                  </c:pt>
                  <c:pt idx="7">
                    <c:v>2.67 (18)</c:v>
                  </c:pt>
                  <c:pt idx="8">
                    <c:v>2.75 (16)</c:v>
                  </c:pt>
                  <c:pt idx="9">
                    <c:v>3.41 (17)</c:v>
                  </c:pt>
                  <c:pt idx="10">
                    <c:v>3.40 (20)</c:v>
                  </c:pt>
                  <c:pt idx="11">
                    <c:v>3.40 (20)</c:v>
                  </c:pt>
                </c15:dlblRangeCache>
              </c15:datalabelsRange>
            </c:ext>
            <c:ext xmlns:c16="http://schemas.microsoft.com/office/drawing/2014/chart" uri="{C3380CC4-5D6E-409C-BE32-E72D297353CC}">
              <c16:uniqueId val="{00000026-C867-4157-A3CB-914F43D5F92B}"/>
            </c:ext>
          </c:extLst>
        </c:ser>
        <c:dLbls>
          <c:showLegendKey val="0"/>
          <c:showVal val="1"/>
          <c:showCatName val="0"/>
          <c:showSerName val="0"/>
          <c:showPercent val="0"/>
          <c:showBubbleSize val="0"/>
        </c:dLbls>
        <c:gapWidth val="150"/>
        <c:axId val="103196160"/>
        <c:axId val="103197696"/>
      </c:barChart>
      <c:catAx>
        <c:axId val="103196160"/>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3197696"/>
        <c:crosses val="autoZero"/>
        <c:auto val="0"/>
        <c:lblAlgn val="ctr"/>
        <c:lblOffset val="100"/>
        <c:noMultiLvlLbl val="0"/>
      </c:catAx>
      <c:valAx>
        <c:axId val="10319769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3196160"/>
        <c:crosses val="autoZero"/>
        <c:crossBetween val="between"/>
        <c:majorUnit val="1"/>
      </c:valAx>
      <c:spPr>
        <a:solidFill>
          <a:schemeClr val="bg1"/>
        </a:solidFill>
        <a:ln>
          <a:noFill/>
        </a:ln>
        <a:effectLst/>
      </c:spPr>
    </c:plotArea>
    <c:legend>
      <c:legendPos val="b"/>
      <c:layout>
        <c:manualLayout>
          <c:xMode val="edge"/>
          <c:yMode val="edge"/>
          <c:x val="0.18387911737046608"/>
          <c:y val="0.97460975499473557"/>
          <c:w val="0.62781012333573527"/>
          <c:h val="2.5390278692823835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Graphs_averages_final.xlsx]Utility_Avg!Tableau croisé dynamique2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7BEE203-B13A-40FE-AFC1-782A6E7D33D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64D9EEB3-E65A-4749-B5BC-4FA0AE5D579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976D96-07B1-4ABB-B004-33FC57DDEB4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5A212F3-7CF4-4DC1-864B-C8E8E8B8841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7BEE203-B13A-40FE-AFC1-782A6E7D33D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64D9EEB3-E65A-4749-B5BC-4FA0AE5D579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976D96-07B1-4ABB-B004-33FC57DDEB4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5A212F3-7CF4-4DC1-864B-C8E8E8B88414}"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09ACC5D-6D14-4E60-A0B9-AE265DC2BD9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5A7103D-432B-4E12-AC75-52FA9D0DA78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7755084-E0E3-4286-AD01-A32E132A72E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C4446B5-4B43-457B-98D0-3C8C96D376F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09ACC5D-6D14-4E60-A0B9-AE265DC2BD9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5A7103D-432B-4E12-AC75-52FA9D0DA78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7755084-E0E3-4286-AD01-A32E132A72E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C4446B5-4B43-457B-98D0-3C8C96D376F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09ACC5D-6D14-4E60-A0B9-AE265DC2BD97}"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35A7103D-432B-4E12-AC75-52FA9D0DA789}"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7755084-E0E3-4286-AD01-A32E132A72E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C4446B5-4B43-457B-98D0-3C8C96D376F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Utility_Avg!$R$30:$R$31</c:f>
              <c:strCache>
                <c:ptCount val="1"/>
                <c:pt idx="0">
                  <c:v>Stakeholders responsible for linked EU policies initiatives (with the exception of CIOs)</c:v>
                </c:pt>
              </c:strCache>
            </c:strRef>
          </c:tx>
          <c:spPr>
            <a:solidFill>
              <a:schemeClr val="accent3"/>
            </a:solidFill>
            <a:ln>
              <a:noFill/>
            </a:ln>
            <a:effectLst/>
          </c:spPr>
          <c:invertIfNegative val="0"/>
          <c:dLbls>
            <c:dLbl>
              <c:idx val="0"/>
              <c:tx>
                <c:rich>
                  <a:bodyPr/>
                  <a:lstStyle/>
                  <a:p>
                    <a:fld id="{24B2BB34-BE29-4DE2-A109-3D4AF83BD4A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6225-4CDB-8050-5E1EE409AE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Utility_Avg!$Q$32</c:f>
              <c:strCache>
                <c:ptCount val="1"/>
                <c:pt idx="0">
                  <c:v>Total</c:v>
                </c:pt>
              </c:strCache>
            </c:strRef>
          </c:cat>
          <c:val>
            <c:numRef>
              <c:f>Utility_Avg!$R$32</c:f>
              <c:numCache>
                <c:formatCode>General</c:formatCode>
                <c:ptCount val="1"/>
                <c:pt idx="0">
                  <c:v>2.2000000000000002</c:v>
                </c:pt>
              </c:numCache>
            </c:numRef>
          </c:val>
          <c:extLst xmlns:c16r2="http://schemas.microsoft.com/office/drawing/2015/06/chart">
            <c:ext xmlns:c15="http://schemas.microsoft.com/office/drawing/2012/chart" uri="{02D57815-91ED-43cb-92C2-25804820EDAC}">
              <c15:datalabelsRange>
                <c15:f>Utility_Avg!$R$40</c15:f>
                <c15:dlblRangeCache>
                  <c:ptCount val="1"/>
                  <c:pt idx="0">
                    <c:v>2.20 (5)</c:v>
                  </c:pt>
                </c15:dlblRangeCache>
              </c15:datalabelsRange>
            </c:ext>
            <c:ext xmlns:c16="http://schemas.microsoft.com/office/drawing/2014/chart" uri="{C3380CC4-5D6E-409C-BE32-E72D297353CC}">
              <c16:uniqueId val="{00000001-6225-4CDB-8050-5E1EE409AE6E}"/>
            </c:ext>
          </c:extLst>
        </c:ser>
        <c:ser>
          <c:idx val="1"/>
          <c:order val="1"/>
          <c:tx>
            <c:strRef>
              <c:f>Utility_Avg!$S$30:$S$31</c:f>
              <c:strCache>
                <c:ptCount val="1"/>
                <c:pt idx="0">
                  <c:v>Solution users (from EC)</c:v>
                </c:pt>
              </c:strCache>
            </c:strRef>
          </c:tx>
          <c:spPr>
            <a:solidFill>
              <a:schemeClr val="accent4"/>
            </a:solidFill>
            <a:ln>
              <a:noFill/>
            </a:ln>
            <a:effectLst/>
          </c:spPr>
          <c:invertIfNegative val="0"/>
          <c:dLbls>
            <c:dLbl>
              <c:idx val="0"/>
              <c:tx>
                <c:rich>
                  <a:bodyPr/>
                  <a:lstStyle/>
                  <a:p>
                    <a:fld id="{52D293BA-7875-483A-91AD-5FDF746F5CED}"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6225-4CDB-8050-5E1EE409AE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Utility_Avg!$Q$32</c:f>
              <c:strCache>
                <c:ptCount val="1"/>
                <c:pt idx="0">
                  <c:v>Total</c:v>
                </c:pt>
              </c:strCache>
            </c:strRef>
          </c:cat>
          <c:val>
            <c:numRef>
              <c:f>Utility_Avg!$S$32</c:f>
              <c:numCache>
                <c:formatCode>General</c:formatCode>
                <c:ptCount val="1"/>
                <c:pt idx="0">
                  <c:v>2.75</c:v>
                </c:pt>
              </c:numCache>
            </c:numRef>
          </c:val>
          <c:extLst xmlns:c16r2="http://schemas.microsoft.com/office/drawing/2015/06/chart">
            <c:ext xmlns:c15="http://schemas.microsoft.com/office/drawing/2012/chart" uri="{02D57815-91ED-43cb-92C2-25804820EDAC}">
              <c15:datalabelsRange>
                <c15:f>Utility_Avg!$S$40</c15:f>
                <c15:dlblRangeCache>
                  <c:ptCount val="1"/>
                  <c:pt idx="0">
                    <c:v>2.75 (4)</c:v>
                  </c:pt>
                </c15:dlblRangeCache>
              </c15:datalabelsRange>
            </c:ext>
            <c:ext xmlns:c16="http://schemas.microsoft.com/office/drawing/2014/chart" uri="{C3380CC4-5D6E-409C-BE32-E72D297353CC}">
              <c16:uniqueId val="{00000003-6225-4CDB-8050-5E1EE409AE6E}"/>
            </c:ext>
          </c:extLst>
        </c:ser>
        <c:ser>
          <c:idx val="2"/>
          <c:order val="2"/>
          <c:tx>
            <c:strRef>
              <c:f>Utility_Avg!$T$30:$T$31</c:f>
              <c:strCache>
                <c:ptCount val="1"/>
                <c:pt idx="0">
                  <c:v>Programme governance (from DIGIT)</c:v>
                </c:pt>
              </c:strCache>
            </c:strRef>
          </c:tx>
          <c:spPr>
            <a:solidFill>
              <a:schemeClr val="accent5"/>
            </a:solidFill>
            <a:ln>
              <a:noFill/>
            </a:ln>
            <a:effectLst/>
          </c:spPr>
          <c:invertIfNegative val="0"/>
          <c:dLbls>
            <c:dLbl>
              <c:idx val="0"/>
              <c:tx>
                <c:rich>
                  <a:bodyPr/>
                  <a:lstStyle/>
                  <a:p>
                    <a:fld id="{0623A429-8ECA-4A50-A3C6-790D3DE6C0D3}"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6225-4CDB-8050-5E1EE409AE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Utility_Avg!$Q$32</c:f>
              <c:strCache>
                <c:ptCount val="1"/>
                <c:pt idx="0">
                  <c:v>Total</c:v>
                </c:pt>
              </c:strCache>
            </c:strRef>
          </c:cat>
          <c:val>
            <c:numRef>
              <c:f>Utility_Avg!$T$32</c:f>
              <c:numCache>
                <c:formatCode>General</c:formatCode>
                <c:ptCount val="1"/>
                <c:pt idx="0">
                  <c:v>3.125</c:v>
                </c:pt>
              </c:numCache>
            </c:numRef>
          </c:val>
          <c:extLst xmlns:c16r2="http://schemas.microsoft.com/office/drawing/2015/06/chart">
            <c:ext xmlns:c15="http://schemas.microsoft.com/office/drawing/2012/chart" uri="{02D57815-91ED-43cb-92C2-25804820EDAC}">
              <c15:datalabelsRange>
                <c15:f>Utility_Avg!$T$40</c15:f>
                <c15:dlblRangeCache>
                  <c:ptCount val="1"/>
                  <c:pt idx="0">
                    <c:v>3.13 (8)</c:v>
                  </c:pt>
                </c15:dlblRangeCache>
              </c15:datalabelsRange>
            </c:ext>
            <c:ext xmlns:c16="http://schemas.microsoft.com/office/drawing/2014/chart" uri="{C3380CC4-5D6E-409C-BE32-E72D297353CC}">
              <c16:uniqueId val="{00000005-6225-4CDB-8050-5E1EE409AE6E}"/>
            </c:ext>
          </c:extLst>
        </c:ser>
        <c:ser>
          <c:idx val="3"/>
          <c:order val="3"/>
          <c:tx>
            <c:strRef>
              <c:f>Utility_Avg!$U$30:$U$31</c:f>
              <c:strCache>
                <c:ptCount val="1"/>
                <c:pt idx="0">
                  <c:v>Action owners</c:v>
                </c:pt>
              </c:strCache>
            </c:strRef>
          </c:tx>
          <c:spPr>
            <a:solidFill>
              <a:schemeClr val="accent6"/>
            </a:solidFill>
            <a:ln>
              <a:noFill/>
            </a:ln>
            <a:effectLst/>
          </c:spPr>
          <c:invertIfNegative val="0"/>
          <c:dLbls>
            <c:dLbl>
              <c:idx val="0"/>
              <c:tx>
                <c:rich>
                  <a:bodyPr/>
                  <a:lstStyle/>
                  <a:p>
                    <a:fld id="{7B7BC1C9-A0F6-468F-9272-E34862B3F2B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6225-4CDB-8050-5E1EE409AE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Utility_Avg!$Q$32</c:f>
              <c:strCache>
                <c:ptCount val="1"/>
                <c:pt idx="0">
                  <c:v>Total</c:v>
                </c:pt>
              </c:strCache>
            </c:strRef>
          </c:cat>
          <c:val>
            <c:numRef>
              <c:f>Utility_Avg!$U$32</c:f>
              <c:numCache>
                <c:formatCode>General</c:formatCode>
                <c:ptCount val="1"/>
                <c:pt idx="0">
                  <c:v>3.0833333333333335</c:v>
                </c:pt>
              </c:numCache>
            </c:numRef>
          </c:val>
          <c:extLst xmlns:c16r2="http://schemas.microsoft.com/office/drawing/2015/06/chart">
            <c:ext xmlns:c15="http://schemas.microsoft.com/office/drawing/2012/chart" uri="{02D57815-91ED-43cb-92C2-25804820EDAC}">
              <c15:datalabelsRange>
                <c15:f>Utility_Avg!$U$40</c15:f>
                <c15:dlblRangeCache>
                  <c:ptCount val="1"/>
                  <c:pt idx="0">
                    <c:v>3.08 (12)</c:v>
                  </c:pt>
                </c15:dlblRangeCache>
              </c15:datalabelsRange>
            </c:ext>
            <c:ext xmlns:c16="http://schemas.microsoft.com/office/drawing/2014/chart" uri="{C3380CC4-5D6E-409C-BE32-E72D297353CC}">
              <c16:uniqueId val="{00000007-6225-4CDB-8050-5E1EE409AE6E}"/>
            </c:ext>
          </c:extLst>
        </c:ser>
        <c:dLbls>
          <c:showLegendKey val="0"/>
          <c:showVal val="1"/>
          <c:showCatName val="0"/>
          <c:showSerName val="0"/>
          <c:showPercent val="0"/>
          <c:showBubbleSize val="0"/>
        </c:dLbls>
        <c:gapWidth val="182"/>
        <c:axId val="115364992"/>
        <c:axId val="115366528"/>
      </c:barChart>
      <c:catAx>
        <c:axId val="115364992"/>
        <c:scaling>
          <c:orientation val="minMax"/>
        </c:scaling>
        <c:delete val="1"/>
        <c:axPos val="l"/>
        <c:numFmt formatCode="General" sourceLinked="1"/>
        <c:majorTickMark val="none"/>
        <c:minorTickMark val="none"/>
        <c:tickLblPos val="nextTo"/>
        <c:crossAx val="115366528"/>
        <c:crosses val="autoZero"/>
        <c:auto val="0"/>
        <c:lblAlgn val="ctr"/>
        <c:lblOffset val="100"/>
        <c:noMultiLvlLbl val="0"/>
      </c:catAx>
      <c:valAx>
        <c:axId val="115366528"/>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5364992"/>
        <c:crosses val="autoZero"/>
        <c:crossBetween val="between"/>
        <c:majorUnit val="1"/>
      </c:valAx>
      <c:spPr>
        <a:noFill/>
        <a:ln>
          <a:noFill/>
        </a:ln>
        <a:effectLst/>
      </c:spPr>
    </c:plotArea>
    <c:legend>
      <c:legendPos val="r"/>
      <c:layout>
        <c:manualLayout>
          <c:xMode val="edge"/>
          <c:yMode val="edge"/>
          <c:x val="0.62992740717972817"/>
          <c:y val="9.2426628489620619E-2"/>
          <c:w val="0.34022184655161503"/>
          <c:h val="0.906055833929849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Graphs_averages_final.xlsx]Utility_Avg!PivotTable8</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6242A8C-F663-4BED-8E64-5BECA1532AE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4F349E6-A665-4DAC-BE2A-9F808C07150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949ACAF-D271-4EC5-BC14-17951CCEF5E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marker>
          <c:symbol val="none"/>
        </c:marker>
        <c:dLbl>
          <c:idx val="0"/>
          <c:delete val="1"/>
          <c:extLst xmlns:c16r2="http://schemas.microsoft.com/office/drawing/2015/06/chart">
            <c:ext xmlns:c15="http://schemas.microsoft.com/office/drawing/2012/chart" uri="{CE6537A1-D6FC-4f65-9D91-7224C49458BB}"/>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46242A8C-F663-4BED-8E64-5BECA1532AE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94F349E6-A665-4DAC-BE2A-9F808C07150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949ACAF-D271-4EC5-BC14-17951CCEF5E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9C473B5-BE83-42EF-9767-C895558BAAF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DC31D69-965D-4F85-B7D5-2D6122D1300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69ED89-464B-44AB-AD55-284D6CE21C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9C473B5-BE83-42EF-9767-C895558BAAF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DC31D69-965D-4F85-B7D5-2D6122D1300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69ED89-464B-44AB-AD55-284D6CE21C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9C473B5-BE83-42EF-9767-C895558BAAF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DC31D69-965D-4F85-B7D5-2D6122D13000}"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CC69ED89-464B-44AB-AD55-284D6CE21CDD}"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manualLayout>
          <c:layoutTarget val="inner"/>
          <c:xMode val="edge"/>
          <c:yMode val="edge"/>
          <c:x val="4.1348150879133419E-2"/>
          <c:y val="0.14004067372373155"/>
          <c:w val="0.57016494175686239"/>
          <c:h val="0.75010279965004378"/>
        </c:manualLayout>
      </c:layout>
      <c:barChart>
        <c:barDir val="bar"/>
        <c:grouping val="clustered"/>
        <c:varyColors val="0"/>
        <c:ser>
          <c:idx val="0"/>
          <c:order val="0"/>
          <c:tx>
            <c:strRef>
              <c:f>Utility_Avg!$R$44:$R$45</c:f>
              <c:strCache>
                <c:ptCount val="1"/>
                <c:pt idx="0">
                  <c:v>Stakeholders responsible for linked EU policies initiatives (CIOs)</c:v>
                </c:pt>
              </c:strCache>
            </c:strRef>
          </c:tx>
          <c:spPr>
            <a:solidFill>
              <a:schemeClr val="accent3"/>
            </a:solidFill>
            <a:ln>
              <a:noFill/>
            </a:ln>
            <a:effectLst/>
          </c:spPr>
          <c:invertIfNegative val="0"/>
          <c:dLbls>
            <c:dLbl>
              <c:idx val="0"/>
              <c:tx>
                <c:rich>
                  <a:bodyPr/>
                  <a:lstStyle/>
                  <a:p>
                    <a:fld id="{974D0A40-AC68-4F0F-8F21-50EF9DF3BBD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E673-42F0-AAE5-9128EB9B35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Utility_Avg!$Q$46</c:f>
              <c:strCache>
                <c:ptCount val="1"/>
                <c:pt idx="0">
                  <c:v>Total</c:v>
                </c:pt>
              </c:strCache>
            </c:strRef>
          </c:cat>
          <c:val>
            <c:numRef>
              <c:f>Utility_Avg!$R$46</c:f>
              <c:numCache>
                <c:formatCode>General</c:formatCode>
                <c:ptCount val="1"/>
                <c:pt idx="0">
                  <c:v>1</c:v>
                </c:pt>
              </c:numCache>
            </c:numRef>
          </c:val>
          <c:extLst xmlns:c16r2="http://schemas.microsoft.com/office/drawing/2015/06/chart">
            <c:ext xmlns:c15="http://schemas.microsoft.com/office/drawing/2012/chart" uri="{02D57815-91ED-43cb-92C2-25804820EDAC}">
              <c15:datalabelsRange>
                <c15:f>Utility_Avg!$R$54</c15:f>
                <c15:dlblRangeCache>
                  <c:ptCount val="1"/>
                  <c:pt idx="0">
                    <c:v>1.00 (1)</c:v>
                  </c:pt>
                </c15:dlblRangeCache>
              </c15:datalabelsRange>
            </c:ext>
            <c:ext xmlns:c16="http://schemas.microsoft.com/office/drawing/2014/chart" uri="{C3380CC4-5D6E-409C-BE32-E72D297353CC}">
              <c16:uniqueId val="{00000001-E673-42F0-AAE5-9128EB9B35C4}"/>
            </c:ext>
          </c:extLst>
        </c:ser>
        <c:ser>
          <c:idx val="1"/>
          <c:order val="1"/>
          <c:tx>
            <c:strRef>
              <c:f>Utility_Avg!$S$44:$S$45</c:f>
              <c:strCache>
                <c:ptCount val="1"/>
                <c:pt idx="0">
                  <c:v>Solution users (except from EC)</c:v>
                </c:pt>
              </c:strCache>
            </c:strRef>
          </c:tx>
          <c:spPr>
            <a:solidFill>
              <a:schemeClr val="accent4"/>
            </a:solidFill>
            <a:ln>
              <a:noFill/>
            </a:ln>
            <a:effectLst/>
          </c:spPr>
          <c:invertIfNegative val="0"/>
          <c:dLbls>
            <c:dLbl>
              <c:idx val="0"/>
              <c:tx>
                <c:rich>
                  <a:bodyPr/>
                  <a:lstStyle/>
                  <a:p>
                    <a:fld id="{DBBE1304-BCE3-4A30-B036-B940119AA12C}"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E673-42F0-AAE5-9128EB9B35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Utility_Avg!$Q$46</c:f>
              <c:strCache>
                <c:ptCount val="1"/>
                <c:pt idx="0">
                  <c:v>Total</c:v>
                </c:pt>
              </c:strCache>
            </c:strRef>
          </c:cat>
          <c:val>
            <c:numRef>
              <c:f>Utility_Avg!$S$46</c:f>
              <c:numCache>
                <c:formatCode>General</c:formatCode>
                <c:ptCount val="1"/>
                <c:pt idx="0">
                  <c:v>3.4</c:v>
                </c:pt>
              </c:numCache>
            </c:numRef>
          </c:val>
          <c:extLst xmlns:c16r2="http://schemas.microsoft.com/office/drawing/2015/06/chart">
            <c:ext xmlns:c15="http://schemas.microsoft.com/office/drawing/2012/chart" uri="{02D57815-91ED-43cb-92C2-25804820EDAC}">
              <c15:datalabelsRange>
                <c15:f>Utility_Avg!$S$54</c15:f>
                <c15:dlblRangeCache>
                  <c:ptCount val="1"/>
                  <c:pt idx="0">
                    <c:v>3.40 (11)</c:v>
                  </c:pt>
                </c15:dlblRangeCache>
              </c15:datalabelsRange>
            </c:ext>
            <c:ext xmlns:c16="http://schemas.microsoft.com/office/drawing/2014/chart" uri="{C3380CC4-5D6E-409C-BE32-E72D297353CC}">
              <c16:uniqueId val="{00000003-E673-42F0-AAE5-9128EB9B35C4}"/>
            </c:ext>
          </c:extLst>
        </c:ser>
        <c:ser>
          <c:idx val="2"/>
          <c:order val="2"/>
          <c:tx>
            <c:strRef>
              <c:f>Utility_Avg!$T$44:$T$45</c:f>
              <c:strCache>
                <c:ptCount val="1"/>
                <c:pt idx="0">
                  <c:v>Programme governance (Committee members and Coordination group members)</c:v>
                </c:pt>
              </c:strCache>
            </c:strRef>
          </c:tx>
          <c:spPr>
            <a:solidFill>
              <a:schemeClr val="accent5"/>
            </a:solidFill>
            <a:ln>
              <a:noFill/>
            </a:ln>
            <a:effectLst/>
          </c:spPr>
          <c:invertIfNegative val="0"/>
          <c:dLbls>
            <c:dLbl>
              <c:idx val="0"/>
              <c:tx>
                <c:rich>
                  <a:bodyPr/>
                  <a:lstStyle/>
                  <a:p>
                    <a:fld id="{CEE13815-2687-4C6C-87C0-3C446FBF6698}"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E673-42F0-AAE5-9128EB9B35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Utility_Avg!$Q$46</c:f>
              <c:strCache>
                <c:ptCount val="1"/>
                <c:pt idx="0">
                  <c:v>Total</c:v>
                </c:pt>
              </c:strCache>
            </c:strRef>
          </c:cat>
          <c:val>
            <c:numRef>
              <c:f>Utility_Avg!$T$46</c:f>
              <c:numCache>
                <c:formatCode>General</c:formatCode>
                <c:ptCount val="1"/>
                <c:pt idx="0">
                  <c:v>2</c:v>
                </c:pt>
              </c:numCache>
            </c:numRef>
          </c:val>
          <c:extLst xmlns:c16r2="http://schemas.microsoft.com/office/drawing/2015/06/chart">
            <c:ext xmlns:c15="http://schemas.microsoft.com/office/drawing/2012/chart" uri="{02D57815-91ED-43cb-92C2-25804820EDAC}">
              <c15:datalabelsRange>
                <c15:f>Utility_Avg!$T$54</c15:f>
                <c15:dlblRangeCache>
                  <c:ptCount val="1"/>
                  <c:pt idx="0">
                    <c:v>2.00 (1)</c:v>
                  </c:pt>
                </c15:dlblRangeCache>
              </c15:datalabelsRange>
            </c:ext>
            <c:ext xmlns:c16="http://schemas.microsoft.com/office/drawing/2014/chart" uri="{C3380CC4-5D6E-409C-BE32-E72D297353CC}">
              <c16:uniqueId val="{00000005-E673-42F0-AAE5-9128EB9B35C4}"/>
            </c:ext>
          </c:extLst>
        </c:ser>
        <c:dLbls>
          <c:showLegendKey val="0"/>
          <c:showVal val="0"/>
          <c:showCatName val="0"/>
          <c:showSerName val="0"/>
          <c:showPercent val="0"/>
          <c:showBubbleSize val="0"/>
        </c:dLbls>
        <c:gapWidth val="182"/>
        <c:axId val="116361856"/>
        <c:axId val="116396416"/>
      </c:barChart>
      <c:catAx>
        <c:axId val="116361856"/>
        <c:scaling>
          <c:orientation val="minMax"/>
        </c:scaling>
        <c:delete val="1"/>
        <c:axPos val="l"/>
        <c:numFmt formatCode="General" sourceLinked="1"/>
        <c:majorTickMark val="none"/>
        <c:minorTickMark val="none"/>
        <c:tickLblPos val="nextTo"/>
        <c:crossAx val="116396416"/>
        <c:crosses val="autoZero"/>
        <c:auto val="0"/>
        <c:lblAlgn val="ctr"/>
        <c:lblOffset val="100"/>
        <c:noMultiLvlLbl val="0"/>
      </c:catAx>
      <c:valAx>
        <c:axId val="11639641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6361856"/>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Graphs_averages_final.xlsx]Utility_Avg!Tableau croisé dynamique3</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BC7280-C410-4E7A-9D12-492644A821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1D4D48-BC6F-4517-97DB-34E11574FA2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3"/>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5C93F3-D652-4724-9199-078158E281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1"/>
        <c:spPr>
          <a:solidFill>
            <a:schemeClr val="accent4"/>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79A85E-22A2-48F5-9CAB-D757E36117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5"/>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A2ED46-CBFC-477A-A95B-CB44E4B81A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EEA2E0-E058-43B6-BD11-4DF062BEDF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BC7280-C410-4E7A-9D12-492644A821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1D4D48-BC6F-4517-97DB-34E11574FA2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3"/>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5C93F3-D652-4724-9199-078158E281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4"/>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79A85E-22A2-48F5-9CAB-D757E36117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3"/>
        <c:spPr>
          <a:solidFill>
            <a:schemeClr val="accent5"/>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A2ED46-CBFC-477A-A95B-CB44E4B81A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5"/>
        <c:spPr>
          <a:solidFill>
            <a:schemeClr val="accent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EEA2E0-E058-43B6-BD11-4DF062BEDF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BC7280-C410-4E7A-9D12-492644A821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1D4D48-BC6F-4517-97DB-34E11574FA2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3"/>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5C93F3-D652-4724-9199-078158E281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3"/>
        <c:spPr>
          <a:solidFill>
            <a:schemeClr val="accent4"/>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79A85E-22A2-48F5-9CAB-D757E36117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5"/>
        <c:spPr>
          <a:solidFill>
            <a:schemeClr val="accent5"/>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A2ED46-CBFC-477A-A95B-CB44E4B81A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7"/>
        <c:spPr>
          <a:solidFill>
            <a:schemeClr val="accent6"/>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EEA2E0-E058-43B6-BD11-4DF062BEDF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Utility_Avg!$R$61:$R$62</c:f>
              <c:strCache>
                <c:ptCount val="1"/>
                <c:pt idx="0">
                  <c:v>Wider public</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5739-4ADD-8F35-B3FFC3769B60}"/>
              </c:ext>
            </c:extLst>
          </c:dPt>
          <c:dLbls>
            <c:dLbl>
              <c:idx val="0"/>
              <c:tx>
                <c:rich>
                  <a:bodyPr/>
                  <a:lstStyle/>
                  <a:p>
                    <a:fld id="{5360C6D9-5E1C-4F68-B2DC-7194B76E4A6B}"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1-5739-4ADD-8F35-B3FFC3769B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Utility_Avg!$R$63</c:f>
              <c:numCache>
                <c:formatCode>General</c:formatCode>
                <c:ptCount val="1"/>
                <c:pt idx="0">
                  <c:v>3.5</c:v>
                </c:pt>
              </c:numCache>
            </c:numRef>
          </c:val>
          <c:extLst xmlns:c16r2="http://schemas.microsoft.com/office/drawing/2015/06/chart">
            <c:ext xmlns:c15="http://schemas.microsoft.com/office/drawing/2012/chart" uri="{02D57815-91ED-43cb-92C2-25804820EDAC}">
              <c15:datalabelsRange>
                <c15:f>Utility_Avg!$R$68</c15:f>
                <c15:dlblRangeCache>
                  <c:ptCount val="1"/>
                  <c:pt idx="0">
                    <c:v>3.50 (22)</c:v>
                  </c:pt>
                </c15:dlblRangeCache>
              </c15:datalabelsRange>
            </c:ext>
            <c:ext xmlns:c16="http://schemas.microsoft.com/office/drawing/2014/chart" uri="{C3380CC4-5D6E-409C-BE32-E72D297353CC}">
              <c16:uniqueId val="{00000002-5739-4ADD-8F35-B3FFC3769B60}"/>
            </c:ext>
          </c:extLst>
        </c:ser>
        <c:ser>
          <c:idx val="1"/>
          <c:order val="1"/>
          <c:tx>
            <c:strRef>
              <c:f>Utility_Avg!$S$61:$S$62</c:f>
              <c:strCache>
                <c:ptCount val="1"/>
                <c:pt idx="0">
                  <c:v>Standardisation organisations</c:v>
                </c:pt>
              </c:strCache>
            </c:strRef>
          </c:tx>
          <c:spPr>
            <a:solidFill>
              <a:schemeClr val="accent2"/>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5739-4ADD-8F35-B3FFC3769B60}"/>
              </c:ext>
            </c:extLst>
          </c:dPt>
          <c:dLbls>
            <c:dLbl>
              <c:idx val="0"/>
              <c:tx>
                <c:rich>
                  <a:bodyPr/>
                  <a:lstStyle/>
                  <a:p>
                    <a:fld id="{28435308-D8B9-4ABA-AA08-CE4A61EE78D7}"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5739-4ADD-8F35-B3FFC3769B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Utility_Avg!$S$63</c:f>
              <c:numCache>
                <c:formatCode>General</c:formatCode>
                <c:ptCount val="1"/>
                <c:pt idx="0">
                  <c:v>3.3333333333333335</c:v>
                </c:pt>
              </c:numCache>
            </c:numRef>
          </c:val>
          <c:extLst xmlns:c16r2="http://schemas.microsoft.com/office/drawing/2015/06/chart">
            <c:ext xmlns:c15="http://schemas.microsoft.com/office/drawing/2012/chart" uri="{02D57815-91ED-43cb-92C2-25804820EDAC}">
              <c15:datalabelsRange>
                <c15:f>Utility_Avg!$S$68</c15:f>
                <c15:dlblRangeCache>
                  <c:ptCount val="1"/>
                  <c:pt idx="0">
                    <c:v>3.33 (3)</c:v>
                  </c:pt>
                </c15:dlblRangeCache>
              </c15:datalabelsRange>
            </c:ext>
            <c:ext xmlns:c16="http://schemas.microsoft.com/office/drawing/2014/chart" uri="{C3380CC4-5D6E-409C-BE32-E72D297353CC}">
              <c16:uniqueId val="{00000005-5739-4ADD-8F35-B3FFC3769B60}"/>
            </c:ext>
          </c:extLst>
        </c:ser>
        <c:ser>
          <c:idx val="2"/>
          <c:order val="2"/>
          <c:tx>
            <c:strRef>
              <c:f>Utility_Avg!$T$61:$T$62</c:f>
              <c:strCache>
                <c:ptCount val="1"/>
                <c:pt idx="0">
                  <c:v>Stakeholders responsible for linked EU policies initiatives </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7-5739-4ADD-8F35-B3FFC3769B60}"/>
              </c:ext>
            </c:extLst>
          </c:dPt>
          <c:dLbls>
            <c:dLbl>
              <c:idx val="0"/>
              <c:tx>
                <c:rich>
                  <a:bodyPr/>
                  <a:lstStyle/>
                  <a:p>
                    <a:fld id="{E56A51C6-E2E8-4F0B-8715-C03D6D3F9CA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5739-4ADD-8F35-B3FFC3769B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Utility_Avg!$T$63</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Utility_Avg!$T$68</c15:f>
                <c15:dlblRangeCache>
                  <c:ptCount val="1"/>
                  <c:pt idx="0">
                    <c:v>3.00 (6)</c:v>
                  </c:pt>
                </c15:dlblRangeCache>
              </c15:datalabelsRange>
            </c:ext>
            <c:ext xmlns:c16="http://schemas.microsoft.com/office/drawing/2014/chart" uri="{C3380CC4-5D6E-409C-BE32-E72D297353CC}">
              <c16:uniqueId val="{00000008-5739-4ADD-8F35-B3FFC3769B60}"/>
            </c:ext>
          </c:extLst>
        </c:ser>
        <c:ser>
          <c:idx val="3"/>
          <c:order val="3"/>
          <c:tx>
            <c:strRef>
              <c:f>Utility_Avg!$U$61:$U$62</c:f>
              <c:strCache>
                <c:ptCount val="1"/>
                <c:pt idx="0">
                  <c:v>Solution users </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A-5739-4ADD-8F35-B3FFC3769B60}"/>
              </c:ext>
            </c:extLst>
          </c:dPt>
          <c:dLbls>
            <c:dLbl>
              <c:idx val="0"/>
              <c:tx>
                <c:rich>
                  <a:bodyPr/>
                  <a:lstStyle/>
                  <a:p>
                    <a:fld id="{E58567AC-B6AE-43FF-8835-804FB11CCECB}"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5739-4ADD-8F35-B3FFC3769B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Utility_Avg!$U$63</c:f>
              <c:numCache>
                <c:formatCode>General</c:formatCode>
                <c:ptCount val="1"/>
                <c:pt idx="0">
                  <c:v>3.5128205128205128</c:v>
                </c:pt>
              </c:numCache>
            </c:numRef>
          </c:val>
          <c:extLst xmlns:c16r2="http://schemas.microsoft.com/office/drawing/2015/06/chart">
            <c:ext xmlns:c15="http://schemas.microsoft.com/office/drawing/2012/chart" uri="{02D57815-91ED-43cb-92C2-25804820EDAC}">
              <c15:datalabelsRange>
                <c15:f>Utility_Avg!$U$68</c15:f>
                <c15:dlblRangeCache>
                  <c:ptCount val="1"/>
                  <c:pt idx="0">
                    <c:v>3.51 (39)</c:v>
                  </c:pt>
                </c15:dlblRangeCache>
              </c15:datalabelsRange>
            </c:ext>
            <c:ext xmlns:c16="http://schemas.microsoft.com/office/drawing/2014/chart" uri="{C3380CC4-5D6E-409C-BE32-E72D297353CC}">
              <c16:uniqueId val="{0000000B-5739-4ADD-8F35-B3FFC3769B60}"/>
            </c:ext>
          </c:extLst>
        </c:ser>
        <c:ser>
          <c:idx val="4"/>
          <c:order val="4"/>
          <c:tx>
            <c:strRef>
              <c:f>Utility_Avg!$V$61:$V$62</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D-5739-4ADD-8F35-B3FFC3769B60}"/>
              </c:ext>
            </c:extLst>
          </c:dPt>
          <c:dLbls>
            <c:dLbl>
              <c:idx val="0"/>
              <c:tx>
                <c:rich>
                  <a:bodyPr/>
                  <a:lstStyle/>
                  <a:p>
                    <a:fld id="{A9E5F88D-807B-4873-B00B-E40FDBFBE515}"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5739-4ADD-8F35-B3FFC3769B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Utility_Avg!$V$63</c:f>
              <c:numCache>
                <c:formatCode>General</c:formatCode>
                <c:ptCount val="1"/>
                <c:pt idx="0">
                  <c:v>3.4210526315789473</c:v>
                </c:pt>
              </c:numCache>
            </c:numRef>
          </c:val>
          <c:extLst xmlns:c16r2="http://schemas.microsoft.com/office/drawing/2015/06/chart">
            <c:ext xmlns:c15="http://schemas.microsoft.com/office/drawing/2012/chart" uri="{02D57815-91ED-43cb-92C2-25804820EDAC}">
              <c15:datalabelsRange>
                <c15:f>Utility_Avg!$V$68</c15:f>
                <c15:dlblRangeCache>
                  <c:ptCount val="1"/>
                  <c:pt idx="0">
                    <c:v>3.42 (19)</c:v>
                  </c:pt>
                </c15:dlblRangeCache>
              </c15:datalabelsRange>
            </c:ext>
            <c:ext xmlns:c16="http://schemas.microsoft.com/office/drawing/2014/chart" uri="{C3380CC4-5D6E-409C-BE32-E72D297353CC}">
              <c16:uniqueId val="{0000000E-5739-4ADD-8F35-B3FFC3769B60}"/>
            </c:ext>
          </c:extLst>
        </c:ser>
        <c:ser>
          <c:idx val="5"/>
          <c:order val="5"/>
          <c:tx>
            <c:strRef>
              <c:f>Utility_Avg!$W$61:$W$62</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0-5739-4ADD-8F35-B3FFC3769B60}"/>
              </c:ext>
            </c:extLst>
          </c:dPt>
          <c:dLbls>
            <c:dLbl>
              <c:idx val="0"/>
              <c:tx>
                <c:rich>
                  <a:bodyPr/>
                  <a:lstStyle/>
                  <a:p>
                    <a:fld id="{6812866F-5A94-4355-9002-AB0BC3C99F0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0-5739-4ADD-8F35-B3FFC3769B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Utility_Avg!$Q$63</c:f>
              <c:strCache>
                <c:ptCount val="1"/>
                <c:pt idx="0">
                  <c:v>Total</c:v>
                </c:pt>
              </c:strCache>
            </c:strRef>
          </c:cat>
          <c:val>
            <c:numRef>
              <c:f>Utility_Avg!$W$63</c:f>
              <c:numCache>
                <c:formatCode>General</c:formatCode>
                <c:ptCount val="1"/>
                <c:pt idx="0">
                  <c:v>3.5714285714285716</c:v>
                </c:pt>
              </c:numCache>
            </c:numRef>
          </c:val>
          <c:extLst xmlns:c16r2="http://schemas.microsoft.com/office/drawing/2015/06/chart">
            <c:ext xmlns:c15="http://schemas.microsoft.com/office/drawing/2012/chart" uri="{02D57815-91ED-43cb-92C2-25804820EDAC}">
              <c15:datalabelsRange>
                <c15:f>Utility_Avg!$W$68</c15:f>
                <c15:dlblRangeCache>
                  <c:ptCount val="1"/>
                  <c:pt idx="0">
                    <c:v>3.57 (21)</c:v>
                  </c:pt>
                </c15:dlblRangeCache>
              </c15:datalabelsRange>
            </c:ext>
            <c:ext xmlns:c16="http://schemas.microsoft.com/office/drawing/2014/chart" uri="{C3380CC4-5D6E-409C-BE32-E72D297353CC}">
              <c16:uniqueId val="{00000011-5739-4ADD-8F35-B3FFC3769B60}"/>
            </c:ext>
          </c:extLst>
        </c:ser>
        <c:dLbls>
          <c:dLblPos val="outEnd"/>
          <c:showLegendKey val="0"/>
          <c:showVal val="1"/>
          <c:showCatName val="0"/>
          <c:showSerName val="0"/>
          <c:showPercent val="0"/>
          <c:showBubbleSize val="0"/>
        </c:dLbls>
        <c:gapWidth val="182"/>
        <c:axId val="116859264"/>
        <c:axId val="116860800"/>
      </c:barChart>
      <c:catAx>
        <c:axId val="116859264"/>
        <c:scaling>
          <c:orientation val="minMax"/>
        </c:scaling>
        <c:delete val="1"/>
        <c:axPos val="l"/>
        <c:numFmt formatCode="General" sourceLinked="1"/>
        <c:majorTickMark val="none"/>
        <c:minorTickMark val="none"/>
        <c:tickLblPos val="nextTo"/>
        <c:crossAx val="116860800"/>
        <c:crosses val="autoZero"/>
        <c:auto val="1"/>
        <c:lblAlgn val="ctr"/>
        <c:lblOffset val="100"/>
        <c:noMultiLvlLbl val="0"/>
      </c:catAx>
      <c:valAx>
        <c:axId val="11686080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59264"/>
        <c:crosses val="autoZero"/>
        <c:crossBetween val="between"/>
        <c:majorUnit val="1"/>
      </c:valAx>
      <c:spPr>
        <a:noFill/>
        <a:ln>
          <a:noFill/>
        </a:ln>
        <a:effectLst/>
      </c:spPr>
    </c:plotArea>
    <c:legend>
      <c:legendPos val="r"/>
      <c:layout>
        <c:manualLayout>
          <c:xMode val="edge"/>
          <c:yMode val="edge"/>
          <c:x val="0.68886907638650197"/>
          <c:y val="3.5628046494188229E-2"/>
          <c:w val="0.29783599784350023"/>
          <c:h val="0.960489938757655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Graphs_averages_final.xlsx]Sustainability_Avg!Tableau croisé dynamique4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8FD5BB-ADE7-4290-B23D-869A4B07F90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48FC43-A569-4E98-ACA5-E299EFAF77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C9E0B2-96DA-40E5-AE04-89835BAAA2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BA208-2980-488D-95C9-EE4D585497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8FD5BB-ADE7-4290-B23D-869A4B07F90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48FC43-A569-4E98-ACA5-E299EFAF77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C9E0B2-96DA-40E5-AE04-89835BAAA2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BA208-2980-488D-95C9-EE4D585497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8FD5BB-ADE7-4290-B23D-869A4B07F90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48FC43-A569-4E98-ACA5-E299EFAF77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C9E0B2-96DA-40E5-AE04-89835BAAA2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BA208-2980-488D-95C9-EE4D585497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Sustainability_Avg!$V$2:$V$3</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5B2-44B3-82DC-E0BBBE8ACBA3}"/>
              </c:ext>
            </c:extLst>
          </c:dPt>
          <c:dLbls>
            <c:dLbl>
              <c:idx val="0"/>
              <c:tx>
                <c:rich>
                  <a:bodyPr/>
                  <a:lstStyle/>
                  <a:p>
                    <a:fld id="{0A3475E4-ED5A-481A-9824-6388DC6E211A}"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95B2-44B3-82DC-E0BBBE8ACB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c:f>
              <c:strCache>
                <c:ptCount val="1"/>
                <c:pt idx="0">
                  <c:v>Total</c:v>
                </c:pt>
              </c:strCache>
            </c:strRef>
          </c:cat>
          <c:val>
            <c:numRef>
              <c:f>Sustainability_Avg!$V$4</c:f>
              <c:numCache>
                <c:formatCode>General</c:formatCode>
                <c:ptCount val="1"/>
                <c:pt idx="0">
                  <c:v>2.4444444444444446</c:v>
                </c:pt>
              </c:numCache>
            </c:numRef>
          </c:val>
          <c:extLst xmlns:c16r2="http://schemas.microsoft.com/office/drawing/2015/06/chart">
            <c:ext xmlns:c15="http://schemas.microsoft.com/office/drawing/2012/chart" uri="{02D57815-91ED-43cb-92C2-25804820EDAC}">
              <c15:datalabelsRange>
                <c15:f>Sustainability_Avg!$V$9</c15:f>
                <c15:dlblRangeCache>
                  <c:ptCount val="1"/>
                  <c:pt idx="0">
                    <c:v>2.44 (9)</c:v>
                  </c:pt>
                </c15:dlblRangeCache>
              </c15:datalabelsRange>
            </c:ext>
            <c:ext xmlns:c16="http://schemas.microsoft.com/office/drawing/2014/chart" uri="{C3380CC4-5D6E-409C-BE32-E72D297353CC}">
              <c16:uniqueId val="{00000001-95B2-44B3-82DC-E0BBBE8ACBA3}"/>
            </c:ext>
          </c:extLst>
        </c:ser>
        <c:ser>
          <c:idx val="1"/>
          <c:order val="1"/>
          <c:tx>
            <c:strRef>
              <c:f>Sustainability_Avg!$W$2:$W$3</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2-95B2-44B3-82DC-E0BBBE8ACBA3}"/>
              </c:ext>
            </c:extLst>
          </c:dPt>
          <c:dLbls>
            <c:dLbl>
              <c:idx val="0"/>
              <c:tx>
                <c:rich>
                  <a:bodyPr/>
                  <a:lstStyle/>
                  <a:p>
                    <a:fld id="{695806EE-99C6-4DEB-9D11-80DD595CF7D0}"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95B2-44B3-82DC-E0BBBE8ACB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c:f>
              <c:strCache>
                <c:ptCount val="1"/>
                <c:pt idx="0">
                  <c:v>Total</c:v>
                </c:pt>
              </c:strCache>
            </c:strRef>
          </c:cat>
          <c:val>
            <c:numRef>
              <c:f>Sustainability_Avg!$W$4</c:f>
              <c:numCache>
                <c:formatCode>General</c:formatCode>
                <c:ptCount val="1"/>
                <c:pt idx="0">
                  <c:v>3.0857142857142859</c:v>
                </c:pt>
              </c:numCache>
            </c:numRef>
          </c:val>
          <c:extLst xmlns:c16r2="http://schemas.microsoft.com/office/drawing/2015/06/chart">
            <c:ext xmlns:c15="http://schemas.microsoft.com/office/drawing/2012/chart" uri="{02D57815-91ED-43cb-92C2-25804820EDAC}">
              <c15:datalabelsRange>
                <c15:f>Sustainability_Avg!$W$9</c15:f>
                <c15:dlblRangeCache>
                  <c:ptCount val="1"/>
                  <c:pt idx="0">
                    <c:v>3.09 (35)</c:v>
                  </c:pt>
                </c15:dlblRangeCache>
              </c15:datalabelsRange>
            </c:ext>
            <c:ext xmlns:c16="http://schemas.microsoft.com/office/drawing/2014/chart" uri="{C3380CC4-5D6E-409C-BE32-E72D297353CC}">
              <c16:uniqueId val="{00000003-95B2-44B3-82DC-E0BBBE8ACBA3}"/>
            </c:ext>
          </c:extLst>
        </c:ser>
        <c:ser>
          <c:idx val="2"/>
          <c:order val="2"/>
          <c:tx>
            <c:strRef>
              <c:f>Sustainability_Avg!$X$2:$X$3</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95B2-44B3-82DC-E0BBBE8ACBA3}"/>
              </c:ext>
            </c:extLst>
          </c:dPt>
          <c:dLbls>
            <c:dLbl>
              <c:idx val="0"/>
              <c:tx>
                <c:rich>
                  <a:bodyPr/>
                  <a:lstStyle/>
                  <a:p>
                    <a:fld id="{C0A84A1E-7CF6-43E6-B369-F431BE30520C}"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95B2-44B3-82DC-E0BBBE8ACB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c:f>
              <c:strCache>
                <c:ptCount val="1"/>
                <c:pt idx="0">
                  <c:v>Total</c:v>
                </c:pt>
              </c:strCache>
            </c:strRef>
          </c:cat>
          <c:val>
            <c:numRef>
              <c:f>Sustainability_Avg!$X$4</c:f>
              <c:numCache>
                <c:formatCode>General</c:formatCode>
                <c:ptCount val="1"/>
                <c:pt idx="0">
                  <c:v>3.1764705882352939</c:v>
                </c:pt>
              </c:numCache>
            </c:numRef>
          </c:val>
          <c:extLst xmlns:c16r2="http://schemas.microsoft.com/office/drawing/2015/06/chart">
            <c:ext xmlns:c15="http://schemas.microsoft.com/office/drawing/2012/chart" uri="{02D57815-91ED-43cb-92C2-25804820EDAC}">
              <c15:datalabelsRange>
                <c15:f>Sustainability_Avg!$X$9</c15:f>
                <c15:dlblRangeCache>
                  <c:ptCount val="1"/>
                  <c:pt idx="0">
                    <c:v>3.18 (17)</c:v>
                  </c:pt>
                </c15:dlblRangeCache>
              </c15:datalabelsRange>
            </c:ext>
            <c:ext xmlns:c16="http://schemas.microsoft.com/office/drawing/2014/chart" uri="{C3380CC4-5D6E-409C-BE32-E72D297353CC}">
              <c16:uniqueId val="{00000005-95B2-44B3-82DC-E0BBBE8ACBA3}"/>
            </c:ext>
          </c:extLst>
        </c:ser>
        <c:ser>
          <c:idx val="3"/>
          <c:order val="3"/>
          <c:tx>
            <c:strRef>
              <c:f>Sustainability_Avg!$Y$2:$Y$3</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6-95B2-44B3-82DC-E0BBBE8ACBA3}"/>
              </c:ext>
            </c:extLst>
          </c:dPt>
          <c:dLbls>
            <c:dLbl>
              <c:idx val="0"/>
              <c:tx>
                <c:rich>
                  <a:bodyPr/>
                  <a:lstStyle/>
                  <a:p>
                    <a:fld id="{0D050F7C-3B4B-4768-B04B-0426DCE469F7}"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95B2-44B3-82DC-E0BBBE8ACB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c:f>
              <c:strCache>
                <c:ptCount val="1"/>
                <c:pt idx="0">
                  <c:v>Total</c:v>
                </c:pt>
              </c:strCache>
            </c:strRef>
          </c:cat>
          <c:val>
            <c:numRef>
              <c:f>Sustainability_Avg!$Y$4</c:f>
              <c:numCache>
                <c:formatCode>General</c:formatCode>
                <c:ptCount val="1"/>
                <c:pt idx="0">
                  <c:v>3.3043478260869565</c:v>
                </c:pt>
              </c:numCache>
            </c:numRef>
          </c:val>
          <c:extLst xmlns:c16r2="http://schemas.microsoft.com/office/drawing/2015/06/chart">
            <c:ext xmlns:c15="http://schemas.microsoft.com/office/drawing/2012/chart" uri="{02D57815-91ED-43cb-92C2-25804820EDAC}">
              <c15:datalabelsRange>
                <c15:f>Sustainability_Avg!$Y$9</c15:f>
                <c15:dlblRangeCache>
                  <c:ptCount val="1"/>
                  <c:pt idx="0">
                    <c:v>3.30 (23)</c:v>
                  </c:pt>
                </c15:dlblRangeCache>
              </c15:datalabelsRange>
            </c:ext>
            <c:ext xmlns:c16="http://schemas.microsoft.com/office/drawing/2014/chart" uri="{C3380CC4-5D6E-409C-BE32-E72D297353CC}">
              <c16:uniqueId val="{00000007-95B2-44B3-82DC-E0BBBE8ACBA3}"/>
            </c:ext>
          </c:extLst>
        </c:ser>
        <c:dLbls>
          <c:dLblPos val="outEnd"/>
          <c:showLegendKey val="0"/>
          <c:showVal val="1"/>
          <c:showCatName val="0"/>
          <c:showSerName val="0"/>
          <c:showPercent val="0"/>
          <c:showBubbleSize val="0"/>
        </c:dLbls>
        <c:gapWidth val="182"/>
        <c:axId val="117164288"/>
        <c:axId val="117248000"/>
      </c:barChart>
      <c:catAx>
        <c:axId val="117164288"/>
        <c:scaling>
          <c:orientation val="minMax"/>
        </c:scaling>
        <c:delete val="1"/>
        <c:axPos val="l"/>
        <c:numFmt formatCode="General" sourceLinked="1"/>
        <c:majorTickMark val="none"/>
        <c:minorTickMark val="none"/>
        <c:tickLblPos val="nextTo"/>
        <c:crossAx val="117248000"/>
        <c:crosses val="autoZero"/>
        <c:auto val="1"/>
        <c:lblAlgn val="ctr"/>
        <c:lblOffset val="100"/>
        <c:noMultiLvlLbl val="0"/>
      </c:catAx>
      <c:valAx>
        <c:axId val="117248000"/>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17164288"/>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Graphs_averages_final.xlsx]Sustainability_Avg!Tableau croisé dynamique5</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84FBCD-659F-45BA-9634-431102F60C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CB2009-DB1D-41CF-BCC0-E5F89BB020D7}"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BEC725-C2FB-43C3-9B9B-F6AACF98FE43}"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A6024C-9CAE-44A5-B940-25262C6B9B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C71FBB1-0351-4150-B15D-4195D597B41E}"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ECECA7-ACC9-450B-AD66-3E481146D406}"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F97509-2120-4A11-BD12-A16C891C1E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C7BBB8-1F18-40B8-A6D7-1708250C11E0}"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403DBB5-FE22-42D6-B1FE-6027DA6586B1}"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FB799B-BA7F-441F-BCE3-5AA159A97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260C4E4-22B9-4BFE-AD5B-C66E9688C4B0}"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12AE8E-C32E-4DCA-8782-2ED06D7D925D}"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84FBCD-659F-45BA-9634-431102F60C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F23398-9EE1-46FE-97D1-A30FD005F5CD}"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CB77C3-AF8F-49DE-A33E-5DD1032DD2B6}"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A6024C-9CAE-44A5-B940-25262C6B9B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21C8E4B-6B81-4648-9385-0F0D3A8BF40D}"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90F4B0-E008-40FB-8C55-0DF0384F129C}"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F97509-2120-4A11-BD12-A16C891C1E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B6334F9-63F4-4687-97F6-0CD28B730F77}"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A6159B-01FE-40C2-8610-CAC314B22075}"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FB799B-BA7F-441F-BCE3-5AA159A97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E26C2F-737A-4EB8-82AD-D25243CEA6E7}"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0750F3-D379-47AF-A55F-E8F06FA55226}"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84FBCD-659F-45BA-9634-431102F60C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11D819-4985-4B2B-8E06-752A56B3551B}"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35263D-70EB-40AF-8522-AC00897397C2}"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A6024C-9CAE-44A5-B940-25262C6B9B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65A1B1-147F-4D92-AA8D-B461707A6CA5}"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FE80FC1-098C-4DF9-8A11-ABE996BEE243}"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F97509-2120-4A11-BD12-A16C891C1E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A55789-B3B2-4ACF-BAFA-849B6A8DA3DF}"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8B8A33-842C-494B-9EC1-E583DDBB68DB}"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FB799B-BA7F-441F-BCE3-5AA159A97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EEE7992-96C3-43F3-9CB2-77B7DD065B70}"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31BF0C-307F-431B-8B9B-DAA9F612A4A2}" type="CELLRANGE">
                  <a:rPr lang="de-DE"/>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manualLayout>
          <c:layoutTarget val="inner"/>
          <c:xMode val="edge"/>
          <c:yMode val="edge"/>
          <c:x val="0.11731515778564462"/>
          <c:y val="3.5138156843954639E-2"/>
          <c:w val="0.78841823533414401"/>
          <c:h val="0.68184247692565025"/>
        </c:manualLayout>
      </c:layout>
      <c:barChart>
        <c:barDir val="bar"/>
        <c:grouping val="clustered"/>
        <c:varyColors val="0"/>
        <c:ser>
          <c:idx val="0"/>
          <c:order val="0"/>
          <c:tx>
            <c:strRef>
              <c:f>Sustainability_Avg!$V$12:$V$13</c:f>
              <c:strCache>
                <c:ptCount val="1"/>
                <c:pt idx="0">
                  <c:v>Stakeholders responsible for linked EU policies initiatives</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5E29-4F4B-A5CF-5D2DC7E86184}"/>
              </c:ext>
            </c:extLst>
          </c:dPt>
          <c:dPt>
            <c:idx val="1"/>
            <c:invertIfNegative val="0"/>
            <c:bubble3D val="0"/>
            <c:extLst xmlns:c16r2="http://schemas.microsoft.com/office/drawing/2015/06/chart">
              <c:ext xmlns:c16="http://schemas.microsoft.com/office/drawing/2014/chart" uri="{C3380CC4-5D6E-409C-BE32-E72D297353CC}">
                <c16:uniqueId val="{00000001-5E29-4F4B-A5CF-5D2DC7E86184}"/>
              </c:ext>
            </c:extLst>
          </c:dPt>
          <c:dPt>
            <c:idx val="2"/>
            <c:invertIfNegative val="0"/>
            <c:bubble3D val="0"/>
            <c:extLst xmlns:c16r2="http://schemas.microsoft.com/office/drawing/2015/06/chart">
              <c:ext xmlns:c16="http://schemas.microsoft.com/office/drawing/2014/chart" uri="{C3380CC4-5D6E-409C-BE32-E72D297353CC}">
                <c16:uniqueId val="{00000002-5E29-4F4B-A5CF-5D2DC7E86184}"/>
              </c:ext>
            </c:extLst>
          </c:dPt>
          <c:dLbls>
            <c:dLbl>
              <c:idx val="0"/>
              <c:layout>
                <c:manualLayout>
                  <c:x val="-2.2158209616662972E-3"/>
                  <c:y val="3.1943778949048503E-3"/>
                </c:manualLayout>
              </c:layout>
              <c:tx>
                <c:rich>
                  <a:bodyPr/>
                  <a:lstStyle/>
                  <a:p>
                    <a:fld id="{7EEB22B5-22F6-4E20-8BB8-5C43CFC5C59D}"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5E29-4F4B-A5CF-5D2DC7E86184}"/>
                </c:ext>
              </c:extLst>
            </c:dLbl>
            <c:dLbl>
              <c:idx val="1"/>
              <c:tx>
                <c:rich>
                  <a:bodyPr/>
                  <a:lstStyle/>
                  <a:p>
                    <a:fld id="{7E488610-FF09-4ED4-A610-F35A029C6F8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5E29-4F4B-A5CF-5D2DC7E86184}"/>
                </c:ext>
              </c:extLst>
            </c:dLbl>
            <c:dLbl>
              <c:idx val="2"/>
              <c:tx>
                <c:rich>
                  <a:bodyPr/>
                  <a:lstStyle/>
                  <a:p>
                    <a:fld id="{31BB4278-D86E-4B44-AD20-717C73007CF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5E29-4F4B-A5CF-5D2DC7E861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Sustainability_Avg!$U$14:$U$17</c:f>
              <c:strCache>
                <c:ptCount val="3"/>
                <c:pt idx="0">
                  <c:v>Other</c:v>
                </c:pt>
                <c:pt idx="1">
                  <c:v>Technical and operational support needed</c:v>
                </c:pt>
                <c:pt idx="2">
                  <c:v>Operation and maintenance costs to be covered</c:v>
                </c:pt>
              </c:strCache>
            </c:strRef>
          </c:cat>
          <c:val>
            <c:numRef>
              <c:f>Sustainability_Avg!$V$14:$V$17</c:f>
              <c:numCache>
                <c:formatCode>General</c:formatCode>
                <c:ptCount val="3"/>
                <c:pt idx="0">
                  <c:v>4.75</c:v>
                </c:pt>
                <c:pt idx="1">
                  <c:v>3.625</c:v>
                </c:pt>
                <c:pt idx="2">
                  <c:v>3</c:v>
                </c:pt>
              </c:numCache>
            </c:numRef>
          </c:val>
          <c:extLst xmlns:c16r2="http://schemas.microsoft.com/office/drawing/2015/06/chart">
            <c:ext xmlns:c15="http://schemas.microsoft.com/office/drawing/2012/chart" uri="{02D57815-91ED-43cb-92C2-25804820EDAC}">
              <c15:datalabelsRange>
                <c15:f>Sustainability_Avg!$V$25:$V$27</c15:f>
                <c15:dlblRangeCache>
                  <c:ptCount val="3"/>
                  <c:pt idx="0">
                    <c:v>4.75 (4)</c:v>
                  </c:pt>
                  <c:pt idx="1">
                    <c:v>3.63 (8)</c:v>
                  </c:pt>
                  <c:pt idx="2">
                    <c:v>3.00 (8)</c:v>
                  </c:pt>
                </c15:dlblRangeCache>
              </c15:datalabelsRange>
            </c:ext>
            <c:ext xmlns:c16="http://schemas.microsoft.com/office/drawing/2014/chart" uri="{C3380CC4-5D6E-409C-BE32-E72D297353CC}">
              <c16:uniqueId val="{00000003-5E29-4F4B-A5CF-5D2DC7E86184}"/>
            </c:ext>
          </c:extLst>
        </c:ser>
        <c:ser>
          <c:idx val="1"/>
          <c:order val="1"/>
          <c:tx>
            <c:strRef>
              <c:f>Sustainability_Avg!$W$12:$W$13</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5E29-4F4B-A5CF-5D2DC7E86184}"/>
              </c:ext>
            </c:extLst>
          </c:dPt>
          <c:dPt>
            <c:idx val="1"/>
            <c:invertIfNegative val="0"/>
            <c:bubble3D val="0"/>
            <c:extLst xmlns:c16r2="http://schemas.microsoft.com/office/drawing/2015/06/chart">
              <c:ext xmlns:c16="http://schemas.microsoft.com/office/drawing/2014/chart" uri="{C3380CC4-5D6E-409C-BE32-E72D297353CC}">
                <c16:uniqueId val="{00000005-5E29-4F4B-A5CF-5D2DC7E86184}"/>
              </c:ext>
            </c:extLst>
          </c:dPt>
          <c:dPt>
            <c:idx val="2"/>
            <c:invertIfNegative val="0"/>
            <c:bubble3D val="0"/>
            <c:extLst xmlns:c16r2="http://schemas.microsoft.com/office/drawing/2015/06/chart">
              <c:ext xmlns:c16="http://schemas.microsoft.com/office/drawing/2014/chart" uri="{C3380CC4-5D6E-409C-BE32-E72D297353CC}">
                <c16:uniqueId val="{00000006-5E29-4F4B-A5CF-5D2DC7E86184}"/>
              </c:ext>
            </c:extLst>
          </c:dPt>
          <c:dLbls>
            <c:dLbl>
              <c:idx val="0"/>
              <c:tx>
                <c:rich>
                  <a:bodyPr/>
                  <a:lstStyle/>
                  <a:p>
                    <a:fld id="{BECFEDE3-08FD-4832-9693-40A5AE5C80D1}"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5E29-4F4B-A5CF-5D2DC7E86184}"/>
                </c:ext>
              </c:extLst>
            </c:dLbl>
            <c:dLbl>
              <c:idx val="1"/>
              <c:tx>
                <c:rich>
                  <a:bodyPr/>
                  <a:lstStyle/>
                  <a:p>
                    <a:fld id="{194CA9AC-D7B2-446C-8FB8-29594D25C68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5E29-4F4B-A5CF-5D2DC7E86184}"/>
                </c:ext>
              </c:extLst>
            </c:dLbl>
            <c:dLbl>
              <c:idx val="2"/>
              <c:tx>
                <c:rich>
                  <a:bodyPr/>
                  <a:lstStyle/>
                  <a:p>
                    <a:fld id="{CA4240A9-A1D6-4936-AA2E-F3F642F8E2F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5E29-4F4B-A5CF-5D2DC7E861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Sustainability_Avg!$U$14:$U$17</c:f>
              <c:strCache>
                <c:ptCount val="3"/>
                <c:pt idx="0">
                  <c:v>Other</c:v>
                </c:pt>
                <c:pt idx="1">
                  <c:v>Technical and operational support needed</c:v>
                </c:pt>
                <c:pt idx="2">
                  <c:v>Operation and maintenance costs to be covered</c:v>
                </c:pt>
              </c:strCache>
            </c:strRef>
          </c:cat>
          <c:val>
            <c:numRef>
              <c:f>Sustainability_Avg!$W$14:$W$17</c:f>
              <c:numCache>
                <c:formatCode>General</c:formatCode>
                <c:ptCount val="3"/>
                <c:pt idx="0">
                  <c:v>3.7272727272727271</c:v>
                </c:pt>
                <c:pt idx="1">
                  <c:v>3.6052631578947367</c:v>
                </c:pt>
                <c:pt idx="2">
                  <c:v>3.8461538461538463</c:v>
                </c:pt>
              </c:numCache>
            </c:numRef>
          </c:val>
          <c:extLst xmlns:c16r2="http://schemas.microsoft.com/office/drawing/2015/06/chart">
            <c:ext xmlns:c15="http://schemas.microsoft.com/office/drawing/2012/chart" uri="{02D57815-91ED-43cb-92C2-25804820EDAC}">
              <c15:datalabelsRange>
                <c15:f>Sustainability_Avg!$W$25:$W$27</c15:f>
                <c15:dlblRangeCache>
                  <c:ptCount val="3"/>
                  <c:pt idx="0">
                    <c:v>3.73 (11)</c:v>
                  </c:pt>
                  <c:pt idx="1">
                    <c:v>3.61 (38)</c:v>
                  </c:pt>
                  <c:pt idx="2">
                    <c:v>3.85 (39)</c:v>
                  </c:pt>
                </c15:dlblRangeCache>
              </c15:datalabelsRange>
            </c:ext>
            <c:ext xmlns:c16="http://schemas.microsoft.com/office/drawing/2014/chart" uri="{C3380CC4-5D6E-409C-BE32-E72D297353CC}">
              <c16:uniqueId val="{00000007-5E29-4F4B-A5CF-5D2DC7E86184}"/>
            </c:ext>
          </c:extLst>
        </c:ser>
        <c:ser>
          <c:idx val="2"/>
          <c:order val="2"/>
          <c:tx>
            <c:strRef>
              <c:f>Sustainability_Avg!$X$12:$X$13</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8-5E29-4F4B-A5CF-5D2DC7E86184}"/>
              </c:ext>
            </c:extLst>
          </c:dPt>
          <c:dPt>
            <c:idx val="1"/>
            <c:invertIfNegative val="0"/>
            <c:bubble3D val="0"/>
            <c:extLst xmlns:c16r2="http://schemas.microsoft.com/office/drawing/2015/06/chart">
              <c:ext xmlns:c16="http://schemas.microsoft.com/office/drawing/2014/chart" uri="{C3380CC4-5D6E-409C-BE32-E72D297353CC}">
                <c16:uniqueId val="{00000009-5E29-4F4B-A5CF-5D2DC7E86184}"/>
              </c:ext>
            </c:extLst>
          </c:dPt>
          <c:dPt>
            <c:idx val="2"/>
            <c:invertIfNegative val="0"/>
            <c:bubble3D val="0"/>
            <c:extLst xmlns:c16r2="http://schemas.microsoft.com/office/drawing/2015/06/chart">
              <c:ext xmlns:c16="http://schemas.microsoft.com/office/drawing/2014/chart" uri="{C3380CC4-5D6E-409C-BE32-E72D297353CC}">
                <c16:uniqueId val="{0000000A-5E29-4F4B-A5CF-5D2DC7E86184}"/>
              </c:ext>
            </c:extLst>
          </c:dPt>
          <c:dLbls>
            <c:dLbl>
              <c:idx val="0"/>
              <c:tx>
                <c:rich>
                  <a:bodyPr/>
                  <a:lstStyle/>
                  <a:p>
                    <a:fld id="{D3DBEBDF-3F40-4C23-9F36-85ECEDEE2C8B}"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5E29-4F4B-A5CF-5D2DC7E86184}"/>
                </c:ext>
              </c:extLst>
            </c:dLbl>
            <c:dLbl>
              <c:idx val="1"/>
              <c:tx>
                <c:rich>
                  <a:bodyPr/>
                  <a:lstStyle/>
                  <a:p>
                    <a:fld id="{F54D387F-0E89-4768-8AA6-87565CF1918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5E29-4F4B-A5CF-5D2DC7E86184}"/>
                </c:ext>
              </c:extLst>
            </c:dLbl>
            <c:dLbl>
              <c:idx val="2"/>
              <c:tx>
                <c:rich>
                  <a:bodyPr/>
                  <a:lstStyle/>
                  <a:p>
                    <a:fld id="{72CF5E1B-B19C-431D-950D-AC9D50B10C6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5E29-4F4B-A5CF-5D2DC7E861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Sustainability_Avg!$U$14:$U$17</c:f>
              <c:strCache>
                <c:ptCount val="3"/>
                <c:pt idx="0">
                  <c:v>Other</c:v>
                </c:pt>
                <c:pt idx="1">
                  <c:v>Technical and operational support needed</c:v>
                </c:pt>
                <c:pt idx="2">
                  <c:v>Operation and maintenance costs to be covered</c:v>
                </c:pt>
              </c:strCache>
            </c:strRef>
          </c:cat>
          <c:val>
            <c:numRef>
              <c:f>Sustainability_Avg!$X$14:$X$17</c:f>
              <c:numCache>
                <c:formatCode>General</c:formatCode>
                <c:ptCount val="3"/>
                <c:pt idx="0">
                  <c:v>3.8333333333333335</c:v>
                </c:pt>
                <c:pt idx="1">
                  <c:v>3.4705882352941178</c:v>
                </c:pt>
                <c:pt idx="2">
                  <c:v>3.8125</c:v>
                </c:pt>
              </c:numCache>
            </c:numRef>
          </c:val>
          <c:extLst xmlns:c16r2="http://schemas.microsoft.com/office/drawing/2015/06/chart">
            <c:ext xmlns:c15="http://schemas.microsoft.com/office/drawing/2012/chart" uri="{02D57815-91ED-43cb-92C2-25804820EDAC}">
              <c15:datalabelsRange>
                <c15:f>Sustainability_Avg!$X$25:$X$27</c15:f>
                <c15:dlblRangeCache>
                  <c:ptCount val="3"/>
                  <c:pt idx="0">
                    <c:v>3.83 (6)</c:v>
                  </c:pt>
                  <c:pt idx="1">
                    <c:v>3.47 (17)</c:v>
                  </c:pt>
                  <c:pt idx="2">
                    <c:v>3.81 (16)</c:v>
                  </c:pt>
                </c15:dlblRangeCache>
              </c15:datalabelsRange>
            </c:ext>
            <c:ext xmlns:c16="http://schemas.microsoft.com/office/drawing/2014/chart" uri="{C3380CC4-5D6E-409C-BE32-E72D297353CC}">
              <c16:uniqueId val="{0000000B-5E29-4F4B-A5CF-5D2DC7E86184}"/>
            </c:ext>
          </c:extLst>
        </c:ser>
        <c:ser>
          <c:idx val="3"/>
          <c:order val="3"/>
          <c:tx>
            <c:strRef>
              <c:f>Sustainability_Avg!$Y$12:$Y$13</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C-5E29-4F4B-A5CF-5D2DC7E86184}"/>
              </c:ext>
            </c:extLst>
          </c:dPt>
          <c:dPt>
            <c:idx val="1"/>
            <c:invertIfNegative val="0"/>
            <c:bubble3D val="0"/>
            <c:extLst xmlns:c16r2="http://schemas.microsoft.com/office/drawing/2015/06/chart">
              <c:ext xmlns:c16="http://schemas.microsoft.com/office/drawing/2014/chart" uri="{C3380CC4-5D6E-409C-BE32-E72D297353CC}">
                <c16:uniqueId val="{0000000D-5E29-4F4B-A5CF-5D2DC7E86184}"/>
              </c:ext>
            </c:extLst>
          </c:dPt>
          <c:dPt>
            <c:idx val="2"/>
            <c:invertIfNegative val="0"/>
            <c:bubble3D val="0"/>
            <c:extLst xmlns:c16r2="http://schemas.microsoft.com/office/drawing/2015/06/chart">
              <c:ext xmlns:c16="http://schemas.microsoft.com/office/drawing/2014/chart" uri="{C3380CC4-5D6E-409C-BE32-E72D297353CC}">
                <c16:uniqueId val="{0000000E-5E29-4F4B-A5CF-5D2DC7E86184}"/>
              </c:ext>
            </c:extLst>
          </c:dPt>
          <c:dLbls>
            <c:dLbl>
              <c:idx val="0"/>
              <c:tx>
                <c:rich>
                  <a:bodyPr/>
                  <a:lstStyle/>
                  <a:p>
                    <a:fld id="{CFF2B465-D414-4400-97FA-B067BF7AF704}"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C-5E29-4F4B-A5CF-5D2DC7E86184}"/>
                </c:ext>
              </c:extLst>
            </c:dLbl>
            <c:dLbl>
              <c:idx val="1"/>
              <c:tx>
                <c:rich>
                  <a:bodyPr/>
                  <a:lstStyle/>
                  <a:p>
                    <a:fld id="{7C139723-A550-491A-8FDF-5CEF0B9B786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5E29-4F4B-A5CF-5D2DC7E86184}"/>
                </c:ext>
              </c:extLst>
            </c:dLbl>
            <c:dLbl>
              <c:idx val="2"/>
              <c:tx>
                <c:rich>
                  <a:bodyPr/>
                  <a:lstStyle/>
                  <a:p>
                    <a:fld id="{3AE384A7-593A-4254-A261-3920C01750B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5E29-4F4B-A5CF-5D2DC7E8618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Sustainability_Avg!$U$14:$U$17</c:f>
              <c:strCache>
                <c:ptCount val="3"/>
                <c:pt idx="0">
                  <c:v>Other</c:v>
                </c:pt>
                <c:pt idx="1">
                  <c:v>Technical and operational support needed</c:v>
                </c:pt>
                <c:pt idx="2">
                  <c:v>Operation and maintenance costs to be covered</c:v>
                </c:pt>
              </c:strCache>
            </c:strRef>
          </c:cat>
          <c:val>
            <c:numRef>
              <c:f>Sustainability_Avg!$Y$14:$Y$17</c:f>
              <c:numCache>
                <c:formatCode>General</c:formatCode>
                <c:ptCount val="3"/>
                <c:pt idx="0">
                  <c:v>4.333333333333333</c:v>
                </c:pt>
                <c:pt idx="1">
                  <c:v>3.6363636363636362</c:v>
                </c:pt>
                <c:pt idx="2">
                  <c:v>3.7272727272727271</c:v>
                </c:pt>
              </c:numCache>
            </c:numRef>
          </c:val>
          <c:extLst xmlns:c16r2="http://schemas.microsoft.com/office/drawing/2015/06/chart">
            <c:ext xmlns:c15="http://schemas.microsoft.com/office/drawing/2012/chart" uri="{02D57815-91ED-43cb-92C2-25804820EDAC}">
              <c15:datalabelsRange>
                <c15:f>Sustainability_Avg!$Y$25:$Y$27</c15:f>
                <c15:dlblRangeCache>
                  <c:ptCount val="3"/>
                  <c:pt idx="0">
                    <c:v>4.33 (3)</c:v>
                  </c:pt>
                  <c:pt idx="1">
                    <c:v>3.64 (22)</c:v>
                  </c:pt>
                  <c:pt idx="2">
                    <c:v>3.73 (22)</c:v>
                  </c:pt>
                </c15:dlblRangeCache>
              </c15:datalabelsRange>
            </c:ext>
            <c:ext xmlns:c16="http://schemas.microsoft.com/office/drawing/2014/chart" uri="{C3380CC4-5D6E-409C-BE32-E72D297353CC}">
              <c16:uniqueId val="{0000000F-5E29-4F4B-A5CF-5D2DC7E86184}"/>
            </c:ext>
          </c:extLst>
        </c:ser>
        <c:dLbls>
          <c:dLblPos val="outEnd"/>
          <c:showLegendKey val="0"/>
          <c:showVal val="1"/>
          <c:showCatName val="0"/>
          <c:showSerName val="0"/>
          <c:showPercent val="0"/>
          <c:showBubbleSize val="0"/>
        </c:dLbls>
        <c:gapWidth val="182"/>
        <c:axId val="117814784"/>
        <c:axId val="117816320"/>
      </c:barChart>
      <c:catAx>
        <c:axId val="117814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17816320"/>
        <c:crosses val="autoZero"/>
        <c:auto val="1"/>
        <c:lblAlgn val="ctr"/>
        <c:lblOffset val="100"/>
        <c:noMultiLvlLbl val="0"/>
      </c:catAx>
      <c:valAx>
        <c:axId val="117816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178147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Graphs_averages_final.xlsx]Sustainability_Avg!PivotTable1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B457426-3A5D-4649-9C9A-9ADE23A5D07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A508EA4-F23B-43C1-B78E-8DC5D78095C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0D32DC-2220-4ECF-9FA0-AA6310374BE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880F142-2931-4B32-9173-EAAD4B6327C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AB457426-3A5D-4649-9C9A-9ADE23A5D07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A508EA4-F23B-43C1-B78E-8DC5D78095CC}"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0D32DC-2220-4ECF-9FA0-AA6310374BEA}"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B880F142-2931-4B32-9173-EAAD4B6327C3}"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62AD0FB-0E57-471D-921F-D3CC1FD4AB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446F979-7ED5-4691-8D86-ECD2E02E48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1F4DD1-5771-4192-8158-9113C61583B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3EFA630-C501-4C20-996F-97A64A95FC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62AD0FB-0E57-471D-921F-D3CC1FD4AB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446F979-7ED5-4691-8D86-ECD2E02E48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1F4DD1-5771-4192-8158-9113C61583B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3EFA630-C501-4C20-996F-97A64A95FC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62AD0FB-0E57-471D-921F-D3CC1FD4ABC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446F979-7ED5-4691-8D86-ECD2E02E48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DC1F4DD1-5771-4192-8158-9113C61583B1}"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53EFA630-C501-4C20-996F-97A64A95FCD5}"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Sustainability_Avg!$V$44:$V$45</c:f>
              <c:strCache>
                <c:ptCount val="1"/>
                <c:pt idx="0">
                  <c:v>Stakeholders responsible for linked EU policies initiatives</c:v>
                </c:pt>
              </c:strCache>
            </c:strRef>
          </c:tx>
          <c:spPr>
            <a:solidFill>
              <a:schemeClr val="accent3"/>
            </a:solidFill>
            <a:ln>
              <a:noFill/>
            </a:ln>
            <a:effectLst/>
          </c:spPr>
          <c:invertIfNegative val="0"/>
          <c:dLbls>
            <c:dLbl>
              <c:idx val="0"/>
              <c:tx>
                <c:rich>
                  <a:bodyPr/>
                  <a:lstStyle/>
                  <a:p>
                    <a:fld id="{B6A69C99-68F9-4265-AD2F-094F5201750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7900-4169-B733-066537DFF3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Sustainability_Avg!$U$46</c:f>
              <c:strCache>
                <c:ptCount val="1"/>
                <c:pt idx="0">
                  <c:v>Total</c:v>
                </c:pt>
              </c:strCache>
            </c:strRef>
          </c:cat>
          <c:val>
            <c:numRef>
              <c:f>Sustainability_Avg!$V$46</c:f>
              <c:numCache>
                <c:formatCode>General</c:formatCode>
                <c:ptCount val="1"/>
                <c:pt idx="0">
                  <c:v>3</c:v>
                </c:pt>
              </c:numCache>
            </c:numRef>
          </c:val>
          <c:extLst xmlns:c16r2="http://schemas.microsoft.com/office/drawing/2015/06/chart">
            <c:ext xmlns:c15="http://schemas.microsoft.com/office/drawing/2012/chart" uri="{02D57815-91ED-43cb-92C2-25804820EDAC}">
              <c15:datalabelsRange>
                <c15:f>Sustainability_Avg!$V$54</c15:f>
                <c15:dlblRangeCache>
                  <c:ptCount val="1"/>
                  <c:pt idx="0">
                    <c:v>3.00 </c:v>
                  </c:pt>
                </c15:dlblRangeCache>
              </c15:datalabelsRange>
            </c:ext>
            <c:ext xmlns:c16="http://schemas.microsoft.com/office/drawing/2014/chart" uri="{C3380CC4-5D6E-409C-BE32-E72D297353CC}">
              <c16:uniqueId val="{00000001-7900-4169-B733-066537DFF336}"/>
            </c:ext>
          </c:extLst>
        </c:ser>
        <c:ser>
          <c:idx val="1"/>
          <c:order val="1"/>
          <c:tx>
            <c:strRef>
              <c:f>Sustainability_Avg!$W$44:$W$45</c:f>
              <c:strCache>
                <c:ptCount val="1"/>
                <c:pt idx="0">
                  <c:v>Solution users</c:v>
                </c:pt>
              </c:strCache>
            </c:strRef>
          </c:tx>
          <c:spPr>
            <a:solidFill>
              <a:schemeClr val="accent4"/>
            </a:solidFill>
            <a:ln>
              <a:noFill/>
            </a:ln>
            <a:effectLst/>
          </c:spPr>
          <c:invertIfNegative val="0"/>
          <c:dLbls>
            <c:dLbl>
              <c:idx val="0"/>
              <c:tx>
                <c:rich>
                  <a:bodyPr/>
                  <a:lstStyle/>
                  <a:p>
                    <a:fld id="{9BECE183-AE18-46C7-B2CB-76789B91AF1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7900-4169-B733-066537DFF3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Sustainability_Avg!$U$46</c:f>
              <c:strCache>
                <c:ptCount val="1"/>
                <c:pt idx="0">
                  <c:v>Total</c:v>
                </c:pt>
              </c:strCache>
            </c:strRef>
          </c:cat>
          <c:val>
            <c:numRef>
              <c:f>Sustainability_Avg!$W$46</c:f>
              <c:numCache>
                <c:formatCode>General</c:formatCode>
                <c:ptCount val="1"/>
                <c:pt idx="0">
                  <c:v>3.2222222222222223</c:v>
                </c:pt>
              </c:numCache>
            </c:numRef>
          </c:val>
          <c:extLst xmlns:c16r2="http://schemas.microsoft.com/office/drawing/2015/06/chart">
            <c:ext xmlns:c15="http://schemas.microsoft.com/office/drawing/2012/chart" uri="{02D57815-91ED-43cb-92C2-25804820EDAC}">
              <c15:datalabelsRange>
                <c15:f>Sustainability_Avg!$W$54</c15:f>
                <c15:dlblRangeCache>
                  <c:ptCount val="1"/>
                  <c:pt idx="0">
                    <c:v>3.22 </c:v>
                  </c:pt>
                </c15:dlblRangeCache>
              </c15:datalabelsRange>
            </c:ext>
            <c:ext xmlns:c16="http://schemas.microsoft.com/office/drawing/2014/chart" uri="{C3380CC4-5D6E-409C-BE32-E72D297353CC}">
              <c16:uniqueId val="{00000003-7900-4169-B733-066537DFF336}"/>
            </c:ext>
          </c:extLst>
        </c:ser>
        <c:ser>
          <c:idx val="2"/>
          <c:order val="2"/>
          <c:tx>
            <c:strRef>
              <c:f>Sustainability_Avg!$X$44:$X$45</c:f>
              <c:strCache>
                <c:ptCount val="1"/>
                <c:pt idx="0">
                  <c:v>Programme governance</c:v>
                </c:pt>
              </c:strCache>
            </c:strRef>
          </c:tx>
          <c:spPr>
            <a:solidFill>
              <a:schemeClr val="accent5"/>
            </a:solidFill>
            <a:ln>
              <a:noFill/>
            </a:ln>
            <a:effectLst/>
          </c:spPr>
          <c:invertIfNegative val="0"/>
          <c:dLbls>
            <c:dLbl>
              <c:idx val="0"/>
              <c:tx>
                <c:rich>
                  <a:bodyPr/>
                  <a:lstStyle/>
                  <a:p>
                    <a:fld id="{C6AC1930-C2D0-4740-B1B4-8ABB891EAD35}"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7900-4169-B733-066537DFF3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Sustainability_Avg!$U$46</c:f>
              <c:strCache>
                <c:ptCount val="1"/>
                <c:pt idx="0">
                  <c:v>Total</c:v>
                </c:pt>
              </c:strCache>
            </c:strRef>
          </c:cat>
          <c:val>
            <c:numRef>
              <c:f>Sustainability_Avg!$X$46</c:f>
              <c:numCache>
                <c:formatCode>General</c:formatCode>
                <c:ptCount val="1"/>
                <c:pt idx="0">
                  <c:v>3.2105263157894739</c:v>
                </c:pt>
              </c:numCache>
            </c:numRef>
          </c:val>
          <c:extLst xmlns:c16r2="http://schemas.microsoft.com/office/drawing/2015/06/chart">
            <c:ext xmlns:c15="http://schemas.microsoft.com/office/drawing/2012/chart" uri="{02D57815-91ED-43cb-92C2-25804820EDAC}">
              <c15:datalabelsRange>
                <c15:f>Sustainability_Avg!$X$54</c15:f>
                <c15:dlblRangeCache>
                  <c:ptCount val="1"/>
                  <c:pt idx="0">
                    <c:v>3.21 </c:v>
                  </c:pt>
                </c15:dlblRangeCache>
              </c15:datalabelsRange>
            </c:ext>
            <c:ext xmlns:c16="http://schemas.microsoft.com/office/drawing/2014/chart" uri="{C3380CC4-5D6E-409C-BE32-E72D297353CC}">
              <c16:uniqueId val="{00000005-7900-4169-B733-066537DFF336}"/>
            </c:ext>
          </c:extLst>
        </c:ser>
        <c:ser>
          <c:idx val="3"/>
          <c:order val="3"/>
          <c:tx>
            <c:strRef>
              <c:f>Sustainability_Avg!$Y$44:$Y$45</c:f>
              <c:strCache>
                <c:ptCount val="1"/>
                <c:pt idx="0">
                  <c:v>Action owners</c:v>
                </c:pt>
              </c:strCache>
            </c:strRef>
          </c:tx>
          <c:spPr>
            <a:solidFill>
              <a:schemeClr val="accent6"/>
            </a:solidFill>
            <a:ln>
              <a:noFill/>
            </a:ln>
            <a:effectLst/>
          </c:spPr>
          <c:invertIfNegative val="0"/>
          <c:dLbls>
            <c:dLbl>
              <c:idx val="0"/>
              <c:tx>
                <c:rich>
                  <a:bodyPr/>
                  <a:lstStyle/>
                  <a:p>
                    <a:fld id="{1A999CC2-5EED-4686-B890-6CF660F2B4F9}"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7900-4169-B733-066537DFF3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Sustainability_Avg!$U$46</c:f>
              <c:strCache>
                <c:ptCount val="1"/>
                <c:pt idx="0">
                  <c:v>Total</c:v>
                </c:pt>
              </c:strCache>
            </c:strRef>
          </c:cat>
          <c:val>
            <c:numRef>
              <c:f>Sustainability_Avg!$Y$46</c:f>
              <c:numCache>
                <c:formatCode>General</c:formatCode>
                <c:ptCount val="1"/>
                <c:pt idx="0">
                  <c:v>3.2727272727272729</c:v>
                </c:pt>
              </c:numCache>
            </c:numRef>
          </c:val>
          <c:extLst xmlns:c16r2="http://schemas.microsoft.com/office/drawing/2015/06/chart">
            <c:ext xmlns:c15="http://schemas.microsoft.com/office/drawing/2012/chart" uri="{02D57815-91ED-43cb-92C2-25804820EDAC}">
              <c15:datalabelsRange>
                <c15:f>Sustainability_Avg!$Y$54</c15:f>
                <c15:dlblRangeCache>
                  <c:ptCount val="1"/>
                  <c:pt idx="0">
                    <c:v>3.27 </c:v>
                  </c:pt>
                </c15:dlblRangeCache>
              </c15:datalabelsRange>
            </c:ext>
            <c:ext xmlns:c16="http://schemas.microsoft.com/office/drawing/2014/chart" uri="{C3380CC4-5D6E-409C-BE32-E72D297353CC}">
              <c16:uniqueId val="{00000007-7900-4169-B733-066537DFF336}"/>
            </c:ext>
          </c:extLst>
        </c:ser>
        <c:dLbls>
          <c:showLegendKey val="0"/>
          <c:showVal val="0"/>
          <c:showCatName val="0"/>
          <c:showSerName val="0"/>
          <c:showPercent val="0"/>
          <c:showBubbleSize val="0"/>
        </c:dLbls>
        <c:gapWidth val="182"/>
        <c:axId val="118743808"/>
        <c:axId val="118745344"/>
      </c:barChart>
      <c:catAx>
        <c:axId val="118743808"/>
        <c:scaling>
          <c:orientation val="minMax"/>
        </c:scaling>
        <c:delete val="1"/>
        <c:axPos val="l"/>
        <c:numFmt formatCode="General" sourceLinked="1"/>
        <c:majorTickMark val="none"/>
        <c:minorTickMark val="none"/>
        <c:tickLblPos val="nextTo"/>
        <c:crossAx val="118745344"/>
        <c:crosses val="autoZero"/>
        <c:auto val="0"/>
        <c:lblAlgn val="ctr"/>
        <c:lblOffset val="100"/>
        <c:noMultiLvlLbl val="0"/>
      </c:catAx>
      <c:valAx>
        <c:axId val="118745344"/>
        <c:scaling>
          <c:orientation val="minMax"/>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8743808"/>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Graphs_averages_final.xlsx]Sustainability_Avg!Tableau croisé dynamique6</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3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5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6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8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6"/>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9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9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4"/>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6"/>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0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2"/>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GB"/>
                  <a:t>Add text</a:t>
                </a:r>
              </a:p>
            </c:rich>
          </c:tx>
          <c:spPr>
            <a:noFill/>
            <a:ln>
              <a:noFill/>
            </a:ln>
            <a:effectLst/>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15:xForSave val="1"/>
            </c:ext>
          </c:extLst>
        </c:dLbl>
      </c:pivotFmt>
      <c:pivotFmt>
        <c:idx val="114"/>
        <c:marker>
          <c:symbol val="none"/>
        </c:marker>
      </c:pivotFmt>
      <c:pivotFmt>
        <c:idx val="115"/>
      </c:pivotFmt>
      <c:pivotFmt>
        <c:idx val="116"/>
      </c:pivotFmt>
      <c:pivotFmt>
        <c:idx val="117"/>
      </c:pivotFmt>
      <c:pivotFmt>
        <c:idx val="118"/>
      </c:pivotFmt>
      <c:pivotFmt>
        <c:idx val="119"/>
        <c:marker>
          <c:symbol val="none"/>
        </c:marker>
      </c:pivotFmt>
      <c:pivotFmt>
        <c:idx val="120"/>
      </c:pivotFmt>
      <c:pivotFmt>
        <c:idx val="121"/>
      </c:pivotFmt>
      <c:pivotFmt>
        <c:idx val="122"/>
      </c:pivotFmt>
      <c:pivotFmt>
        <c:idx val="123"/>
      </c:pivotFmt>
      <c:pivotFmt>
        <c:idx val="124"/>
        <c:marker>
          <c:symbol val="none"/>
        </c:marker>
      </c:pivotFmt>
      <c:pivotFmt>
        <c:idx val="125"/>
      </c:pivotFmt>
      <c:pivotFmt>
        <c:idx val="126"/>
      </c:pivotFmt>
      <c:pivotFmt>
        <c:idx val="127"/>
      </c:pivotFmt>
      <c:pivotFmt>
        <c:idx val="128"/>
      </c:pivotFmt>
      <c:pivotFmt>
        <c:idx val="129"/>
        <c:marker>
          <c:symbol val="none"/>
        </c:marker>
      </c:pivotFmt>
      <c:pivotFmt>
        <c:idx val="130"/>
      </c:pivotFmt>
      <c:pivotFmt>
        <c:idx val="131"/>
      </c:pivotFmt>
      <c:pivotFmt>
        <c:idx val="132"/>
      </c:pivotFmt>
      <c:pivotFmt>
        <c:idx val="133"/>
      </c:pivotFmt>
      <c:pivotFmt>
        <c:idx val="134"/>
        <c:marker>
          <c:symbol val="none"/>
        </c:marker>
      </c:pivotFmt>
      <c:pivotFmt>
        <c:idx val="135"/>
      </c:pivotFmt>
      <c:pivotFmt>
        <c:idx val="136"/>
      </c:pivotFmt>
      <c:pivotFmt>
        <c:idx val="137"/>
      </c:pivotFmt>
      <c:pivotFmt>
        <c:idx val="138"/>
      </c:pivotFmt>
      <c:pivotFmt>
        <c:idx val="139"/>
        <c:marker>
          <c:symbol val="none"/>
        </c:marker>
      </c:pivotFmt>
      <c:pivotFmt>
        <c:idx val="140"/>
      </c:pivotFmt>
      <c:pivotFmt>
        <c:idx val="141"/>
      </c:pivotFmt>
      <c:pivotFmt>
        <c:idx val="142"/>
      </c:pivotFmt>
      <c:pivotFmt>
        <c:idx val="143"/>
      </c:pivotFmt>
      <c:pivotFmt>
        <c:idx val="144"/>
        <c:marker>
          <c:symbol val="none"/>
        </c:marker>
        <c:dLbl>
          <c:idx val="0"/>
          <c:delete val="1"/>
          <c:extLst xmlns:c16r2="http://schemas.microsoft.com/office/drawing/2015/06/chart">
            <c:ext xmlns:c15="http://schemas.microsoft.com/office/drawing/2012/chart" uri="{CE6537A1-D6FC-4f65-9D91-7224C49458BB}"/>
          </c:extLst>
        </c:dLbl>
      </c:pivotFmt>
      <c:pivotFmt>
        <c:idx val="145"/>
        <c:marker>
          <c:symbol val="none"/>
        </c:marker>
        <c:dLbl>
          <c:idx val="0"/>
          <c:delete val="1"/>
          <c:extLst xmlns:c16r2="http://schemas.microsoft.com/office/drawing/2015/06/chart">
            <c:ext xmlns:c15="http://schemas.microsoft.com/office/drawing/2012/chart" uri="{CE6537A1-D6FC-4f65-9D91-7224C49458BB}"/>
          </c:extLst>
        </c:dLbl>
      </c:pivotFmt>
      <c:pivotFmt>
        <c:idx val="146"/>
        <c:marker>
          <c:symbol val="none"/>
        </c:marker>
        <c:dLbl>
          <c:idx val="0"/>
          <c:delete val="1"/>
          <c:extLst xmlns:c16r2="http://schemas.microsoft.com/office/drawing/2015/06/chart">
            <c:ext xmlns:c15="http://schemas.microsoft.com/office/drawing/2012/chart" uri="{CE6537A1-D6FC-4f65-9D91-7224C49458BB}"/>
          </c:extLst>
        </c:dLbl>
      </c:pivotFmt>
      <c:pivotFmt>
        <c:idx val="147"/>
        <c:marker>
          <c:symbol val="none"/>
        </c:marker>
        <c:dLbl>
          <c:idx val="0"/>
          <c:delete val="1"/>
          <c:extLst xmlns:c16r2="http://schemas.microsoft.com/office/drawing/2015/06/chart">
            <c:ext xmlns:c15="http://schemas.microsoft.com/office/drawing/2012/chart" uri="{CE6537A1-D6FC-4f65-9D91-7224C49458BB}"/>
          </c:extLst>
        </c:dLbl>
      </c:pivotFmt>
      <c:pivotFmt>
        <c:idx val="148"/>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0"/>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2"/>
        <c:marker>
          <c:symbol val="none"/>
        </c:marker>
        <c:dLbl>
          <c:idx val="0"/>
          <c:delete val="1"/>
          <c:extLst xmlns:c16r2="http://schemas.microsoft.com/office/drawing/2015/06/chart">
            <c:ext xmlns:c15="http://schemas.microsoft.com/office/drawing/2012/chart" uri="{CE6537A1-D6FC-4f65-9D91-7224C49458BB}"/>
          </c:extLst>
        </c:dLbl>
      </c:pivotFmt>
      <c:pivotFmt>
        <c:idx val="15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4"/>
        <c:marker>
          <c:symbol val="none"/>
        </c:marker>
        <c:dLbl>
          <c:idx val="0"/>
          <c:delete val="1"/>
          <c:extLst xmlns:c16r2="http://schemas.microsoft.com/office/drawing/2015/06/chart">
            <c:ext xmlns:c15="http://schemas.microsoft.com/office/drawing/2012/chart" uri="{CE6537A1-D6FC-4f65-9D91-7224C49458BB}"/>
          </c:extLst>
        </c:dLbl>
      </c:pivotFmt>
      <c:pivotFmt>
        <c:idx val="15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6"/>
        <c:marker>
          <c:symbol val="none"/>
        </c:marker>
        <c:dLbl>
          <c:idx val="0"/>
          <c:delete val="1"/>
          <c:extLst xmlns:c16r2="http://schemas.microsoft.com/office/drawing/2015/06/chart">
            <c:ext xmlns:c15="http://schemas.microsoft.com/office/drawing/2012/chart" uri="{CE6537A1-D6FC-4f65-9D91-7224C49458BB}"/>
          </c:extLst>
        </c:dLbl>
      </c:pivotFmt>
      <c:pivotFmt>
        <c:idx val="15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58"/>
        <c:marker>
          <c:symbol val="none"/>
        </c:marker>
        <c:dLbl>
          <c:idx val="0"/>
          <c:delete val="1"/>
          <c:extLst xmlns:c16r2="http://schemas.microsoft.com/office/drawing/2015/06/chart">
            <c:ext xmlns:c15="http://schemas.microsoft.com/office/drawing/2012/chart" uri="{CE6537A1-D6FC-4f65-9D91-7224C49458BB}"/>
          </c:extLst>
        </c:dLbl>
      </c:pivotFmt>
      <c:pivotFmt>
        <c:idx val="15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0"/>
        <c:marker>
          <c:symbol val="none"/>
        </c:marker>
        <c:dLbl>
          <c:idx val="0"/>
          <c:delete val="1"/>
          <c:extLst xmlns:c16r2="http://schemas.microsoft.com/office/drawing/2015/06/chart">
            <c:ext xmlns:c15="http://schemas.microsoft.com/office/drawing/2012/chart" uri="{CE6537A1-D6FC-4f65-9D91-7224C49458BB}"/>
          </c:extLst>
        </c:dLbl>
      </c:pivotFmt>
      <c:pivotFmt>
        <c:idx val="16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2"/>
        <c:marker>
          <c:symbol val="none"/>
        </c:marker>
        <c:dLbl>
          <c:idx val="0"/>
          <c:delete val="1"/>
          <c:extLst xmlns:c16r2="http://schemas.microsoft.com/office/drawing/2015/06/chart">
            <c:ext xmlns:c15="http://schemas.microsoft.com/office/drawing/2012/chart" uri="{CE6537A1-D6FC-4f65-9D91-7224C49458BB}"/>
          </c:extLst>
        </c:dLbl>
      </c:pivotFmt>
      <c:pivotFmt>
        <c:idx val="16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4"/>
        <c:marker>
          <c:symbol val="none"/>
        </c:marker>
        <c:dLbl>
          <c:idx val="0"/>
          <c:delete val="1"/>
          <c:extLst xmlns:c16r2="http://schemas.microsoft.com/office/drawing/2015/06/chart">
            <c:ext xmlns:c15="http://schemas.microsoft.com/office/drawing/2012/chart" uri="{CE6537A1-D6FC-4f65-9D91-7224C49458BB}"/>
          </c:extLst>
        </c:dLbl>
      </c:pivotFmt>
      <c:pivotFmt>
        <c:idx val="16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6"/>
        <c:marker>
          <c:symbol val="none"/>
        </c:marker>
        <c:dLbl>
          <c:idx val="0"/>
          <c:delete val="1"/>
          <c:extLst xmlns:c16r2="http://schemas.microsoft.com/office/drawing/2015/06/chart">
            <c:ext xmlns:c15="http://schemas.microsoft.com/office/drawing/2012/chart" uri="{CE6537A1-D6FC-4f65-9D91-7224C49458BB}"/>
          </c:extLst>
        </c:dLbl>
      </c:pivotFmt>
      <c:pivotFmt>
        <c:idx val="16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68"/>
        <c:marker>
          <c:symbol val="none"/>
        </c:marker>
        <c:dLbl>
          <c:idx val="0"/>
          <c:delete val="1"/>
          <c:extLst xmlns:c16r2="http://schemas.microsoft.com/office/drawing/2015/06/chart">
            <c:ext xmlns:c15="http://schemas.microsoft.com/office/drawing/2012/chart" uri="{CE6537A1-D6FC-4f65-9D91-7224C49458BB}"/>
          </c:extLst>
        </c:dLbl>
      </c:pivotFmt>
      <c:pivotFmt>
        <c:idx val="16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0"/>
        <c:marker>
          <c:symbol val="none"/>
        </c:marker>
        <c:dLbl>
          <c:idx val="0"/>
          <c:delete val="1"/>
          <c:extLst xmlns:c16r2="http://schemas.microsoft.com/office/drawing/2015/06/chart">
            <c:ext xmlns:c15="http://schemas.microsoft.com/office/drawing/2012/chart" uri="{CE6537A1-D6FC-4f65-9D91-7224C49458BB}"/>
          </c:extLst>
        </c:dLbl>
      </c:pivotFmt>
      <c:pivotFmt>
        <c:idx val="17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2"/>
        <c:marker>
          <c:symbol val="none"/>
        </c:marker>
        <c:dLbl>
          <c:idx val="0"/>
          <c:delete val="1"/>
          <c:extLst xmlns:c16r2="http://schemas.microsoft.com/office/drawing/2015/06/chart">
            <c:ext xmlns:c15="http://schemas.microsoft.com/office/drawing/2012/chart" uri="{CE6537A1-D6FC-4f65-9D91-7224C49458BB}"/>
          </c:extLst>
        </c:dLbl>
      </c:pivotFmt>
      <c:pivotFmt>
        <c:idx val="17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4"/>
        <c:marker>
          <c:symbol val="none"/>
        </c:marker>
        <c:dLbl>
          <c:idx val="0"/>
          <c:delete val="1"/>
          <c:extLst xmlns:c16r2="http://schemas.microsoft.com/office/drawing/2015/06/chart">
            <c:ext xmlns:c15="http://schemas.microsoft.com/office/drawing/2012/chart" uri="{CE6537A1-D6FC-4f65-9D91-7224C49458BB}"/>
          </c:extLst>
        </c:dLbl>
      </c:pivotFmt>
      <c:pivotFmt>
        <c:idx val="175"/>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6"/>
        <c:marker>
          <c:symbol val="none"/>
        </c:marker>
        <c:dLbl>
          <c:idx val="0"/>
          <c:delete val="1"/>
          <c:extLst xmlns:c16r2="http://schemas.microsoft.com/office/drawing/2015/06/chart">
            <c:ext xmlns:c15="http://schemas.microsoft.com/office/drawing/2012/chart" uri="{CE6537A1-D6FC-4f65-9D91-7224C49458BB}"/>
          </c:extLst>
        </c:dLbl>
      </c:pivotFmt>
      <c:pivotFmt>
        <c:idx val="177"/>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1EE4239E-768D-4A69-BF42-3B96B0153C7E}"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78"/>
        <c:marker>
          <c:symbol val="none"/>
        </c:marker>
        <c:dLbl>
          <c:idx val="0"/>
          <c:delete val="1"/>
          <c:extLst xmlns:c16r2="http://schemas.microsoft.com/office/drawing/2015/06/chart">
            <c:ext xmlns:c15="http://schemas.microsoft.com/office/drawing/2012/chart" uri="{CE6537A1-D6FC-4f65-9D91-7224C49458BB}"/>
          </c:extLst>
        </c:dLbl>
      </c:pivotFmt>
      <c:pivotFmt>
        <c:idx val="179"/>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EF9EA098-BD97-478E-8543-3B019CB96CCF}"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0"/>
        <c:marker>
          <c:symbol val="none"/>
        </c:marker>
        <c:dLbl>
          <c:idx val="0"/>
          <c:delete val="1"/>
          <c:extLst xmlns:c16r2="http://schemas.microsoft.com/office/drawing/2015/06/chart">
            <c:ext xmlns:c15="http://schemas.microsoft.com/office/drawing/2012/chart" uri="{CE6537A1-D6FC-4f65-9D91-7224C49458BB}"/>
          </c:extLst>
        </c:dLbl>
      </c:pivotFmt>
      <c:pivotFmt>
        <c:idx val="181"/>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849E3890-9640-40E0-95C3-3194E731DA62}"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2"/>
        <c:marker>
          <c:symbol val="none"/>
        </c:marker>
        <c:dLbl>
          <c:idx val="0"/>
          <c:delete val="1"/>
          <c:extLst xmlns:c16r2="http://schemas.microsoft.com/office/drawing/2015/06/chart">
            <c:ext xmlns:c15="http://schemas.microsoft.com/office/drawing/2012/chart" uri="{CE6537A1-D6FC-4f65-9D91-7224C49458BB}"/>
          </c:extLst>
        </c:dLbl>
      </c:pivotFmt>
      <c:pivotFmt>
        <c:idx val="183"/>
        <c:dLbl>
          <c:idx val="0"/>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fld id="{F2DBB37E-9F3D-4AEF-BE59-4E70D83841BB}" type="CELLRANGE">
                  <a:rPr lang="en-US"/>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t>[CELLRANGE]</a:t>
                </a:fld>
                <a:endParaRPr lang="en-GB"/>
              </a:p>
            </c:rich>
          </c:tx>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s>
    <c:plotArea>
      <c:layout/>
      <c:barChart>
        <c:barDir val="bar"/>
        <c:grouping val="clustered"/>
        <c:varyColors val="0"/>
        <c:ser>
          <c:idx val="0"/>
          <c:order val="0"/>
          <c:tx>
            <c:strRef>
              <c:f>Sustainability_Avg!$V$30:$V$31</c:f>
              <c:strCache>
                <c:ptCount val="1"/>
                <c:pt idx="0">
                  <c:v>Stakeholders responsible for linked EU policies initiatives</c:v>
                </c:pt>
              </c:strCache>
            </c:strRef>
          </c:tx>
          <c:spPr>
            <a:solidFill>
              <a:schemeClr val="accent1"/>
            </a:solidFill>
            <a:ln>
              <a:noFill/>
            </a:ln>
            <a:effectLst/>
          </c:spPr>
          <c:invertIfNegative val="0"/>
          <c:dLbls>
            <c:dLbl>
              <c:idx val="0"/>
              <c:tx>
                <c:rich>
                  <a:bodyPr/>
                  <a:lstStyle/>
                  <a:p>
                    <a:fld id="{9D7D7065-6F41-446D-9790-EB5FEE297723}"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8B5F-4078-9AD5-2FD404DDD4F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Sustainability_Avg!$U$32</c:f>
              <c:strCache>
                <c:ptCount val="1"/>
                <c:pt idx="0">
                  <c:v>Total</c:v>
                </c:pt>
              </c:strCache>
            </c:strRef>
          </c:cat>
          <c:val>
            <c:numRef>
              <c:f>Sustainability_Avg!$V$32</c:f>
              <c:numCache>
                <c:formatCode>General</c:formatCode>
                <c:ptCount val="1"/>
                <c:pt idx="0">
                  <c:v>2.1666666666666665</c:v>
                </c:pt>
              </c:numCache>
            </c:numRef>
          </c:val>
          <c:extLst xmlns:c16r2="http://schemas.microsoft.com/office/drawing/2015/06/chart">
            <c:ext xmlns:c15="http://schemas.microsoft.com/office/drawing/2012/chart" uri="{02D57815-91ED-43cb-92C2-25804820EDAC}">
              <c15:datalabelsRange>
                <c15:f>Sustainability_Avg!$V$40:$Y$40</c15:f>
                <c15:dlblRangeCache>
                  <c:ptCount val="4"/>
                  <c:pt idx="0">
                    <c:v>2.17 (6)</c:v>
                  </c:pt>
                  <c:pt idx="1">
                    <c:v>2.22 (36)</c:v>
                  </c:pt>
                  <c:pt idx="2">
                    <c:v>2.33 (15)</c:v>
                  </c:pt>
                  <c:pt idx="3">
                    <c:v>2.50 (22)</c:v>
                  </c:pt>
                </c15:dlblRangeCache>
              </c15:datalabelsRange>
            </c:ext>
            <c:ext xmlns:c16="http://schemas.microsoft.com/office/drawing/2014/chart" uri="{C3380CC4-5D6E-409C-BE32-E72D297353CC}">
              <c16:uniqueId val="{00000001-8B5F-4078-9AD5-2FD404DDD4F9}"/>
            </c:ext>
          </c:extLst>
        </c:ser>
        <c:ser>
          <c:idx val="1"/>
          <c:order val="1"/>
          <c:tx>
            <c:strRef>
              <c:f>Sustainability_Avg!$W$30:$W$31</c:f>
              <c:strCache>
                <c:ptCount val="1"/>
                <c:pt idx="0">
                  <c:v>Solution users</c:v>
                </c:pt>
              </c:strCache>
            </c:strRef>
          </c:tx>
          <c:spPr>
            <a:solidFill>
              <a:schemeClr val="accent2"/>
            </a:solidFill>
            <a:ln>
              <a:noFill/>
            </a:ln>
            <a:effectLst/>
          </c:spPr>
          <c:invertIfNegative val="0"/>
          <c:dLbls>
            <c:dLbl>
              <c:idx val="0"/>
              <c:tx>
                <c:rich>
                  <a:bodyPr/>
                  <a:lstStyle/>
                  <a:p>
                    <a:fld id="{015B82C6-991E-43CB-8B64-DE2E2A3C5A8B}"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8B5F-4078-9AD5-2FD404DDD4F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Sustainability_Avg!$U$32</c:f>
              <c:strCache>
                <c:ptCount val="1"/>
                <c:pt idx="0">
                  <c:v>Total</c:v>
                </c:pt>
              </c:strCache>
            </c:strRef>
          </c:cat>
          <c:val>
            <c:numRef>
              <c:f>Sustainability_Avg!$W$32</c:f>
              <c:numCache>
                <c:formatCode>General</c:formatCode>
                <c:ptCount val="1"/>
                <c:pt idx="0">
                  <c:v>2.2222222222222223</c:v>
                </c:pt>
              </c:numCache>
            </c:numRef>
          </c:val>
          <c:extLst xmlns:c16r2="http://schemas.microsoft.com/office/drawing/2015/06/chart">
            <c:ext xmlns:c15="http://schemas.microsoft.com/office/drawing/2012/chart" uri="{02D57815-91ED-43cb-92C2-25804820EDAC}">
              <c15:datalabelsRange>
                <c15:f>Sustainability_Avg!$W$40</c15:f>
                <c15:dlblRangeCache>
                  <c:ptCount val="1"/>
                  <c:pt idx="0">
                    <c:v>2.22 (36)</c:v>
                  </c:pt>
                </c15:dlblRangeCache>
              </c15:datalabelsRange>
            </c:ext>
            <c:ext xmlns:c16="http://schemas.microsoft.com/office/drawing/2014/chart" uri="{C3380CC4-5D6E-409C-BE32-E72D297353CC}">
              <c16:uniqueId val="{00000003-8B5F-4078-9AD5-2FD404DDD4F9}"/>
            </c:ext>
          </c:extLst>
        </c:ser>
        <c:ser>
          <c:idx val="2"/>
          <c:order val="2"/>
          <c:tx>
            <c:strRef>
              <c:f>Sustainability_Avg!$X$30:$X$31</c:f>
              <c:strCache>
                <c:ptCount val="1"/>
                <c:pt idx="0">
                  <c:v>Programme governance</c:v>
                </c:pt>
              </c:strCache>
            </c:strRef>
          </c:tx>
          <c:spPr>
            <a:solidFill>
              <a:schemeClr val="accent3"/>
            </a:solidFill>
            <a:ln>
              <a:noFill/>
            </a:ln>
            <a:effectLst/>
          </c:spPr>
          <c:invertIfNegative val="0"/>
          <c:dLbls>
            <c:dLbl>
              <c:idx val="0"/>
              <c:tx>
                <c:rich>
                  <a:bodyPr/>
                  <a:lstStyle/>
                  <a:p>
                    <a:fld id="{CFDA3709-319F-478E-B2A8-7DE7C4A0C01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8B5F-4078-9AD5-2FD404DDD4F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Sustainability_Avg!$U$32</c:f>
              <c:strCache>
                <c:ptCount val="1"/>
                <c:pt idx="0">
                  <c:v>Total</c:v>
                </c:pt>
              </c:strCache>
            </c:strRef>
          </c:cat>
          <c:val>
            <c:numRef>
              <c:f>Sustainability_Avg!$X$32</c:f>
              <c:numCache>
                <c:formatCode>General</c:formatCode>
                <c:ptCount val="1"/>
                <c:pt idx="0">
                  <c:v>2.3333333333333335</c:v>
                </c:pt>
              </c:numCache>
            </c:numRef>
          </c:val>
          <c:extLst xmlns:c16r2="http://schemas.microsoft.com/office/drawing/2015/06/chart">
            <c:ext xmlns:c15="http://schemas.microsoft.com/office/drawing/2012/chart" uri="{02D57815-91ED-43cb-92C2-25804820EDAC}">
              <c15:datalabelsRange>
                <c15:f>Sustainability_Avg!$X$40</c15:f>
                <c15:dlblRangeCache>
                  <c:ptCount val="1"/>
                  <c:pt idx="0">
                    <c:v>2.33 (15)</c:v>
                  </c:pt>
                </c15:dlblRangeCache>
              </c15:datalabelsRange>
            </c:ext>
            <c:ext xmlns:c16="http://schemas.microsoft.com/office/drawing/2014/chart" uri="{C3380CC4-5D6E-409C-BE32-E72D297353CC}">
              <c16:uniqueId val="{00000005-8B5F-4078-9AD5-2FD404DDD4F9}"/>
            </c:ext>
          </c:extLst>
        </c:ser>
        <c:ser>
          <c:idx val="3"/>
          <c:order val="3"/>
          <c:tx>
            <c:strRef>
              <c:f>Sustainability_Avg!$Y$30:$Y$31</c:f>
              <c:strCache>
                <c:ptCount val="1"/>
                <c:pt idx="0">
                  <c:v>Action owners</c:v>
                </c:pt>
              </c:strCache>
            </c:strRef>
          </c:tx>
          <c:spPr>
            <a:solidFill>
              <a:schemeClr val="accent4"/>
            </a:solidFill>
            <a:ln>
              <a:noFill/>
            </a:ln>
            <a:effectLst/>
          </c:spPr>
          <c:invertIfNegative val="0"/>
          <c:dLbls>
            <c:dLbl>
              <c:idx val="0"/>
              <c:tx>
                <c:rich>
                  <a:bodyPr/>
                  <a:lstStyle/>
                  <a:p>
                    <a:fld id="{22F9ECD3-7FB1-4971-8E39-04413C12F5D1}"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8B5F-4078-9AD5-2FD404DDD4F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Sustainability_Avg!$U$32</c:f>
              <c:strCache>
                <c:ptCount val="1"/>
                <c:pt idx="0">
                  <c:v>Total</c:v>
                </c:pt>
              </c:strCache>
            </c:strRef>
          </c:cat>
          <c:val>
            <c:numRef>
              <c:f>Sustainability_Avg!$Y$32</c:f>
              <c:numCache>
                <c:formatCode>General</c:formatCode>
                <c:ptCount val="1"/>
                <c:pt idx="0">
                  <c:v>2.5</c:v>
                </c:pt>
              </c:numCache>
            </c:numRef>
          </c:val>
          <c:extLst xmlns:c16r2="http://schemas.microsoft.com/office/drawing/2015/06/chart">
            <c:ext xmlns:c15="http://schemas.microsoft.com/office/drawing/2012/chart" uri="{02D57815-91ED-43cb-92C2-25804820EDAC}">
              <c15:datalabelsRange>
                <c15:f>Sustainability_Avg!$Y$40</c15:f>
                <c15:dlblRangeCache>
                  <c:ptCount val="1"/>
                  <c:pt idx="0">
                    <c:v>2.50 (22)</c:v>
                  </c:pt>
                </c15:dlblRangeCache>
              </c15:datalabelsRange>
            </c:ext>
            <c:ext xmlns:c16="http://schemas.microsoft.com/office/drawing/2014/chart" uri="{C3380CC4-5D6E-409C-BE32-E72D297353CC}">
              <c16:uniqueId val="{00000007-8B5F-4078-9AD5-2FD404DDD4F9}"/>
            </c:ext>
          </c:extLst>
        </c:ser>
        <c:dLbls>
          <c:showLegendKey val="0"/>
          <c:showVal val="0"/>
          <c:showCatName val="0"/>
          <c:showSerName val="0"/>
          <c:showPercent val="0"/>
          <c:showBubbleSize val="0"/>
        </c:dLbls>
        <c:gapWidth val="182"/>
        <c:axId val="119754752"/>
        <c:axId val="119756288"/>
      </c:barChart>
      <c:catAx>
        <c:axId val="119754752"/>
        <c:scaling>
          <c:orientation val="minMax"/>
        </c:scaling>
        <c:delete val="1"/>
        <c:axPos val="l"/>
        <c:numFmt formatCode="General" sourceLinked="1"/>
        <c:majorTickMark val="none"/>
        <c:minorTickMark val="none"/>
        <c:tickLblPos val="nextTo"/>
        <c:crossAx val="119756288"/>
        <c:crosses val="autoZero"/>
        <c:auto val="0"/>
        <c:lblAlgn val="ctr"/>
        <c:lblOffset val="100"/>
        <c:noMultiLvlLbl val="0"/>
      </c:catAx>
      <c:valAx>
        <c:axId val="119756288"/>
        <c:scaling>
          <c:orientation val="minMax"/>
          <c:max val="4"/>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19754752"/>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A34643-C9F5-453F-838A-935910DEF0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9CABAC-3E1E-44D3-A91E-951BD6B8386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E13D72-4F9D-45F8-936B-847B700DD25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F51A20-8338-484B-AB1F-4DC3F7C19EF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F8AFA4-7907-49CD-BC7A-74E6AC8C5E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C33FED-C74D-4F6F-968B-3E35A0957B3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41C9A6-9AB6-4FF1-88E2-A19A91440EB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89C7CE-0617-4E35-931F-5F0A87B3DF1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8968B0-10E5-459C-892E-4A2E68C0DAC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FF5833-F56C-46BF-A984-0BD392F5EF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1522FA-FA01-4070-ADC4-0C8ADD95FD5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1A4BBCB-9996-491F-A39B-5FA800D4200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3DFA6E-A339-4B23-8189-DB8F954C599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B386CE-352E-46A0-BD3C-3A530EE52F5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DFBA1D-8A0E-4F3A-A3AB-32DD94A9797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1E34D2-C841-4C64-8760-AB0D2F81CB7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058CD80-A912-4706-8A38-87CDA3831FE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0779BA-3DCC-4EE3-BD42-8E726C927B1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9054-F413-4063-88C2-A8B6A5C7F43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E40077-CD87-4490-843F-BA6C7F5D712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C8110B-C9A3-4FC5-9A20-6CEF859EAD5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8723D2-B93B-456D-9309-3BED2BBB7F2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110DC83-9B4A-4394-A86A-4FBE8C503A0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366106-D18F-47F8-9E8D-16509C77D6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6DF9B6-937F-48C2-9FE0-25445344808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5378D4-42BB-4693-9026-38623DF8E63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927D06-7CA7-4466-BD4E-FFCFA36D394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4A42E-F4D1-4673-B793-F08E9F6D70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EADAB2-4198-4199-A79D-5A26E631AA1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57B31-E791-4C80-8EDC-08591C273F7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F894D1-F421-4414-84FD-AD0BB6084AE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A03995-B25F-4B2C-B62A-71218F2417A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D061FF8-805F-4A0E-97BA-75B50D6EDB9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D8D190-6DCC-4740-BF39-3672CA453B3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28B43F-D8BA-45D0-B4EB-E7D0FC5A29B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DC707E-E680-4127-B622-72D82D53923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A34643-C9F5-453F-838A-935910DEF0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B9E1941-FBEC-4A33-8E65-96EEE9090DA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B62DE1-5D82-4000-B79B-02E95956B41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9510919-262D-4B55-B175-CECC013E944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615E77-F66E-4715-BC83-CC6C5B67624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0BF68C-D9A8-49EA-BB44-AB311FB3105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3FF027-DD67-4C89-A66E-1773BBC7DFD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C3CA644-A036-47A7-BBAA-12B84C48EDA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3201CE7-35EB-45D4-8424-7B6256E5D09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FF5833-F56C-46BF-A984-0BD392F5EF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8AE8F14-5596-4517-8880-69404E6EBCF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E30AF2-520C-4304-86A1-B1A7AE8AA08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653AD1-FDBF-4785-8586-1B9133084B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37017A-BCA1-474C-83CD-8A3CEA491B6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2A9CF9C-33E6-423B-9ECB-01D2A41F675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D419EA-ADBE-44FA-A163-8CCA8DFD55A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740A5E-CAE4-43ED-9192-F31B2BE3B9E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3F94D6-CB97-4665-B1CB-3C9A35A49AC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9054-F413-4063-88C2-A8B6A5C7F43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451642-89B7-4A02-9C8C-5E20115D52F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7471C7-0596-4BE0-9277-80877C55ED3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F40147-B65C-459F-A3F7-C5C60FDC210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4F0F57-A912-4713-A0C1-732066E81FB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9583B1-4813-43AE-A076-9F7ACF107EC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2AF3E0-93B1-4718-9F78-0074266E075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F51BE9-469E-4084-ADD8-EACA02CF720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AFD119-9B09-4C8E-B564-630C1D833D9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4A42E-F4D1-4673-B793-F08E9F6D70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FD02788-A3F5-4959-A3E5-6A1408A8DC5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268F1F-631B-461A-8E7C-05F805D2516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DF47DC-7DFB-4B7C-9E49-C0354F1092D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CD6D43-B46E-49BF-8174-A895157943B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2524D45-4AE4-4D09-9883-255E4F249E9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4AF419-661E-4A53-AF5E-ED01E2E05E8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B90DE5-5BEF-4682-A006-F825310D60E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31360C-22FC-41C9-941C-FEB5931DC0B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A34643-C9F5-453F-838A-935910DEF0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FA66D29-801B-472E-9D0F-45325E3CAAB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E2DDD7-C687-40D7-870D-B89AE857040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D2B32CC-F6AF-4EF2-8F90-50506C79712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3E218A-83AC-4364-B010-EB791852AA3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A8C790-9C63-45ED-9982-F850A2A57A5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0CC12F9-7B7C-4B93-80A8-0A7BB63DCF7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1A18D7-C833-4929-8673-282784DDECF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CEA80D-45F7-4268-B58E-A62D5AEEA51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FF5833-F56C-46BF-A984-0BD392F5EF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B0A9AA-4059-4513-90C9-E8FF1E6D668F}"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545C3B-061D-4744-99E5-72959231964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3693AE-37F1-428E-98B0-A58DB83CE21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C3C637D-9397-4277-8D6D-95EA210EC8A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20776C-8287-4DB4-88DA-8274B2A0595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CFE15E0-22D5-4373-8266-B3504383589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D97F2C-A0A2-49F1-893B-C7881BD2903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CC156B-4631-476D-AB60-D66DE11629C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9054-F413-4063-88C2-A8B6A5C7F43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D12D51-9933-4E62-975C-E724E9CECD2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634FBA-0343-4C98-8D1A-DB0EAC1D171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A57139-92D9-4E4F-9205-92914CA15F9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895084-8547-40A0-AF02-9303D87F353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281BCF-74C3-42E4-8EC6-6C5EF207AA5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48951E-BDFA-4DE7-9C6B-EA314FE9ADD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DD8521-608E-4842-9D7D-DF1A95011C6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195516-1535-4624-97D8-E868A43861D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4A42E-F4D1-4673-B793-F08E9F6D70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B7CFE5-46F4-4A02-953C-FEF8D4ABFD6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C86F271-8AF7-49DB-BD43-C6C8EF507E1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EB1F2C-19E2-4E45-9DDE-87B5A024458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59E2EEB-08F8-47B5-A540-AC1F9AA7A3F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F0E14D-5DC9-4FF1-9C72-CA7219444DC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FE803B-F992-4765-AA9B-ECE0DF8FF9B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03C067D-A6E8-47EE-940E-547644A3620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FE2C4C9-926A-43A3-9D41-7F2BFE54BF9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manualLayout>
          <c:layoutTarget val="inner"/>
          <c:xMode val="edge"/>
          <c:yMode val="edge"/>
          <c:x val="0.49575818588818699"/>
          <c:y val="1.03734439834025E-2"/>
          <c:w val="0.47423401511992502"/>
          <c:h val="0.91034011827359795"/>
        </c:manualLayout>
      </c:layout>
      <c:barChart>
        <c:barDir val="bar"/>
        <c:grouping val="clustered"/>
        <c:varyColors val="0"/>
        <c:ser>
          <c:idx val="0"/>
          <c:order val="0"/>
          <c:tx>
            <c:strRef>
              <c:f>Effectiveness_Avg!$Z$30:$Z$31</c:f>
              <c:strCache>
                <c:ptCount val="1"/>
                <c:pt idx="0">
                  <c:v>Standardisation organisations</c:v>
                </c:pt>
              </c:strCache>
            </c:strRef>
          </c:tx>
          <c:spPr>
            <a:solidFill>
              <a:schemeClr val="accent2"/>
            </a:solidFill>
            <a:ln>
              <a:solidFill>
                <a:schemeClr val="accent2"/>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38CB-4433-9294-75D0A5CA6298}"/>
              </c:ext>
            </c:extLst>
          </c:dPt>
          <c:dPt>
            <c:idx val="1"/>
            <c:invertIfNegative val="0"/>
            <c:bubble3D val="0"/>
            <c:extLst xmlns:c16r2="http://schemas.microsoft.com/office/drawing/2015/06/chart">
              <c:ext xmlns:c16="http://schemas.microsoft.com/office/drawing/2014/chart" uri="{C3380CC4-5D6E-409C-BE32-E72D297353CC}">
                <c16:uniqueId val="{00000001-38CB-4433-9294-75D0A5CA6298}"/>
              </c:ext>
            </c:extLst>
          </c:dPt>
          <c:dPt>
            <c:idx val="2"/>
            <c:invertIfNegative val="0"/>
            <c:bubble3D val="0"/>
            <c:extLst xmlns:c16r2="http://schemas.microsoft.com/office/drawing/2015/06/chart">
              <c:ext xmlns:c16="http://schemas.microsoft.com/office/drawing/2014/chart" uri="{C3380CC4-5D6E-409C-BE32-E72D297353CC}">
                <c16:uniqueId val="{00000002-38CB-4433-9294-75D0A5CA6298}"/>
              </c:ext>
            </c:extLst>
          </c:dPt>
          <c:dPt>
            <c:idx val="3"/>
            <c:invertIfNegative val="0"/>
            <c:bubble3D val="0"/>
            <c:extLst xmlns:c16r2="http://schemas.microsoft.com/office/drawing/2015/06/chart">
              <c:ext xmlns:c16="http://schemas.microsoft.com/office/drawing/2014/chart" uri="{C3380CC4-5D6E-409C-BE32-E72D297353CC}">
                <c16:uniqueId val="{00000003-38CB-4433-9294-75D0A5CA6298}"/>
              </c:ext>
            </c:extLst>
          </c:dPt>
          <c:dPt>
            <c:idx val="4"/>
            <c:invertIfNegative val="0"/>
            <c:bubble3D val="0"/>
            <c:extLst xmlns:c16r2="http://schemas.microsoft.com/office/drawing/2015/06/chart">
              <c:ext xmlns:c16="http://schemas.microsoft.com/office/drawing/2014/chart" uri="{C3380CC4-5D6E-409C-BE32-E72D297353CC}">
                <c16:uniqueId val="{00000004-38CB-4433-9294-75D0A5CA6298}"/>
              </c:ext>
            </c:extLst>
          </c:dPt>
          <c:dPt>
            <c:idx val="5"/>
            <c:invertIfNegative val="0"/>
            <c:bubble3D val="0"/>
            <c:extLst xmlns:c16r2="http://schemas.microsoft.com/office/drawing/2015/06/chart">
              <c:ext xmlns:c16="http://schemas.microsoft.com/office/drawing/2014/chart" uri="{C3380CC4-5D6E-409C-BE32-E72D297353CC}">
                <c16:uniqueId val="{00000005-38CB-4433-9294-75D0A5CA6298}"/>
              </c:ext>
            </c:extLst>
          </c:dPt>
          <c:dPt>
            <c:idx val="6"/>
            <c:invertIfNegative val="0"/>
            <c:bubble3D val="0"/>
            <c:extLst xmlns:c16r2="http://schemas.microsoft.com/office/drawing/2015/06/chart">
              <c:ext xmlns:c16="http://schemas.microsoft.com/office/drawing/2014/chart" uri="{C3380CC4-5D6E-409C-BE32-E72D297353CC}">
                <c16:uniqueId val="{00000006-38CB-4433-9294-75D0A5CA6298}"/>
              </c:ext>
            </c:extLst>
          </c:dPt>
          <c:dPt>
            <c:idx val="7"/>
            <c:invertIfNegative val="0"/>
            <c:bubble3D val="0"/>
            <c:extLst xmlns:c16r2="http://schemas.microsoft.com/office/drawing/2015/06/chart">
              <c:ext xmlns:c16="http://schemas.microsoft.com/office/drawing/2014/chart" uri="{C3380CC4-5D6E-409C-BE32-E72D297353CC}">
                <c16:uniqueId val="{00000007-38CB-4433-9294-75D0A5CA6298}"/>
              </c:ext>
            </c:extLst>
          </c:dPt>
          <c:dPt>
            <c:idx val="8"/>
            <c:invertIfNegative val="0"/>
            <c:bubble3D val="0"/>
            <c:extLst xmlns:c16r2="http://schemas.microsoft.com/office/drawing/2015/06/chart">
              <c:ext xmlns:c16="http://schemas.microsoft.com/office/drawing/2014/chart" uri="{C3380CC4-5D6E-409C-BE32-E72D297353CC}">
                <c16:uniqueId val="{00000008-38CB-4433-9294-75D0A5CA6298}"/>
              </c:ext>
            </c:extLst>
          </c:dPt>
          <c:dLbls>
            <c:dLbl>
              <c:idx val="0"/>
              <c:tx>
                <c:rich>
                  <a:bodyPr/>
                  <a:lstStyle/>
                  <a:p>
                    <a:fld id="{9807A90C-5A80-437A-A61A-BC7BEE9EBFF3}"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38CB-4433-9294-75D0A5CA6298}"/>
                </c:ext>
              </c:extLst>
            </c:dLbl>
            <c:dLbl>
              <c:idx val="1"/>
              <c:tx>
                <c:rich>
                  <a:bodyPr/>
                  <a:lstStyle/>
                  <a:p>
                    <a:fld id="{45FCD88E-B5A8-4111-90C1-ACF61CC2E7C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8CB-4433-9294-75D0A5CA6298}"/>
                </c:ext>
              </c:extLst>
            </c:dLbl>
            <c:dLbl>
              <c:idx val="2"/>
              <c:tx>
                <c:rich>
                  <a:bodyPr/>
                  <a:lstStyle/>
                  <a:p>
                    <a:fld id="{984917EB-20DC-4C29-B0DC-1E776D084E1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38CB-4433-9294-75D0A5CA6298}"/>
                </c:ext>
              </c:extLst>
            </c:dLbl>
            <c:dLbl>
              <c:idx val="3"/>
              <c:tx>
                <c:rich>
                  <a:bodyPr/>
                  <a:lstStyle/>
                  <a:p>
                    <a:fld id="{A9F9FF12-ACDD-426A-AAF5-1FB6BAB937D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8CB-4433-9294-75D0A5CA6298}"/>
                </c:ext>
              </c:extLst>
            </c:dLbl>
            <c:dLbl>
              <c:idx val="4"/>
              <c:tx>
                <c:rich>
                  <a:bodyPr/>
                  <a:lstStyle/>
                  <a:p>
                    <a:fld id="{FD87EBDD-1B3E-45CC-85E7-6258F17F3AC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38CB-4433-9294-75D0A5CA6298}"/>
                </c:ext>
              </c:extLst>
            </c:dLbl>
            <c:dLbl>
              <c:idx val="5"/>
              <c:tx>
                <c:rich>
                  <a:bodyPr/>
                  <a:lstStyle/>
                  <a:p>
                    <a:fld id="{98FF92EB-7571-4516-9242-F49AC286730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38CB-4433-9294-75D0A5CA6298}"/>
                </c:ext>
              </c:extLst>
            </c:dLbl>
            <c:dLbl>
              <c:idx val="6"/>
              <c:tx>
                <c:rich>
                  <a:bodyPr/>
                  <a:lstStyle/>
                  <a:p>
                    <a:fld id="{51FF16F6-46A1-488D-B99C-94CBA74E293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38CB-4433-9294-75D0A5CA6298}"/>
                </c:ext>
              </c:extLst>
            </c:dLbl>
            <c:dLbl>
              <c:idx val="7"/>
              <c:tx>
                <c:rich>
                  <a:bodyPr/>
                  <a:lstStyle/>
                  <a:p>
                    <a:fld id="{2A45CACC-5881-412E-A740-B63DA070E58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38CB-4433-9294-75D0A5CA6298}"/>
                </c:ext>
              </c:extLst>
            </c:dLbl>
            <c:dLbl>
              <c:idx val="8"/>
              <c:tx>
                <c:rich>
                  <a:bodyPr/>
                  <a:lstStyle/>
                  <a:p>
                    <a:fld id="{B066C9B8-5C3B-4312-882E-12562097748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38CB-4433-9294-75D0A5CA629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Effectiveness_Avg!$Y$32:$Y$41</c:f>
              <c:strCache>
                <c:ptCount val="9"/>
                <c:pt idx="0">
                  <c:v>Take-up and re-use of the ISA² programme’s results by European public administrations</c:v>
                </c:pt>
                <c:pt idx="1">
                  <c:v>Reduction of the cost and administrative burden of cross-border interaction, removal of administrative e-barriers and contribution to the swift implementation of ICT systems supporting EU legislation</c:v>
                </c:pt>
                <c:pt idx="2">
                  <c:v>More effective, simplified and user-friendly e-administrations in European public administrations</c:v>
                </c:pt>
                <c:pt idx="3">
                  <c:v>Increased speed, efficiency and quality in the creation and delivery of cross-border and cross-sector electronic public services to meet the needs of businesses and citizens</c:v>
                </c:pt>
                <c:pt idx="4">
                  <c:v>Improved efficiency and productivity of the European public administrations, which can be a strong driver of economic growth through its support for, and governance of, the private sector</c:v>
                </c:pt>
                <c:pt idx="5">
                  <c:v>Efficient and effective electronic cross-border or cross-sectoral interactions between European Public Administrations as well as between European public administrations and businesses/citizens</c:v>
                </c:pt>
                <c:pt idx="6">
                  <c:v>Contribution to the successful achievement of the Digital Single Market</c:v>
                </c:pt>
                <c:pt idx="7">
                  <c:v>Advancement of Union policies and activities by supporting their implementation</c:v>
                </c:pt>
                <c:pt idx="8">
                  <c:v>A coherent interoperability landscape in the Union based on a holistic approach to interoperability</c:v>
                </c:pt>
              </c:strCache>
            </c:strRef>
          </c:cat>
          <c:val>
            <c:numRef>
              <c:f>Effectiveness_Avg!$Z$32:$Z$41</c:f>
              <c:numCache>
                <c:formatCode>General</c:formatCode>
                <c:ptCount val="9"/>
                <c:pt idx="0">
                  <c:v>3</c:v>
                </c:pt>
                <c:pt idx="1">
                  <c:v>3</c:v>
                </c:pt>
                <c:pt idx="2">
                  <c:v>3</c:v>
                </c:pt>
                <c:pt idx="3">
                  <c:v>3</c:v>
                </c:pt>
                <c:pt idx="4">
                  <c:v>3</c:v>
                </c:pt>
                <c:pt idx="5">
                  <c:v>3</c:v>
                </c:pt>
                <c:pt idx="6">
                  <c:v>3</c:v>
                </c:pt>
                <c:pt idx="7">
                  <c:v>3</c:v>
                </c:pt>
                <c:pt idx="8">
                  <c:v>3</c:v>
                </c:pt>
              </c:numCache>
            </c:numRef>
          </c:val>
          <c:extLst xmlns:c16r2="http://schemas.microsoft.com/office/drawing/2015/06/chart">
            <c:ext xmlns:c15="http://schemas.microsoft.com/office/drawing/2012/chart" uri="{02D57815-91ED-43cb-92C2-25804820EDAC}">
              <c15:datalabelsRange>
                <c15:f>Effectiveness_Avg!$Z$56:$Z$64</c15:f>
                <c15:dlblRangeCache>
                  <c:ptCount val="9"/>
                  <c:pt idx="0">
                    <c:v>3.00 (1)</c:v>
                  </c:pt>
                  <c:pt idx="1">
                    <c:v>3.00 (1)</c:v>
                  </c:pt>
                  <c:pt idx="2">
                    <c:v>3.00 (1)</c:v>
                  </c:pt>
                  <c:pt idx="3">
                    <c:v>3.00 (1)</c:v>
                  </c:pt>
                  <c:pt idx="4">
                    <c:v>3.00 (1)</c:v>
                  </c:pt>
                  <c:pt idx="5">
                    <c:v>3.00 (1)</c:v>
                  </c:pt>
                  <c:pt idx="6">
                    <c:v>3.00 (1)</c:v>
                  </c:pt>
                  <c:pt idx="7">
                    <c:v>3.00 (1)</c:v>
                  </c:pt>
                  <c:pt idx="8">
                    <c:v>3.00 (1)</c:v>
                  </c:pt>
                </c15:dlblRangeCache>
              </c15:datalabelsRange>
            </c:ext>
            <c:ext xmlns:c16="http://schemas.microsoft.com/office/drawing/2014/chart" uri="{C3380CC4-5D6E-409C-BE32-E72D297353CC}">
              <c16:uniqueId val="{00000009-38CB-4433-9294-75D0A5CA6298}"/>
            </c:ext>
          </c:extLst>
        </c:ser>
        <c:ser>
          <c:idx val="1"/>
          <c:order val="1"/>
          <c:tx>
            <c:strRef>
              <c:f>Effectiveness_Avg!$AA$30:$AA$31</c:f>
              <c:strCache>
                <c:ptCount val="1"/>
                <c:pt idx="0">
                  <c:v>Solution users</c:v>
                </c:pt>
              </c:strCache>
            </c:strRef>
          </c:tx>
          <c:spPr>
            <a:solidFill>
              <a:schemeClr val="accent4"/>
            </a:solidFill>
            <a:ln>
              <a:solidFill>
                <a:schemeClr val="accent4"/>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A-38CB-4433-9294-75D0A5CA6298}"/>
              </c:ext>
            </c:extLst>
          </c:dPt>
          <c:dPt>
            <c:idx val="1"/>
            <c:invertIfNegative val="0"/>
            <c:bubble3D val="0"/>
            <c:extLst xmlns:c16r2="http://schemas.microsoft.com/office/drawing/2015/06/chart">
              <c:ext xmlns:c16="http://schemas.microsoft.com/office/drawing/2014/chart" uri="{C3380CC4-5D6E-409C-BE32-E72D297353CC}">
                <c16:uniqueId val="{0000000B-38CB-4433-9294-75D0A5CA6298}"/>
              </c:ext>
            </c:extLst>
          </c:dPt>
          <c:dPt>
            <c:idx val="2"/>
            <c:invertIfNegative val="0"/>
            <c:bubble3D val="0"/>
            <c:extLst xmlns:c16r2="http://schemas.microsoft.com/office/drawing/2015/06/chart">
              <c:ext xmlns:c16="http://schemas.microsoft.com/office/drawing/2014/chart" uri="{C3380CC4-5D6E-409C-BE32-E72D297353CC}">
                <c16:uniqueId val="{0000000C-38CB-4433-9294-75D0A5CA6298}"/>
              </c:ext>
            </c:extLst>
          </c:dPt>
          <c:dPt>
            <c:idx val="3"/>
            <c:invertIfNegative val="0"/>
            <c:bubble3D val="0"/>
            <c:extLst xmlns:c16r2="http://schemas.microsoft.com/office/drawing/2015/06/chart">
              <c:ext xmlns:c16="http://schemas.microsoft.com/office/drawing/2014/chart" uri="{C3380CC4-5D6E-409C-BE32-E72D297353CC}">
                <c16:uniqueId val="{0000000D-38CB-4433-9294-75D0A5CA6298}"/>
              </c:ext>
            </c:extLst>
          </c:dPt>
          <c:dPt>
            <c:idx val="4"/>
            <c:invertIfNegative val="0"/>
            <c:bubble3D val="0"/>
            <c:extLst xmlns:c16r2="http://schemas.microsoft.com/office/drawing/2015/06/chart">
              <c:ext xmlns:c16="http://schemas.microsoft.com/office/drawing/2014/chart" uri="{C3380CC4-5D6E-409C-BE32-E72D297353CC}">
                <c16:uniqueId val="{0000000E-38CB-4433-9294-75D0A5CA6298}"/>
              </c:ext>
            </c:extLst>
          </c:dPt>
          <c:dPt>
            <c:idx val="5"/>
            <c:invertIfNegative val="0"/>
            <c:bubble3D val="0"/>
            <c:extLst xmlns:c16r2="http://schemas.microsoft.com/office/drawing/2015/06/chart">
              <c:ext xmlns:c16="http://schemas.microsoft.com/office/drawing/2014/chart" uri="{C3380CC4-5D6E-409C-BE32-E72D297353CC}">
                <c16:uniqueId val="{0000000F-38CB-4433-9294-75D0A5CA6298}"/>
              </c:ext>
            </c:extLst>
          </c:dPt>
          <c:dPt>
            <c:idx val="6"/>
            <c:invertIfNegative val="0"/>
            <c:bubble3D val="0"/>
            <c:extLst xmlns:c16r2="http://schemas.microsoft.com/office/drawing/2015/06/chart">
              <c:ext xmlns:c16="http://schemas.microsoft.com/office/drawing/2014/chart" uri="{C3380CC4-5D6E-409C-BE32-E72D297353CC}">
                <c16:uniqueId val="{00000010-38CB-4433-9294-75D0A5CA6298}"/>
              </c:ext>
            </c:extLst>
          </c:dPt>
          <c:dPt>
            <c:idx val="7"/>
            <c:invertIfNegative val="0"/>
            <c:bubble3D val="0"/>
            <c:extLst xmlns:c16r2="http://schemas.microsoft.com/office/drawing/2015/06/chart">
              <c:ext xmlns:c16="http://schemas.microsoft.com/office/drawing/2014/chart" uri="{C3380CC4-5D6E-409C-BE32-E72D297353CC}">
                <c16:uniqueId val="{00000011-38CB-4433-9294-75D0A5CA6298}"/>
              </c:ext>
            </c:extLst>
          </c:dPt>
          <c:dPt>
            <c:idx val="8"/>
            <c:invertIfNegative val="0"/>
            <c:bubble3D val="0"/>
            <c:extLst xmlns:c16r2="http://schemas.microsoft.com/office/drawing/2015/06/chart">
              <c:ext xmlns:c16="http://schemas.microsoft.com/office/drawing/2014/chart" uri="{C3380CC4-5D6E-409C-BE32-E72D297353CC}">
                <c16:uniqueId val="{00000012-38CB-4433-9294-75D0A5CA6298}"/>
              </c:ext>
            </c:extLst>
          </c:dPt>
          <c:dLbls>
            <c:dLbl>
              <c:idx val="0"/>
              <c:tx>
                <c:rich>
                  <a:bodyPr/>
                  <a:lstStyle/>
                  <a:p>
                    <a:fld id="{3080338F-C4DD-4BCF-B583-CEB096D8E7FF}"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38CB-4433-9294-75D0A5CA6298}"/>
                </c:ext>
              </c:extLst>
            </c:dLbl>
            <c:dLbl>
              <c:idx val="1"/>
              <c:tx>
                <c:rich>
                  <a:bodyPr/>
                  <a:lstStyle/>
                  <a:p>
                    <a:fld id="{E9399F9B-926B-4B2F-B0BD-A613FB201F3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38CB-4433-9294-75D0A5CA6298}"/>
                </c:ext>
              </c:extLst>
            </c:dLbl>
            <c:dLbl>
              <c:idx val="2"/>
              <c:tx>
                <c:rich>
                  <a:bodyPr/>
                  <a:lstStyle/>
                  <a:p>
                    <a:fld id="{CF6CCF2D-850E-4BA4-A06D-C5D9AB3C2C5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38CB-4433-9294-75D0A5CA6298}"/>
                </c:ext>
              </c:extLst>
            </c:dLbl>
            <c:dLbl>
              <c:idx val="3"/>
              <c:tx>
                <c:rich>
                  <a:bodyPr/>
                  <a:lstStyle/>
                  <a:p>
                    <a:fld id="{087136D4-D952-41A4-87B6-F13F006AA7B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38CB-4433-9294-75D0A5CA6298}"/>
                </c:ext>
              </c:extLst>
            </c:dLbl>
            <c:dLbl>
              <c:idx val="4"/>
              <c:tx>
                <c:rich>
                  <a:bodyPr/>
                  <a:lstStyle/>
                  <a:p>
                    <a:fld id="{04035916-FBDE-4A70-9262-566D778F57F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38CB-4433-9294-75D0A5CA6298}"/>
                </c:ext>
              </c:extLst>
            </c:dLbl>
            <c:dLbl>
              <c:idx val="5"/>
              <c:tx>
                <c:rich>
                  <a:bodyPr/>
                  <a:lstStyle/>
                  <a:p>
                    <a:fld id="{43525DEF-3427-4A57-B7E4-6D0414CCBE4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38CB-4433-9294-75D0A5CA6298}"/>
                </c:ext>
              </c:extLst>
            </c:dLbl>
            <c:dLbl>
              <c:idx val="6"/>
              <c:tx>
                <c:rich>
                  <a:bodyPr/>
                  <a:lstStyle/>
                  <a:p>
                    <a:fld id="{01ED4105-3062-4246-BE1B-46748AE64F9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38CB-4433-9294-75D0A5CA6298}"/>
                </c:ext>
              </c:extLst>
            </c:dLbl>
            <c:dLbl>
              <c:idx val="7"/>
              <c:tx>
                <c:rich>
                  <a:bodyPr/>
                  <a:lstStyle/>
                  <a:p>
                    <a:fld id="{E530A700-FCF0-457D-83A2-65D1B617482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38CB-4433-9294-75D0A5CA6298}"/>
                </c:ext>
              </c:extLst>
            </c:dLbl>
            <c:dLbl>
              <c:idx val="8"/>
              <c:tx>
                <c:rich>
                  <a:bodyPr/>
                  <a:lstStyle/>
                  <a:p>
                    <a:fld id="{96900019-96A6-44F1-AAD9-08A2BC695BA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38CB-4433-9294-75D0A5CA629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Effectiveness_Avg!$Y$32:$Y$41</c:f>
              <c:strCache>
                <c:ptCount val="9"/>
                <c:pt idx="0">
                  <c:v>Take-up and re-use of the ISA² programme’s results by European public administrations</c:v>
                </c:pt>
                <c:pt idx="1">
                  <c:v>Reduction of the cost and administrative burden of cross-border interaction, removal of administrative e-barriers and contribution to the swift implementation of ICT systems supporting EU legislation</c:v>
                </c:pt>
                <c:pt idx="2">
                  <c:v>More effective, simplified and user-friendly e-administrations in European public administrations</c:v>
                </c:pt>
                <c:pt idx="3">
                  <c:v>Increased speed, efficiency and quality in the creation and delivery of cross-border and cross-sector electronic public services to meet the needs of businesses and citizens</c:v>
                </c:pt>
                <c:pt idx="4">
                  <c:v>Improved efficiency and productivity of the European public administrations, which can be a strong driver of economic growth through its support for, and governance of, the private sector</c:v>
                </c:pt>
                <c:pt idx="5">
                  <c:v>Efficient and effective electronic cross-border or cross-sectoral interactions between European Public Administrations as well as between European public administrations and businesses/citizens</c:v>
                </c:pt>
                <c:pt idx="6">
                  <c:v>Contribution to the successful achievement of the Digital Single Market</c:v>
                </c:pt>
                <c:pt idx="7">
                  <c:v>Advancement of Union policies and activities by supporting their implementation</c:v>
                </c:pt>
                <c:pt idx="8">
                  <c:v>A coherent interoperability landscape in the Union based on a holistic approach to interoperability</c:v>
                </c:pt>
              </c:strCache>
            </c:strRef>
          </c:cat>
          <c:val>
            <c:numRef>
              <c:f>Effectiveness_Avg!$AA$32:$AA$41</c:f>
              <c:numCache>
                <c:formatCode>General</c:formatCode>
                <c:ptCount val="9"/>
                <c:pt idx="0">
                  <c:v>3.1176470588235294</c:v>
                </c:pt>
                <c:pt idx="1">
                  <c:v>3.3636363636363638</c:v>
                </c:pt>
                <c:pt idx="2">
                  <c:v>3.4054054054054053</c:v>
                </c:pt>
                <c:pt idx="3">
                  <c:v>3.3684210526315788</c:v>
                </c:pt>
                <c:pt idx="4">
                  <c:v>3.3243243243243241</c:v>
                </c:pt>
                <c:pt idx="5">
                  <c:v>3.358974358974359</c:v>
                </c:pt>
                <c:pt idx="6">
                  <c:v>3.40625</c:v>
                </c:pt>
                <c:pt idx="7">
                  <c:v>3.1176470588235294</c:v>
                </c:pt>
                <c:pt idx="8">
                  <c:v>3.5135135135135136</c:v>
                </c:pt>
              </c:numCache>
            </c:numRef>
          </c:val>
          <c:extLst xmlns:c16r2="http://schemas.microsoft.com/office/drawing/2015/06/chart">
            <c:ext xmlns:c15="http://schemas.microsoft.com/office/drawing/2012/chart" uri="{02D57815-91ED-43cb-92C2-25804820EDAC}">
              <c15:datalabelsRange>
                <c15:f>Effectiveness_Avg!$AA$56:$AA$64</c15:f>
                <c15:dlblRangeCache>
                  <c:ptCount val="9"/>
                  <c:pt idx="0">
                    <c:v>3.12 (34)</c:v>
                  </c:pt>
                  <c:pt idx="1">
                    <c:v>3.36 (33)</c:v>
                  </c:pt>
                  <c:pt idx="2">
                    <c:v>3.41 (37)</c:v>
                  </c:pt>
                  <c:pt idx="3">
                    <c:v>3.37 (38)</c:v>
                  </c:pt>
                  <c:pt idx="4">
                    <c:v>3.32 (37)</c:v>
                  </c:pt>
                  <c:pt idx="5">
                    <c:v>3.36 (39)</c:v>
                  </c:pt>
                  <c:pt idx="6">
                    <c:v>3.41 (32)</c:v>
                  </c:pt>
                  <c:pt idx="7">
                    <c:v>3.12 (34)</c:v>
                  </c:pt>
                  <c:pt idx="8">
                    <c:v>3.51 (37)</c:v>
                  </c:pt>
                </c15:dlblRangeCache>
              </c15:datalabelsRange>
            </c:ext>
            <c:ext xmlns:c16="http://schemas.microsoft.com/office/drawing/2014/chart" uri="{C3380CC4-5D6E-409C-BE32-E72D297353CC}">
              <c16:uniqueId val="{00000013-38CB-4433-9294-75D0A5CA6298}"/>
            </c:ext>
          </c:extLst>
        </c:ser>
        <c:ser>
          <c:idx val="2"/>
          <c:order val="2"/>
          <c:tx>
            <c:strRef>
              <c:f>Effectiveness_Avg!$AB$30:$AB$31</c:f>
              <c:strCache>
                <c:ptCount val="1"/>
                <c:pt idx="0">
                  <c:v>Programme governance</c:v>
                </c:pt>
              </c:strCache>
            </c:strRef>
          </c:tx>
          <c:spPr>
            <a:solidFill>
              <a:schemeClr val="accent5"/>
            </a:solidFill>
            <a:ln>
              <a:solidFill>
                <a:schemeClr val="accent5"/>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4-38CB-4433-9294-75D0A5CA6298}"/>
              </c:ext>
            </c:extLst>
          </c:dPt>
          <c:dPt>
            <c:idx val="1"/>
            <c:invertIfNegative val="0"/>
            <c:bubble3D val="0"/>
            <c:extLst xmlns:c16r2="http://schemas.microsoft.com/office/drawing/2015/06/chart">
              <c:ext xmlns:c16="http://schemas.microsoft.com/office/drawing/2014/chart" uri="{C3380CC4-5D6E-409C-BE32-E72D297353CC}">
                <c16:uniqueId val="{00000015-38CB-4433-9294-75D0A5CA6298}"/>
              </c:ext>
            </c:extLst>
          </c:dPt>
          <c:dPt>
            <c:idx val="2"/>
            <c:invertIfNegative val="0"/>
            <c:bubble3D val="0"/>
            <c:extLst xmlns:c16r2="http://schemas.microsoft.com/office/drawing/2015/06/chart">
              <c:ext xmlns:c16="http://schemas.microsoft.com/office/drawing/2014/chart" uri="{C3380CC4-5D6E-409C-BE32-E72D297353CC}">
                <c16:uniqueId val="{00000016-38CB-4433-9294-75D0A5CA6298}"/>
              </c:ext>
            </c:extLst>
          </c:dPt>
          <c:dPt>
            <c:idx val="3"/>
            <c:invertIfNegative val="0"/>
            <c:bubble3D val="0"/>
            <c:extLst xmlns:c16r2="http://schemas.microsoft.com/office/drawing/2015/06/chart">
              <c:ext xmlns:c16="http://schemas.microsoft.com/office/drawing/2014/chart" uri="{C3380CC4-5D6E-409C-BE32-E72D297353CC}">
                <c16:uniqueId val="{00000017-38CB-4433-9294-75D0A5CA6298}"/>
              </c:ext>
            </c:extLst>
          </c:dPt>
          <c:dPt>
            <c:idx val="4"/>
            <c:invertIfNegative val="0"/>
            <c:bubble3D val="0"/>
            <c:extLst xmlns:c16r2="http://schemas.microsoft.com/office/drawing/2015/06/chart">
              <c:ext xmlns:c16="http://schemas.microsoft.com/office/drawing/2014/chart" uri="{C3380CC4-5D6E-409C-BE32-E72D297353CC}">
                <c16:uniqueId val="{00000018-38CB-4433-9294-75D0A5CA6298}"/>
              </c:ext>
            </c:extLst>
          </c:dPt>
          <c:dPt>
            <c:idx val="5"/>
            <c:invertIfNegative val="0"/>
            <c:bubble3D val="0"/>
            <c:extLst xmlns:c16r2="http://schemas.microsoft.com/office/drawing/2015/06/chart">
              <c:ext xmlns:c16="http://schemas.microsoft.com/office/drawing/2014/chart" uri="{C3380CC4-5D6E-409C-BE32-E72D297353CC}">
                <c16:uniqueId val="{00000019-38CB-4433-9294-75D0A5CA6298}"/>
              </c:ext>
            </c:extLst>
          </c:dPt>
          <c:dPt>
            <c:idx val="6"/>
            <c:invertIfNegative val="0"/>
            <c:bubble3D val="0"/>
            <c:extLst xmlns:c16r2="http://schemas.microsoft.com/office/drawing/2015/06/chart">
              <c:ext xmlns:c16="http://schemas.microsoft.com/office/drawing/2014/chart" uri="{C3380CC4-5D6E-409C-BE32-E72D297353CC}">
                <c16:uniqueId val="{0000001A-38CB-4433-9294-75D0A5CA6298}"/>
              </c:ext>
            </c:extLst>
          </c:dPt>
          <c:dPt>
            <c:idx val="7"/>
            <c:invertIfNegative val="0"/>
            <c:bubble3D val="0"/>
            <c:extLst xmlns:c16r2="http://schemas.microsoft.com/office/drawing/2015/06/chart">
              <c:ext xmlns:c16="http://schemas.microsoft.com/office/drawing/2014/chart" uri="{C3380CC4-5D6E-409C-BE32-E72D297353CC}">
                <c16:uniqueId val="{0000001B-38CB-4433-9294-75D0A5CA6298}"/>
              </c:ext>
            </c:extLst>
          </c:dPt>
          <c:dPt>
            <c:idx val="8"/>
            <c:invertIfNegative val="0"/>
            <c:bubble3D val="0"/>
            <c:extLst xmlns:c16r2="http://schemas.microsoft.com/office/drawing/2015/06/chart">
              <c:ext xmlns:c16="http://schemas.microsoft.com/office/drawing/2014/chart" uri="{C3380CC4-5D6E-409C-BE32-E72D297353CC}">
                <c16:uniqueId val="{0000001C-38CB-4433-9294-75D0A5CA6298}"/>
              </c:ext>
            </c:extLst>
          </c:dPt>
          <c:dLbls>
            <c:dLbl>
              <c:idx val="0"/>
              <c:tx>
                <c:rich>
                  <a:bodyPr/>
                  <a:lstStyle/>
                  <a:p>
                    <a:fld id="{B56DEBB7-FC51-4B42-8298-9A02B3425CF2}"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4-38CB-4433-9294-75D0A5CA6298}"/>
                </c:ext>
              </c:extLst>
            </c:dLbl>
            <c:dLbl>
              <c:idx val="1"/>
              <c:tx>
                <c:rich>
                  <a:bodyPr/>
                  <a:lstStyle/>
                  <a:p>
                    <a:fld id="{0135D62E-78E7-4EAF-B5A1-93AB06A61B5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38CB-4433-9294-75D0A5CA6298}"/>
                </c:ext>
              </c:extLst>
            </c:dLbl>
            <c:dLbl>
              <c:idx val="2"/>
              <c:tx>
                <c:rich>
                  <a:bodyPr/>
                  <a:lstStyle/>
                  <a:p>
                    <a:fld id="{E36E5BF6-E6A2-457A-ADC0-CA49D9286B0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38CB-4433-9294-75D0A5CA6298}"/>
                </c:ext>
              </c:extLst>
            </c:dLbl>
            <c:dLbl>
              <c:idx val="3"/>
              <c:tx>
                <c:rich>
                  <a:bodyPr/>
                  <a:lstStyle/>
                  <a:p>
                    <a:fld id="{D42B75F6-9CE8-40CB-9818-7D8C19D5A6C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38CB-4433-9294-75D0A5CA6298}"/>
                </c:ext>
              </c:extLst>
            </c:dLbl>
            <c:dLbl>
              <c:idx val="4"/>
              <c:tx>
                <c:rich>
                  <a:bodyPr/>
                  <a:lstStyle/>
                  <a:p>
                    <a:fld id="{F8BF8E76-44CB-4AE9-94D8-751BB3FCFD3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38CB-4433-9294-75D0A5CA6298}"/>
                </c:ext>
              </c:extLst>
            </c:dLbl>
            <c:dLbl>
              <c:idx val="5"/>
              <c:tx>
                <c:rich>
                  <a:bodyPr/>
                  <a:lstStyle/>
                  <a:p>
                    <a:fld id="{4F9DEA17-D612-425D-BB43-CBC5DEC4F61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38CB-4433-9294-75D0A5CA6298}"/>
                </c:ext>
              </c:extLst>
            </c:dLbl>
            <c:dLbl>
              <c:idx val="6"/>
              <c:tx>
                <c:rich>
                  <a:bodyPr/>
                  <a:lstStyle/>
                  <a:p>
                    <a:fld id="{B6DE7CF0-B17B-4BB5-899F-8F3ABFA3620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38CB-4433-9294-75D0A5CA6298}"/>
                </c:ext>
              </c:extLst>
            </c:dLbl>
            <c:dLbl>
              <c:idx val="7"/>
              <c:tx>
                <c:rich>
                  <a:bodyPr/>
                  <a:lstStyle/>
                  <a:p>
                    <a:fld id="{AD3A971B-7C1E-4F57-827A-BDD6449F39C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38CB-4433-9294-75D0A5CA6298}"/>
                </c:ext>
              </c:extLst>
            </c:dLbl>
            <c:dLbl>
              <c:idx val="8"/>
              <c:tx>
                <c:rich>
                  <a:bodyPr/>
                  <a:lstStyle/>
                  <a:p>
                    <a:fld id="{4AEEE254-6905-4E27-AF18-0BAD6B2FA82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38CB-4433-9294-75D0A5CA629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Effectiveness_Avg!$Y$32:$Y$41</c:f>
              <c:strCache>
                <c:ptCount val="9"/>
                <c:pt idx="0">
                  <c:v>Take-up and re-use of the ISA² programme’s results by European public administrations</c:v>
                </c:pt>
                <c:pt idx="1">
                  <c:v>Reduction of the cost and administrative burden of cross-border interaction, removal of administrative e-barriers and contribution to the swift implementation of ICT systems supporting EU legislation</c:v>
                </c:pt>
                <c:pt idx="2">
                  <c:v>More effective, simplified and user-friendly e-administrations in European public administrations</c:v>
                </c:pt>
                <c:pt idx="3">
                  <c:v>Increased speed, efficiency and quality in the creation and delivery of cross-border and cross-sector electronic public services to meet the needs of businesses and citizens</c:v>
                </c:pt>
                <c:pt idx="4">
                  <c:v>Improved efficiency and productivity of the European public administrations, which can be a strong driver of economic growth through its support for, and governance of, the private sector</c:v>
                </c:pt>
                <c:pt idx="5">
                  <c:v>Efficient and effective electronic cross-border or cross-sectoral interactions between European Public Administrations as well as between European public administrations and businesses/citizens</c:v>
                </c:pt>
                <c:pt idx="6">
                  <c:v>Contribution to the successful achievement of the Digital Single Market</c:v>
                </c:pt>
                <c:pt idx="7">
                  <c:v>Advancement of Union policies and activities by supporting their implementation</c:v>
                </c:pt>
                <c:pt idx="8">
                  <c:v>A coherent interoperability landscape in the Union based on a holistic approach to interoperability</c:v>
                </c:pt>
              </c:strCache>
            </c:strRef>
          </c:cat>
          <c:val>
            <c:numRef>
              <c:f>Effectiveness_Avg!$AB$32:$AB$41</c:f>
              <c:numCache>
                <c:formatCode>General</c:formatCode>
                <c:ptCount val="9"/>
                <c:pt idx="0">
                  <c:v>3.263157894736842</c:v>
                </c:pt>
                <c:pt idx="1">
                  <c:v>3</c:v>
                </c:pt>
                <c:pt idx="2">
                  <c:v>2.7647058823529411</c:v>
                </c:pt>
                <c:pt idx="3">
                  <c:v>3.1764705882352939</c:v>
                </c:pt>
                <c:pt idx="4">
                  <c:v>2.9444444444444446</c:v>
                </c:pt>
                <c:pt idx="5">
                  <c:v>3.3157894736842106</c:v>
                </c:pt>
                <c:pt idx="6">
                  <c:v>3.1578947368421053</c:v>
                </c:pt>
                <c:pt idx="7">
                  <c:v>3.5555555555555554</c:v>
                </c:pt>
                <c:pt idx="8">
                  <c:v>3.4736842105263159</c:v>
                </c:pt>
              </c:numCache>
            </c:numRef>
          </c:val>
          <c:extLst xmlns:c16r2="http://schemas.microsoft.com/office/drawing/2015/06/chart">
            <c:ext xmlns:c15="http://schemas.microsoft.com/office/drawing/2012/chart" uri="{02D57815-91ED-43cb-92C2-25804820EDAC}">
              <c15:datalabelsRange>
                <c15:f>Effectiveness_Avg!$AB$56:$AB$64</c15:f>
                <c15:dlblRangeCache>
                  <c:ptCount val="9"/>
                  <c:pt idx="0">
                    <c:v>3.26 (19)</c:v>
                  </c:pt>
                  <c:pt idx="1">
                    <c:v>3.00 (18)</c:v>
                  </c:pt>
                  <c:pt idx="2">
                    <c:v>2.76 (17)</c:v>
                  </c:pt>
                  <c:pt idx="3">
                    <c:v>3.18 (17)</c:v>
                  </c:pt>
                  <c:pt idx="4">
                    <c:v>2.94 (18)</c:v>
                  </c:pt>
                  <c:pt idx="5">
                    <c:v>3.32 (19)</c:v>
                  </c:pt>
                  <c:pt idx="6">
                    <c:v>3.16 (19)</c:v>
                  </c:pt>
                  <c:pt idx="7">
                    <c:v>3.56 (18)</c:v>
                  </c:pt>
                  <c:pt idx="8">
                    <c:v>3.47 (19)</c:v>
                  </c:pt>
                </c15:dlblRangeCache>
              </c15:datalabelsRange>
            </c:ext>
            <c:ext xmlns:c16="http://schemas.microsoft.com/office/drawing/2014/chart" uri="{C3380CC4-5D6E-409C-BE32-E72D297353CC}">
              <c16:uniqueId val="{0000001D-38CB-4433-9294-75D0A5CA6298}"/>
            </c:ext>
          </c:extLst>
        </c:ser>
        <c:ser>
          <c:idx val="3"/>
          <c:order val="3"/>
          <c:tx>
            <c:strRef>
              <c:f>Effectiveness_Avg!$AC$30:$AC$31</c:f>
              <c:strCache>
                <c:ptCount val="1"/>
                <c:pt idx="0">
                  <c:v>Action owners</c:v>
                </c:pt>
              </c:strCache>
            </c:strRef>
          </c:tx>
          <c:spPr>
            <a:solidFill>
              <a:schemeClr val="accent6"/>
            </a:solidFill>
            <a:ln>
              <a:solidFill>
                <a:schemeClr val="accent6"/>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E-38CB-4433-9294-75D0A5CA6298}"/>
              </c:ext>
            </c:extLst>
          </c:dPt>
          <c:dPt>
            <c:idx val="1"/>
            <c:invertIfNegative val="0"/>
            <c:bubble3D val="0"/>
            <c:extLst xmlns:c16r2="http://schemas.microsoft.com/office/drawing/2015/06/chart">
              <c:ext xmlns:c16="http://schemas.microsoft.com/office/drawing/2014/chart" uri="{C3380CC4-5D6E-409C-BE32-E72D297353CC}">
                <c16:uniqueId val="{0000001F-38CB-4433-9294-75D0A5CA6298}"/>
              </c:ext>
            </c:extLst>
          </c:dPt>
          <c:dPt>
            <c:idx val="2"/>
            <c:invertIfNegative val="0"/>
            <c:bubble3D val="0"/>
            <c:extLst xmlns:c16r2="http://schemas.microsoft.com/office/drawing/2015/06/chart">
              <c:ext xmlns:c16="http://schemas.microsoft.com/office/drawing/2014/chart" uri="{C3380CC4-5D6E-409C-BE32-E72D297353CC}">
                <c16:uniqueId val="{00000020-38CB-4433-9294-75D0A5CA6298}"/>
              </c:ext>
            </c:extLst>
          </c:dPt>
          <c:dPt>
            <c:idx val="3"/>
            <c:invertIfNegative val="0"/>
            <c:bubble3D val="0"/>
            <c:extLst xmlns:c16r2="http://schemas.microsoft.com/office/drawing/2015/06/chart">
              <c:ext xmlns:c16="http://schemas.microsoft.com/office/drawing/2014/chart" uri="{C3380CC4-5D6E-409C-BE32-E72D297353CC}">
                <c16:uniqueId val="{00000021-38CB-4433-9294-75D0A5CA6298}"/>
              </c:ext>
            </c:extLst>
          </c:dPt>
          <c:dPt>
            <c:idx val="4"/>
            <c:invertIfNegative val="0"/>
            <c:bubble3D val="0"/>
            <c:extLst xmlns:c16r2="http://schemas.microsoft.com/office/drawing/2015/06/chart">
              <c:ext xmlns:c16="http://schemas.microsoft.com/office/drawing/2014/chart" uri="{C3380CC4-5D6E-409C-BE32-E72D297353CC}">
                <c16:uniqueId val="{00000022-38CB-4433-9294-75D0A5CA6298}"/>
              </c:ext>
            </c:extLst>
          </c:dPt>
          <c:dPt>
            <c:idx val="5"/>
            <c:invertIfNegative val="0"/>
            <c:bubble3D val="0"/>
            <c:extLst xmlns:c16r2="http://schemas.microsoft.com/office/drawing/2015/06/chart">
              <c:ext xmlns:c16="http://schemas.microsoft.com/office/drawing/2014/chart" uri="{C3380CC4-5D6E-409C-BE32-E72D297353CC}">
                <c16:uniqueId val="{00000023-38CB-4433-9294-75D0A5CA6298}"/>
              </c:ext>
            </c:extLst>
          </c:dPt>
          <c:dPt>
            <c:idx val="6"/>
            <c:invertIfNegative val="0"/>
            <c:bubble3D val="0"/>
            <c:extLst xmlns:c16r2="http://schemas.microsoft.com/office/drawing/2015/06/chart">
              <c:ext xmlns:c16="http://schemas.microsoft.com/office/drawing/2014/chart" uri="{C3380CC4-5D6E-409C-BE32-E72D297353CC}">
                <c16:uniqueId val="{00000024-38CB-4433-9294-75D0A5CA6298}"/>
              </c:ext>
            </c:extLst>
          </c:dPt>
          <c:dPt>
            <c:idx val="7"/>
            <c:invertIfNegative val="0"/>
            <c:bubble3D val="0"/>
            <c:extLst xmlns:c16r2="http://schemas.microsoft.com/office/drawing/2015/06/chart">
              <c:ext xmlns:c16="http://schemas.microsoft.com/office/drawing/2014/chart" uri="{C3380CC4-5D6E-409C-BE32-E72D297353CC}">
                <c16:uniqueId val="{00000025-38CB-4433-9294-75D0A5CA6298}"/>
              </c:ext>
            </c:extLst>
          </c:dPt>
          <c:dPt>
            <c:idx val="8"/>
            <c:invertIfNegative val="0"/>
            <c:bubble3D val="0"/>
            <c:extLst xmlns:c16r2="http://schemas.microsoft.com/office/drawing/2015/06/chart">
              <c:ext xmlns:c16="http://schemas.microsoft.com/office/drawing/2014/chart" uri="{C3380CC4-5D6E-409C-BE32-E72D297353CC}">
                <c16:uniqueId val="{00000026-38CB-4433-9294-75D0A5CA6298}"/>
              </c:ext>
            </c:extLst>
          </c:dPt>
          <c:dLbls>
            <c:dLbl>
              <c:idx val="0"/>
              <c:tx>
                <c:rich>
                  <a:bodyPr/>
                  <a:lstStyle/>
                  <a:p>
                    <a:fld id="{A4106EB9-75EB-4909-9558-A4E89E480C28}"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E-38CB-4433-9294-75D0A5CA6298}"/>
                </c:ext>
              </c:extLst>
            </c:dLbl>
            <c:dLbl>
              <c:idx val="1"/>
              <c:tx>
                <c:rich>
                  <a:bodyPr/>
                  <a:lstStyle/>
                  <a:p>
                    <a:fld id="{6811B50B-CB5F-4B43-A606-1F699E79DF84}"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38CB-4433-9294-75D0A5CA6298}"/>
                </c:ext>
              </c:extLst>
            </c:dLbl>
            <c:dLbl>
              <c:idx val="2"/>
              <c:tx>
                <c:rich>
                  <a:bodyPr/>
                  <a:lstStyle/>
                  <a:p>
                    <a:fld id="{4F535702-8A30-4517-912D-4DA2CB865B1E}"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38CB-4433-9294-75D0A5CA6298}"/>
                </c:ext>
              </c:extLst>
            </c:dLbl>
            <c:dLbl>
              <c:idx val="3"/>
              <c:tx>
                <c:rich>
                  <a:bodyPr/>
                  <a:lstStyle/>
                  <a:p>
                    <a:fld id="{9AAD4368-939A-4B42-B47A-615532DE35F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38CB-4433-9294-75D0A5CA6298}"/>
                </c:ext>
              </c:extLst>
            </c:dLbl>
            <c:dLbl>
              <c:idx val="4"/>
              <c:tx>
                <c:rich>
                  <a:bodyPr/>
                  <a:lstStyle/>
                  <a:p>
                    <a:fld id="{6DE08DD7-5B30-4B22-8DAD-7900F1FA10A7}"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38CB-4433-9294-75D0A5CA6298}"/>
                </c:ext>
              </c:extLst>
            </c:dLbl>
            <c:dLbl>
              <c:idx val="5"/>
              <c:tx>
                <c:rich>
                  <a:bodyPr/>
                  <a:lstStyle/>
                  <a:p>
                    <a:fld id="{89F1A85F-C60D-4690-A86A-ACA086A4601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3-38CB-4433-9294-75D0A5CA6298}"/>
                </c:ext>
              </c:extLst>
            </c:dLbl>
            <c:dLbl>
              <c:idx val="6"/>
              <c:tx>
                <c:rich>
                  <a:bodyPr/>
                  <a:lstStyle/>
                  <a:p>
                    <a:fld id="{8F8349BE-E7C7-4DB1-9CF1-B13E7B36F489}"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4-38CB-4433-9294-75D0A5CA6298}"/>
                </c:ext>
              </c:extLst>
            </c:dLbl>
            <c:dLbl>
              <c:idx val="7"/>
              <c:tx>
                <c:rich>
                  <a:bodyPr/>
                  <a:lstStyle/>
                  <a:p>
                    <a:fld id="{C214E19B-AEEA-44CC-832C-24E76906A2A2}"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5-38CB-4433-9294-75D0A5CA6298}"/>
                </c:ext>
              </c:extLst>
            </c:dLbl>
            <c:dLbl>
              <c:idx val="8"/>
              <c:tx>
                <c:rich>
                  <a:bodyPr/>
                  <a:lstStyle/>
                  <a:p>
                    <a:fld id="{6D8165CD-5CCF-460F-AEB4-B52F052ADB4B}"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6-38CB-4433-9294-75D0A5CA629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Effectiveness_Avg!$Y$32:$Y$41</c:f>
              <c:strCache>
                <c:ptCount val="9"/>
                <c:pt idx="0">
                  <c:v>Take-up and re-use of the ISA² programme’s results by European public administrations</c:v>
                </c:pt>
                <c:pt idx="1">
                  <c:v>Reduction of the cost and administrative burden of cross-border interaction, removal of administrative e-barriers and contribution to the swift implementation of ICT systems supporting EU legislation</c:v>
                </c:pt>
                <c:pt idx="2">
                  <c:v>More effective, simplified and user-friendly e-administrations in European public administrations</c:v>
                </c:pt>
                <c:pt idx="3">
                  <c:v>Increased speed, efficiency and quality in the creation and delivery of cross-border and cross-sector electronic public services to meet the needs of businesses and citizens</c:v>
                </c:pt>
                <c:pt idx="4">
                  <c:v>Improved efficiency and productivity of the European public administrations, which can be a strong driver of economic growth through its support for, and governance of, the private sector</c:v>
                </c:pt>
                <c:pt idx="5">
                  <c:v>Efficient and effective electronic cross-border or cross-sectoral interactions between European Public Administrations as well as between European public administrations and businesses/citizens</c:v>
                </c:pt>
                <c:pt idx="6">
                  <c:v>Contribution to the successful achievement of the Digital Single Market</c:v>
                </c:pt>
                <c:pt idx="7">
                  <c:v>Advancement of Union policies and activities by supporting their implementation</c:v>
                </c:pt>
                <c:pt idx="8">
                  <c:v>A coherent interoperability landscape in the Union based on a holistic approach to interoperability</c:v>
                </c:pt>
              </c:strCache>
            </c:strRef>
          </c:cat>
          <c:val>
            <c:numRef>
              <c:f>Effectiveness_Avg!$AC$32:$AC$41</c:f>
              <c:numCache>
                <c:formatCode>General</c:formatCode>
                <c:ptCount val="9"/>
                <c:pt idx="0">
                  <c:v>3.4</c:v>
                </c:pt>
                <c:pt idx="1">
                  <c:v>3</c:v>
                </c:pt>
                <c:pt idx="2">
                  <c:v>3.1176470588235294</c:v>
                </c:pt>
                <c:pt idx="3">
                  <c:v>3.1666666666666665</c:v>
                </c:pt>
                <c:pt idx="4">
                  <c:v>2.95</c:v>
                </c:pt>
                <c:pt idx="5">
                  <c:v>3.3333333333333335</c:v>
                </c:pt>
                <c:pt idx="6">
                  <c:v>3.0952380952380953</c:v>
                </c:pt>
                <c:pt idx="7">
                  <c:v>3.2105263157894739</c:v>
                </c:pt>
                <c:pt idx="8">
                  <c:v>3.45</c:v>
                </c:pt>
              </c:numCache>
            </c:numRef>
          </c:val>
          <c:extLst xmlns:c16r2="http://schemas.microsoft.com/office/drawing/2015/06/chart">
            <c:ext xmlns:c15="http://schemas.microsoft.com/office/drawing/2012/chart" uri="{02D57815-91ED-43cb-92C2-25804820EDAC}">
              <c15:datalabelsRange>
                <c15:f>Effectiveness_Avg!$AC$56:$AC$64</c15:f>
                <c15:dlblRangeCache>
                  <c:ptCount val="9"/>
                  <c:pt idx="0">
                    <c:v>3.40 (20)</c:v>
                  </c:pt>
                  <c:pt idx="1">
                    <c:v>3.00 (20)</c:v>
                  </c:pt>
                  <c:pt idx="2">
                    <c:v>3.12 (17)</c:v>
                  </c:pt>
                  <c:pt idx="3">
                    <c:v>3.17 (18)</c:v>
                  </c:pt>
                  <c:pt idx="4">
                    <c:v>2.95 (20)</c:v>
                  </c:pt>
                  <c:pt idx="5">
                    <c:v>3.33 (21)</c:v>
                  </c:pt>
                  <c:pt idx="6">
                    <c:v>3.10 (21)</c:v>
                  </c:pt>
                  <c:pt idx="7">
                    <c:v>3.21 (19)</c:v>
                  </c:pt>
                  <c:pt idx="8">
                    <c:v>3.45 (20)</c:v>
                  </c:pt>
                </c15:dlblRangeCache>
              </c15:datalabelsRange>
            </c:ext>
            <c:ext xmlns:c16="http://schemas.microsoft.com/office/drawing/2014/chart" uri="{C3380CC4-5D6E-409C-BE32-E72D297353CC}">
              <c16:uniqueId val="{00000027-38CB-4433-9294-75D0A5CA6298}"/>
            </c:ext>
          </c:extLst>
        </c:ser>
        <c:dLbls>
          <c:dLblPos val="outEnd"/>
          <c:showLegendKey val="0"/>
          <c:showVal val="1"/>
          <c:showCatName val="0"/>
          <c:showSerName val="0"/>
          <c:showPercent val="0"/>
          <c:showBubbleSize val="0"/>
        </c:dLbls>
        <c:gapWidth val="182"/>
        <c:axId val="105989248"/>
        <c:axId val="105990784"/>
      </c:barChart>
      <c:catAx>
        <c:axId val="10598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5990784"/>
        <c:crosses val="autoZero"/>
        <c:auto val="1"/>
        <c:lblAlgn val="ctr"/>
        <c:lblOffset val="100"/>
        <c:noMultiLvlLbl val="0"/>
      </c:catAx>
      <c:valAx>
        <c:axId val="105990784"/>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59892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dynamique5</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265898-5C89-4343-B135-36203717BE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C0E394-42BE-4A48-9F16-E7E5B1B9204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5501DE-CDD1-45AA-A93A-BA4B8DCA4FD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D8CBE2-0AFC-41C0-A8D6-055987D5A0F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C9D0C4-2A96-4248-8E5F-013B9179F4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B43DE4-4039-48FA-9648-B85BEB205F5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5DAC01-C490-43D5-884F-78451B68CC2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4E498F-20A0-46C2-B097-2CA20D01475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2BB282-9854-4DCA-8C4E-FDF987D112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8F4F55-FE5A-442E-8290-B7854408129E}"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A8B9714-45EC-4FA9-B855-6281F9E686B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DF8F5-48AE-49F9-84A1-B36286D9965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265898-5C89-4343-B135-36203717BE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C9D0C4-2A96-4248-8E5F-013B9179F4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2BB282-9854-4DCA-8C4E-FDF987D112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036C72-11B1-4C7B-A1A8-19E4CCA9BA7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8CFD8F-1149-462F-8535-D12F387C012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08D82A-5BDC-43F4-AEFD-3573E4E5178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141D8E-BB0B-4D66-8781-F408546A553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061FC21-83C5-4B9A-9537-8CC04C0DFF8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1D01B8-ABD7-4151-9ADF-5D54C49D52B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AB7C1E-4316-47F6-B64A-525CFE9D6F5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88A8C2-BA26-452E-B495-73342D9CCB8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1F186F-8477-4D06-8783-C52DFFCE05D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265898-5C89-4343-B135-36203717BE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C9D0C4-2A96-4248-8E5F-013B9179F4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2BB282-9854-4DCA-8C4E-FDF987D112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86BC1A-E7B7-4025-9DDC-E9F052104EB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47B29F-84B8-4985-B0D9-BF8643F20F9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E097EE-010C-4DFA-AF6C-3822BA601E5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979013-DA3F-4370-B447-88DD27CAD5A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4C27874-582A-4B2E-8A91-2D21CDA0CE5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498E6B-3E82-4C3E-A9BC-04591DB8A5D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560AC9C-014D-42A0-808C-2F764F81923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D6EB6B-1CD3-41B2-B8C7-FB7CC258D2C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47CC4B-3BEF-4305-A545-B1A26DF0089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Effectiveness_Avg!$Z$68:$Z$69</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6E1-424F-85FF-805FCCBE9820}"/>
              </c:ext>
            </c:extLst>
          </c:dPt>
          <c:dPt>
            <c:idx val="1"/>
            <c:invertIfNegative val="0"/>
            <c:bubble3D val="0"/>
            <c:extLst xmlns:c16r2="http://schemas.microsoft.com/office/drawing/2015/06/chart">
              <c:ext xmlns:c16="http://schemas.microsoft.com/office/drawing/2014/chart" uri="{C3380CC4-5D6E-409C-BE32-E72D297353CC}">
                <c16:uniqueId val="{00000001-96E1-424F-85FF-805FCCBE9820}"/>
              </c:ext>
            </c:extLst>
          </c:dPt>
          <c:dPt>
            <c:idx val="2"/>
            <c:invertIfNegative val="0"/>
            <c:bubble3D val="0"/>
            <c:extLst xmlns:c16r2="http://schemas.microsoft.com/office/drawing/2015/06/chart">
              <c:ext xmlns:c16="http://schemas.microsoft.com/office/drawing/2014/chart" uri="{C3380CC4-5D6E-409C-BE32-E72D297353CC}">
                <c16:uniqueId val="{00000002-96E1-424F-85FF-805FCCBE9820}"/>
              </c:ext>
            </c:extLst>
          </c:dPt>
          <c:dPt>
            <c:idx val="3"/>
            <c:invertIfNegative val="0"/>
            <c:bubble3D val="0"/>
            <c:extLst xmlns:c16r2="http://schemas.microsoft.com/office/drawing/2015/06/chart">
              <c:ext xmlns:c16="http://schemas.microsoft.com/office/drawing/2014/chart" uri="{C3380CC4-5D6E-409C-BE32-E72D297353CC}">
                <c16:uniqueId val="{00000003-96E1-424F-85FF-805FCCBE9820}"/>
              </c:ext>
            </c:extLst>
          </c:dPt>
          <c:dLbls>
            <c:dLbl>
              <c:idx val="0"/>
              <c:tx>
                <c:rich>
                  <a:bodyPr/>
                  <a:lstStyle/>
                  <a:p>
                    <a:fld id="{18897295-666D-483D-A3A7-7DB1907013AB}"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96E1-424F-85FF-805FCCBE9820}"/>
                </c:ext>
              </c:extLst>
            </c:dLbl>
            <c:dLbl>
              <c:idx val="1"/>
              <c:tx>
                <c:rich>
                  <a:bodyPr/>
                  <a:lstStyle/>
                  <a:p>
                    <a:fld id="{EAB1BE2A-031B-4C5C-B55B-379F3E11C68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96E1-424F-85FF-805FCCBE9820}"/>
                </c:ext>
              </c:extLst>
            </c:dLbl>
            <c:dLbl>
              <c:idx val="2"/>
              <c:tx>
                <c:rich>
                  <a:bodyPr/>
                  <a:lstStyle/>
                  <a:p>
                    <a:fld id="{B11464FF-3540-41E1-B4E3-9C56CFD63C70}"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96E1-424F-85FF-805FCCBE9820}"/>
                </c:ext>
              </c:extLst>
            </c:dLbl>
            <c:dLbl>
              <c:idx val="3"/>
              <c:tx>
                <c:rich>
                  <a:bodyPr/>
                  <a:lstStyle/>
                  <a:p>
                    <a:fld id="{A3A9B4C9-33E6-429C-B9F7-1684E1681B8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96E1-424F-85FF-805FCCBE982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Effectiveness_Avg!$Y$70:$Y$74</c:f>
              <c:strCache>
                <c:ptCount val="4"/>
                <c:pt idx="0">
                  <c:v>The need for European public administrations to increase their efficiency due to budget constraints</c:v>
                </c:pt>
                <c:pt idx="1">
                  <c:v>National initiatives related to the ICT modernisation of the public sector</c:v>
                </c:pt>
                <c:pt idx="2">
                  <c:v>Calls for common standards and frameworks from public administrations</c:v>
                </c:pt>
                <c:pt idx="3">
                  <c:v>Calls for common standards and frameworks from industry</c:v>
                </c:pt>
              </c:strCache>
            </c:strRef>
          </c:cat>
          <c:val>
            <c:numRef>
              <c:f>Effectiveness_Avg!$Z$70:$Z$74</c:f>
              <c:numCache>
                <c:formatCode>General</c:formatCode>
                <c:ptCount val="4"/>
                <c:pt idx="0">
                  <c:v>3.7560975609756095</c:v>
                </c:pt>
                <c:pt idx="1">
                  <c:v>3.5789473684210527</c:v>
                </c:pt>
                <c:pt idx="2">
                  <c:v>3.9743589743589745</c:v>
                </c:pt>
                <c:pt idx="3">
                  <c:v>3.8888888888888888</c:v>
                </c:pt>
              </c:numCache>
            </c:numRef>
          </c:val>
          <c:extLst xmlns:c16r2="http://schemas.microsoft.com/office/drawing/2015/06/chart">
            <c:ext xmlns:c15="http://schemas.microsoft.com/office/drawing/2012/chart" uri="{02D57815-91ED-43cb-92C2-25804820EDAC}">
              <c15:datalabelsRange>
                <c15:f>Effectiveness_Avg!$Z$84:$Z$87</c15:f>
                <c15:dlblRangeCache>
                  <c:ptCount val="4"/>
                  <c:pt idx="0">
                    <c:v>3.76 (41)</c:v>
                  </c:pt>
                  <c:pt idx="1">
                    <c:v>3.58 (38)</c:v>
                  </c:pt>
                  <c:pt idx="2">
                    <c:v>3.97 (39)</c:v>
                  </c:pt>
                  <c:pt idx="3">
                    <c:v>3.89 (36)</c:v>
                  </c:pt>
                </c15:dlblRangeCache>
              </c15:datalabelsRange>
            </c:ext>
            <c:ext xmlns:c16="http://schemas.microsoft.com/office/drawing/2014/chart" uri="{C3380CC4-5D6E-409C-BE32-E72D297353CC}">
              <c16:uniqueId val="{00000004-96E1-424F-85FF-805FCCBE9820}"/>
            </c:ext>
          </c:extLst>
        </c:ser>
        <c:ser>
          <c:idx val="1"/>
          <c:order val="1"/>
          <c:tx>
            <c:strRef>
              <c:f>Effectiveness_Avg!$AA$68:$AA$69</c:f>
              <c:strCache>
                <c:ptCount val="1"/>
                <c:pt idx="0">
                  <c:v>Programme governance</c:v>
                </c:pt>
              </c:strCache>
            </c:strRef>
          </c:tx>
          <c:spPr>
            <a:solidFill>
              <a:schemeClr val="accent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5-96E1-424F-85FF-805FCCBE9820}"/>
              </c:ext>
            </c:extLst>
          </c:dPt>
          <c:dPt>
            <c:idx val="1"/>
            <c:invertIfNegative val="0"/>
            <c:bubble3D val="0"/>
            <c:extLst xmlns:c16r2="http://schemas.microsoft.com/office/drawing/2015/06/chart">
              <c:ext xmlns:c16="http://schemas.microsoft.com/office/drawing/2014/chart" uri="{C3380CC4-5D6E-409C-BE32-E72D297353CC}">
                <c16:uniqueId val="{00000006-96E1-424F-85FF-805FCCBE9820}"/>
              </c:ext>
            </c:extLst>
          </c:dPt>
          <c:dPt>
            <c:idx val="2"/>
            <c:invertIfNegative val="0"/>
            <c:bubble3D val="0"/>
            <c:extLst xmlns:c16r2="http://schemas.microsoft.com/office/drawing/2015/06/chart">
              <c:ext xmlns:c16="http://schemas.microsoft.com/office/drawing/2014/chart" uri="{C3380CC4-5D6E-409C-BE32-E72D297353CC}">
                <c16:uniqueId val="{00000007-96E1-424F-85FF-805FCCBE9820}"/>
              </c:ext>
            </c:extLst>
          </c:dPt>
          <c:dPt>
            <c:idx val="3"/>
            <c:invertIfNegative val="0"/>
            <c:bubble3D val="0"/>
            <c:extLst xmlns:c16r2="http://schemas.microsoft.com/office/drawing/2015/06/chart">
              <c:ext xmlns:c16="http://schemas.microsoft.com/office/drawing/2014/chart" uri="{C3380CC4-5D6E-409C-BE32-E72D297353CC}">
                <c16:uniqueId val="{00000008-96E1-424F-85FF-805FCCBE9820}"/>
              </c:ext>
            </c:extLst>
          </c:dPt>
          <c:dLbls>
            <c:dLbl>
              <c:idx val="0"/>
              <c:tx>
                <c:rich>
                  <a:bodyPr/>
                  <a:lstStyle/>
                  <a:p>
                    <a:fld id="{E6906A06-0D02-4F63-B286-F0EA6F3729AF}"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96E1-424F-85FF-805FCCBE9820}"/>
                </c:ext>
              </c:extLst>
            </c:dLbl>
            <c:dLbl>
              <c:idx val="1"/>
              <c:tx>
                <c:rich>
                  <a:bodyPr/>
                  <a:lstStyle/>
                  <a:p>
                    <a:fld id="{2717096B-3729-4363-BDF0-E410C151A40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96E1-424F-85FF-805FCCBE9820}"/>
                </c:ext>
              </c:extLst>
            </c:dLbl>
            <c:dLbl>
              <c:idx val="2"/>
              <c:tx>
                <c:rich>
                  <a:bodyPr/>
                  <a:lstStyle/>
                  <a:p>
                    <a:fld id="{4D2D7D3E-9E11-4DE4-B3EE-481066C1492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96E1-424F-85FF-805FCCBE9820}"/>
                </c:ext>
              </c:extLst>
            </c:dLbl>
            <c:dLbl>
              <c:idx val="3"/>
              <c:tx>
                <c:rich>
                  <a:bodyPr/>
                  <a:lstStyle/>
                  <a:p>
                    <a:fld id="{7A003869-61BE-4263-ACB3-ACED59EFA67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96E1-424F-85FF-805FCCBE982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Effectiveness_Avg!$Y$70:$Y$74</c:f>
              <c:strCache>
                <c:ptCount val="4"/>
                <c:pt idx="0">
                  <c:v>The need for European public administrations to increase their efficiency due to budget constraints</c:v>
                </c:pt>
                <c:pt idx="1">
                  <c:v>National initiatives related to the ICT modernisation of the public sector</c:v>
                </c:pt>
                <c:pt idx="2">
                  <c:v>Calls for common standards and frameworks from public administrations</c:v>
                </c:pt>
                <c:pt idx="3">
                  <c:v>Calls for common standards and frameworks from industry</c:v>
                </c:pt>
              </c:strCache>
            </c:strRef>
          </c:cat>
          <c:val>
            <c:numRef>
              <c:f>Effectiveness_Avg!$AA$70:$AA$74</c:f>
              <c:numCache>
                <c:formatCode>General</c:formatCode>
                <c:ptCount val="4"/>
                <c:pt idx="0">
                  <c:v>3.6111111111111112</c:v>
                </c:pt>
                <c:pt idx="1">
                  <c:v>3.6842105263157894</c:v>
                </c:pt>
                <c:pt idx="2">
                  <c:v>4.0526315789473681</c:v>
                </c:pt>
                <c:pt idx="3">
                  <c:v>3.5</c:v>
                </c:pt>
              </c:numCache>
            </c:numRef>
          </c:val>
          <c:extLst xmlns:c16r2="http://schemas.microsoft.com/office/drawing/2015/06/chart">
            <c:ext xmlns:c15="http://schemas.microsoft.com/office/drawing/2012/chart" uri="{02D57815-91ED-43cb-92C2-25804820EDAC}">
              <c15:datalabelsRange>
                <c15:f>Effectiveness_Avg!$AA$84:$AA$87</c15:f>
                <c15:dlblRangeCache>
                  <c:ptCount val="4"/>
                  <c:pt idx="0">
                    <c:v>3.61 (18)</c:v>
                  </c:pt>
                  <c:pt idx="1">
                    <c:v>3.68 (19)</c:v>
                  </c:pt>
                  <c:pt idx="2">
                    <c:v>4.05 (19)</c:v>
                  </c:pt>
                  <c:pt idx="3">
                    <c:v>3.50 (16)</c:v>
                  </c:pt>
                </c15:dlblRangeCache>
              </c15:datalabelsRange>
            </c:ext>
            <c:ext xmlns:c16="http://schemas.microsoft.com/office/drawing/2014/chart" uri="{C3380CC4-5D6E-409C-BE32-E72D297353CC}">
              <c16:uniqueId val="{00000009-96E1-424F-85FF-805FCCBE9820}"/>
            </c:ext>
          </c:extLst>
        </c:ser>
        <c:ser>
          <c:idx val="2"/>
          <c:order val="2"/>
          <c:tx>
            <c:strRef>
              <c:f>Effectiveness_Avg!$AB$68:$AB$69</c:f>
              <c:strCache>
                <c:ptCount val="1"/>
                <c:pt idx="0">
                  <c:v>Action owners</c:v>
                </c:pt>
              </c:strCache>
            </c:strRef>
          </c:tx>
          <c:spPr>
            <a:solidFill>
              <a:schemeClr val="accent6"/>
            </a:solidFill>
            <a:ln>
              <a:solidFill>
                <a:schemeClr val="accent6"/>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A-96E1-424F-85FF-805FCCBE9820}"/>
              </c:ext>
            </c:extLst>
          </c:dPt>
          <c:dPt>
            <c:idx val="1"/>
            <c:invertIfNegative val="0"/>
            <c:bubble3D val="0"/>
            <c:extLst xmlns:c16r2="http://schemas.microsoft.com/office/drawing/2015/06/chart">
              <c:ext xmlns:c16="http://schemas.microsoft.com/office/drawing/2014/chart" uri="{C3380CC4-5D6E-409C-BE32-E72D297353CC}">
                <c16:uniqueId val="{0000000B-96E1-424F-85FF-805FCCBE9820}"/>
              </c:ext>
            </c:extLst>
          </c:dPt>
          <c:dPt>
            <c:idx val="2"/>
            <c:invertIfNegative val="0"/>
            <c:bubble3D val="0"/>
            <c:extLst xmlns:c16r2="http://schemas.microsoft.com/office/drawing/2015/06/chart">
              <c:ext xmlns:c16="http://schemas.microsoft.com/office/drawing/2014/chart" uri="{C3380CC4-5D6E-409C-BE32-E72D297353CC}">
                <c16:uniqueId val="{0000000C-96E1-424F-85FF-805FCCBE9820}"/>
              </c:ext>
            </c:extLst>
          </c:dPt>
          <c:dPt>
            <c:idx val="3"/>
            <c:invertIfNegative val="0"/>
            <c:bubble3D val="0"/>
            <c:extLst xmlns:c16r2="http://schemas.microsoft.com/office/drawing/2015/06/chart">
              <c:ext xmlns:c16="http://schemas.microsoft.com/office/drawing/2014/chart" uri="{C3380CC4-5D6E-409C-BE32-E72D297353CC}">
                <c16:uniqueId val="{0000000D-96E1-424F-85FF-805FCCBE9820}"/>
              </c:ext>
            </c:extLst>
          </c:dPt>
          <c:dLbls>
            <c:dLbl>
              <c:idx val="0"/>
              <c:tx>
                <c:rich>
                  <a:bodyPr/>
                  <a:lstStyle/>
                  <a:p>
                    <a:fld id="{6278B635-B11A-487A-91C2-2D6E7D70E184}"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96E1-424F-85FF-805FCCBE9820}"/>
                </c:ext>
              </c:extLst>
            </c:dLbl>
            <c:dLbl>
              <c:idx val="1"/>
              <c:tx>
                <c:rich>
                  <a:bodyPr/>
                  <a:lstStyle/>
                  <a:p>
                    <a:fld id="{D2D6085A-F773-487E-852A-2CF84011920A}"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96E1-424F-85FF-805FCCBE9820}"/>
                </c:ext>
              </c:extLst>
            </c:dLbl>
            <c:dLbl>
              <c:idx val="2"/>
              <c:tx>
                <c:rich>
                  <a:bodyPr/>
                  <a:lstStyle/>
                  <a:p>
                    <a:fld id="{4E1D2AED-CBB7-438C-8718-14928967C49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96E1-424F-85FF-805FCCBE9820}"/>
                </c:ext>
              </c:extLst>
            </c:dLbl>
            <c:dLbl>
              <c:idx val="3"/>
              <c:tx>
                <c:rich>
                  <a:bodyPr/>
                  <a:lstStyle/>
                  <a:p>
                    <a:fld id="{14AEE7B2-F4D6-4DBD-96BD-6943F339F4A1}"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96E1-424F-85FF-805FCCBE982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Effectiveness_Avg!$Y$70:$Y$74</c:f>
              <c:strCache>
                <c:ptCount val="4"/>
                <c:pt idx="0">
                  <c:v>The need for European public administrations to increase their efficiency due to budget constraints</c:v>
                </c:pt>
                <c:pt idx="1">
                  <c:v>National initiatives related to the ICT modernisation of the public sector</c:v>
                </c:pt>
                <c:pt idx="2">
                  <c:v>Calls for common standards and frameworks from public administrations</c:v>
                </c:pt>
                <c:pt idx="3">
                  <c:v>Calls for common standards and frameworks from industry</c:v>
                </c:pt>
              </c:strCache>
            </c:strRef>
          </c:cat>
          <c:val>
            <c:numRef>
              <c:f>Effectiveness_Avg!$AB$70:$AB$74</c:f>
              <c:numCache>
                <c:formatCode>General</c:formatCode>
                <c:ptCount val="4"/>
                <c:pt idx="0">
                  <c:v>3.7142857142857144</c:v>
                </c:pt>
                <c:pt idx="1">
                  <c:v>3.6956521739130435</c:v>
                </c:pt>
                <c:pt idx="2">
                  <c:v>3.9</c:v>
                </c:pt>
                <c:pt idx="3">
                  <c:v>3.4444444444444446</c:v>
                </c:pt>
              </c:numCache>
            </c:numRef>
          </c:val>
          <c:extLst xmlns:c16r2="http://schemas.microsoft.com/office/drawing/2015/06/chart">
            <c:ext xmlns:c15="http://schemas.microsoft.com/office/drawing/2012/chart" uri="{02D57815-91ED-43cb-92C2-25804820EDAC}">
              <c15:datalabelsRange>
                <c15:f>Effectiveness_Avg!$AB$84:$AB$87</c15:f>
                <c15:dlblRangeCache>
                  <c:ptCount val="4"/>
                  <c:pt idx="0">
                    <c:v>3.71 (21)</c:v>
                  </c:pt>
                  <c:pt idx="1">
                    <c:v>3.70 (23)</c:v>
                  </c:pt>
                  <c:pt idx="2">
                    <c:v>3.90 (20)</c:v>
                  </c:pt>
                  <c:pt idx="3">
                    <c:v>3.44 (18)</c:v>
                  </c:pt>
                </c15:dlblRangeCache>
              </c15:datalabelsRange>
            </c:ext>
            <c:ext xmlns:c16="http://schemas.microsoft.com/office/drawing/2014/chart" uri="{C3380CC4-5D6E-409C-BE32-E72D297353CC}">
              <c16:uniqueId val="{0000000E-96E1-424F-85FF-805FCCBE9820}"/>
            </c:ext>
          </c:extLst>
        </c:ser>
        <c:dLbls>
          <c:dLblPos val="outEnd"/>
          <c:showLegendKey val="0"/>
          <c:showVal val="1"/>
          <c:showCatName val="0"/>
          <c:showSerName val="0"/>
          <c:showPercent val="0"/>
          <c:showBubbleSize val="0"/>
        </c:dLbls>
        <c:gapWidth val="182"/>
        <c:axId val="107457920"/>
        <c:axId val="107558016"/>
      </c:barChart>
      <c:catAx>
        <c:axId val="107457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558016"/>
        <c:crosses val="autoZero"/>
        <c:auto val="1"/>
        <c:lblAlgn val="ctr"/>
        <c:lblOffset val="100"/>
        <c:noMultiLvlLbl val="0"/>
      </c:catAx>
      <c:valAx>
        <c:axId val="107558016"/>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74579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[190215 Graphs_averages_final.xlsx]Effectiveness_Avg!Tableau croisé dynamique6</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E009DA-869B-450A-AC50-2511D360642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4D566A-AEB0-42A2-82B4-7478A945CA4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766C34-CE5D-428A-988D-6FC4190B5920}"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22DC93-0B56-4647-AEBB-71785531208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D2322-7CDE-4CE1-B17F-BE673DCA6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88AE1EB-BC0D-4109-8F8F-872DF3B6071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3196CF-5907-4127-8776-5A17A3D497A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A00F15-6130-4FA8-95AA-43B5B3E0CBFA}"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4F5979-4B96-49DF-A56E-918A50F80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DF1F202-A391-491F-9A1D-A2F64A4F6E1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8B48F23-7AB6-4A5A-840B-9F15B3CFFE25}"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D2675F-6784-43CD-A4DA-F5E9E684580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E009DA-869B-450A-AC50-2511D360642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D2322-7CDE-4CE1-B17F-BE673DCA6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7EE251-63D8-4D1B-81B6-5D079E9F0A38}"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6336B0-38F9-4B99-AA31-018A369AA9E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CB8302F-CCED-4E02-8EB6-D2117A4F3004}"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4F5979-4B96-49DF-A56E-918A50F80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9A8BA66-9FC2-4DB8-8B3B-EE4D55F9DCE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86DDEA-75C2-4B61-B87E-E6B3E1E345B2}"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774EF1-08C1-42C1-B847-94335A45B60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5307F6-3284-4A3D-906B-63E50D33356D}"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E96086-216E-4CAF-8062-4AE7C42CD05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6B5BBE4-FA5F-41D8-910A-B8FEC1F162A6}"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E009DA-869B-450A-AC50-2511D360642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38"/>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D2322-7CDE-4CE1-B17F-BE673DCA6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126FA4-184A-4180-95B8-B0E6DC24BB6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A42B210-272D-4638-AFBB-8D00540D37C3}"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7667F5-3C7E-4285-87D8-4F9837628B4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4F5979-4B96-49DF-A56E-918A50F80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4F2D29-22BB-484D-AAF2-19A1EEDFAA07}"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0C31BF-3D9C-4ED7-8E5A-9BB098227C8B}"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503194-ACA9-4DCA-B439-FDF0BCCA03B9}"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9029C6-4198-4EDB-8911-386AD8F5FC5C}"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873DE6-1620-4850-BE2C-9CD17C82A5D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CA07E1-A657-4C59-8F09-CC01B5D7E8F1}" type="CELLRANGE">
                  <a:rPr lang="en-GB"/>
                  <a:pPr>
                    <a:defRPr sz="900" b="0" i="0" u="none" strike="noStrike" kern="1200" baseline="0">
                      <a:solidFill>
                        <a:schemeClr val="tx1">
                          <a:lumMod val="75000"/>
                          <a:lumOff val="25000"/>
                        </a:schemeClr>
                      </a:solidFill>
                      <a:latin typeface="+mn-lt"/>
                      <a:ea typeface="+mn-ea"/>
                      <a:cs typeface="+mn-cs"/>
                    </a:defRPr>
                  </a:pPr>
                  <a:t>[CELLRANGE]</a:t>
                </a:fld>
                <a:endParaRPr lang="en-GB"/>
              </a:p>
            </c:rich>
          </c:tx>
          <c:spPr>
            <a:noFill/>
            <a:ln>
              <a:noFill/>
            </a:ln>
            <a:effectLst/>
          </c:sp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Effectiveness_Avg!$Z$91:$Z$92</c:f>
              <c:strCache>
                <c:ptCount val="1"/>
                <c:pt idx="0">
                  <c:v>Solution users</c:v>
                </c:pt>
              </c:strCache>
            </c:strRef>
          </c:tx>
          <c:spPr>
            <a:solidFill>
              <a:schemeClr val="accent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C424-4365-B8E5-3481FC1D09E3}"/>
              </c:ext>
            </c:extLst>
          </c:dPt>
          <c:dPt>
            <c:idx val="1"/>
            <c:invertIfNegative val="0"/>
            <c:bubble3D val="0"/>
            <c:extLst xmlns:c16r2="http://schemas.microsoft.com/office/drawing/2015/06/chart">
              <c:ext xmlns:c16="http://schemas.microsoft.com/office/drawing/2014/chart" uri="{C3380CC4-5D6E-409C-BE32-E72D297353CC}">
                <c16:uniqueId val="{00000001-C424-4365-B8E5-3481FC1D09E3}"/>
              </c:ext>
            </c:extLst>
          </c:dPt>
          <c:dPt>
            <c:idx val="2"/>
            <c:invertIfNegative val="0"/>
            <c:bubble3D val="0"/>
            <c:extLst xmlns:c16r2="http://schemas.microsoft.com/office/drawing/2015/06/chart">
              <c:ext xmlns:c16="http://schemas.microsoft.com/office/drawing/2014/chart" uri="{C3380CC4-5D6E-409C-BE32-E72D297353CC}">
                <c16:uniqueId val="{00000002-C424-4365-B8E5-3481FC1D09E3}"/>
              </c:ext>
            </c:extLst>
          </c:dPt>
          <c:dPt>
            <c:idx val="3"/>
            <c:invertIfNegative val="0"/>
            <c:bubble3D val="0"/>
            <c:extLst xmlns:c16r2="http://schemas.microsoft.com/office/drawing/2015/06/chart">
              <c:ext xmlns:c16="http://schemas.microsoft.com/office/drawing/2014/chart" uri="{C3380CC4-5D6E-409C-BE32-E72D297353CC}">
                <c16:uniqueId val="{00000003-C424-4365-B8E5-3481FC1D09E3}"/>
              </c:ext>
            </c:extLst>
          </c:dPt>
          <c:dLbls>
            <c:dLbl>
              <c:idx val="0"/>
              <c:tx>
                <c:rich>
                  <a:bodyPr/>
                  <a:lstStyle/>
                  <a:p>
                    <a:fld id="{F9C8CAA6-B791-4765-8DF5-67138CC863E2}"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0-C424-4365-B8E5-3481FC1D09E3}"/>
                </c:ext>
              </c:extLst>
            </c:dLbl>
            <c:dLbl>
              <c:idx val="1"/>
              <c:tx>
                <c:rich>
                  <a:bodyPr/>
                  <a:lstStyle/>
                  <a:p>
                    <a:fld id="{A13C543B-529F-48A2-A5C7-C6B95F01587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C424-4365-B8E5-3481FC1D09E3}"/>
                </c:ext>
              </c:extLst>
            </c:dLbl>
            <c:dLbl>
              <c:idx val="2"/>
              <c:tx>
                <c:rich>
                  <a:bodyPr/>
                  <a:lstStyle/>
                  <a:p>
                    <a:fld id="{27B3CEA2-B227-4D41-9270-C6DBCA9D5FED}"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C424-4365-B8E5-3481FC1D09E3}"/>
                </c:ext>
              </c:extLst>
            </c:dLbl>
            <c:dLbl>
              <c:idx val="3"/>
              <c:tx>
                <c:rich>
                  <a:bodyPr/>
                  <a:lstStyle/>
                  <a:p>
                    <a:fld id="{8621DDA9-81FE-49A6-99B4-FAEE6EA2A975}"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C424-4365-B8E5-3481FC1D09E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Effectiveness_Avg!$Y$93:$Y$97</c:f>
              <c:strCache>
                <c:ptCount val="4"/>
                <c:pt idx="0">
                  <c:v>Technical challenges (e.g. updating existing legacy applications)</c:v>
                </c:pt>
                <c:pt idx="1">
                  <c:v>Limited resources of European public administrations</c:v>
                </c:pt>
                <c:pt idx="2">
                  <c:v>Legal complexity</c:v>
                </c:pt>
                <c:pt idx="3">
                  <c:v>Institutional complexity</c:v>
                </c:pt>
              </c:strCache>
            </c:strRef>
          </c:cat>
          <c:val>
            <c:numRef>
              <c:f>Effectiveness_Avg!$Z$93:$Z$97</c:f>
              <c:numCache>
                <c:formatCode>General</c:formatCode>
                <c:ptCount val="4"/>
                <c:pt idx="0">
                  <c:v>3.2439024390243905</c:v>
                </c:pt>
                <c:pt idx="1">
                  <c:v>3.6829268292682928</c:v>
                </c:pt>
                <c:pt idx="2">
                  <c:v>3.8</c:v>
                </c:pt>
                <c:pt idx="3">
                  <c:v>3.9249999999999998</c:v>
                </c:pt>
              </c:numCache>
            </c:numRef>
          </c:val>
          <c:extLst xmlns:c16r2="http://schemas.microsoft.com/office/drawing/2015/06/chart">
            <c:ext xmlns:c15="http://schemas.microsoft.com/office/drawing/2012/chart" uri="{02D57815-91ED-43cb-92C2-25804820EDAC}">
              <c15:datalabelsRange>
                <c15:f>Effectiveness_Avg!$Z$107:$Z$110</c15:f>
                <c15:dlblRangeCache>
                  <c:ptCount val="4"/>
                  <c:pt idx="0">
                    <c:v>3.24 (41)</c:v>
                  </c:pt>
                  <c:pt idx="1">
                    <c:v>3.68 (41)</c:v>
                  </c:pt>
                  <c:pt idx="2">
                    <c:v>3.80 (40)</c:v>
                  </c:pt>
                  <c:pt idx="3">
                    <c:v>3.93 (40)</c:v>
                  </c:pt>
                </c15:dlblRangeCache>
              </c15:datalabelsRange>
            </c:ext>
            <c:ext xmlns:c16="http://schemas.microsoft.com/office/drawing/2014/chart" uri="{C3380CC4-5D6E-409C-BE32-E72D297353CC}">
              <c16:uniqueId val="{00000004-C424-4365-B8E5-3481FC1D09E3}"/>
            </c:ext>
          </c:extLst>
        </c:ser>
        <c:ser>
          <c:idx val="1"/>
          <c:order val="1"/>
          <c:tx>
            <c:strRef>
              <c:f>Effectiveness_Avg!$AA$91:$AA$92</c:f>
              <c:strCache>
                <c:ptCount val="1"/>
                <c:pt idx="0">
                  <c:v>Programme governance</c:v>
                </c:pt>
              </c:strCache>
            </c:strRef>
          </c:tx>
          <c:spPr>
            <a:solidFill>
              <a:schemeClr val="accent3"/>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5-C424-4365-B8E5-3481FC1D09E3}"/>
              </c:ext>
            </c:extLst>
          </c:dPt>
          <c:dPt>
            <c:idx val="1"/>
            <c:invertIfNegative val="0"/>
            <c:bubble3D val="0"/>
            <c:extLst xmlns:c16r2="http://schemas.microsoft.com/office/drawing/2015/06/chart">
              <c:ext xmlns:c16="http://schemas.microsoft.com/office/drawing/2014/chart" uri="{C3380CC4-5D6E-409C-BE32-E72D297353CC}">
                <c16:uniqueId val="{00000006-C424-4365-B8E5-3481FC1D09E3}"/>
              </c:ext>
            </c:extLst>
          </c:dPt>
          <c:dPt>
            <c:idx val="2"/>
            <c:invertIfNegative val="0"/>
            <c:bubble3D val="0"/>
            <c:extLst xmlns:c16r2="http://schemas.microsoft.com/office/drawing/2015/06/chart">
              <c:ext xmlns:c16="http://schemas.microsoft.com/office/drawing/2014/chart" uri="{C3380CC4-5D6E-409C-BE32-E72D297353CC}">
                <c16:uniqueId val="{00000007-C424-4365-B8E5-3481FC1D09E3}"/>
              </c:ext>
            </c:extLst>
          </c:dPt>
          <c:dPt>
            <c:idx val="3"/>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C424-4365-B8E5-3481FC1D09E3}"/>
              </c:ext>
            </c:extLst>
          </c:dPt>
          <c:dLbls>
            <c:dLbl>
              <c:idx val="0"/>
              <c:tx>
                <c:rich>
                  <a:bodyPr/>
                  <a:lstStyle/>
                  <a:p>
                    <a:fld id="{DB30C780-F875-48ED-A42D-FC48DE71EA15}"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C424-4365-B8E5-3481FC1D09E3}"/>
                </c:ext>
              </c:extLst>
            </c:dLbl>
            <c:dLbl>
              <c:idx val="1"/>
              <c:tx>
                <c:rich>
                  <a:bodyPr/>
                  <a:lstStyle/>
                  <a:p>
                    <a:fld id="{5C672ADF-9EF9-4E94-97BD-F57690889F96}"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C424-4365-B8E5-3481FC1D09E3}"/>
                </c:ext>
              </c:extLst>
            </c:dLbl>
            <c:dLbl>
              <c:idx val="2"/>
              <c:tx>
                <c:rich>
                  <a:bodyPr/>
                  <a:lstStyle/>
                  <a:p>
                    <a:fld id="{ED623D28-52AA-485E-9202-F530FA23F0E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C424-4365-B8E5-3481FC1D09E3}"/>
                </c:ext>
              </c:extLst>
            </c:dLbl>
            <c:dLbl>
              <c:idx val="3"/>
              <c:tx>
                <c:rich>
                  <a:bodyPr/>
                  <a:lstStyle/>
                  <a:p>
                    <a:fld id="{B59D9E97-D3E6-4DE9-A68F-29DE6C692EB3}"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C424-4365-B8E5-3481FC1D09E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Effectiveness_Avg!$Y$93:$Y$97</c:f>
              <c:strCache>
                <c:ptCount val="4"/>
                <c:pt idx="0">
                  <c:v>Technical challenges (e.g. updating existing legacy applications)</c:v>
                </c:pt>
                <c:pt idx="1">
                  <c:v>Limited resources of European public administrations</c:v>
                </c:pt>
                <c:pt idx="2">
                  <c:v>Legal complexity</c:v>
                </c:pt>
                <c:pt idx="3">
                  <c:v>Institutional complexity</c:v>
                </c:pt>
              </c:strCache>
            </c:strRef>
          </c:cat>
          <c:val>
            <c:numRef>
              <c:f>Effectiveness_Avg!$AA$93:$AA$97</c:f>
              <c:numCache>
                <c:formatCode>General</c:formatCode>
                <c:ptCount val="4"/>
                <c:pt idx="0">
                  <c:v>3.3684210526315788</c:v>
                </c:pt>
                <c:pt idx="1">
                  <c:v>3.5263157894736841</c:v>
                </c:pt>
                <c:pt idx="2">
                  <c:v>4</c:v>
                </c:pt>
                <c:pt idx="3">
                  <c:v>4.1052631578947372</c:v>
                </c:pt>
              </c:numCache>
            </c:numRef>
          </c:val>
          <c:extLst xmlns:c16r2="http://schemas.microsoft.com/office/drawing/2015/06/chart">
            <c:ext xmlns:c15="http://schemas.microsoft.com/office/drawing/2012/chart" uri="{02D57815-91ED-43cb-92C2-25804820EDAC}">
              <c15:datalabelsRange>
                <c15:f>Effectiveness_Avg!$AA$107:$AA$110</c15:f>
                <c15:dlblRangeCache>
                  <c:ptCount val="4"/>
                  <c:pt idx="0">
                    <c:v>3.37 (19)</c:v>
                  </c:pt>
                  <c:pt idx="1">
                    <c:v>3.53 (19)</c:v>
                  </c:pt>
                  <c:pt idx="2">
                    <c:v>4.00 (19)</c:v>
                  </c:pt>
                  <c:pt idx="3">
                    <c:v>4.11 (19)</c:v>
                  </c:pt>
                </c15:dlblRangeCache>
              </c15:datalabelsRange>
            </c:ext>
            <c:ext xmlns:c16="http://schemas.microsoft.com/office/drawing/2014/chart" uri="{C3380CC4-5D6E-409C-BE32-E72D297353CC}">
              <c16:uniqueId val="{0000000A-C424-4365-B8E5-3481FC1D09E3}"/>
            </c:ext>
          </c:extLst>
        </c:ser>
        <c:ser>
          <c:idx val="2"/>
          <c:order val="2"/>
          <c:tx>
            <c:strRef>
              <c:f>Effectiveness_Avg!$AB$91:$AB$92</c:f>
              <c:strCache>
                <c:ptCount val="1"/>
                <c:pt idx="0">
                  <c:v>Action owners</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B-C424-4365-B8E5-3481FC1D09E3}"/>
              </c:ext>
            </c:extLst>
          </c:dPt>
          <c:dPt>
            <c:idx val="1"/>
            <c:invertIfNegative val="0"/>
            <c:bubble3D val="0"/>
            <c:extLst xmlns:c16r2="http://schemas.microsoft.com/office/drawing/2015/06/chart">
              <c:ext xmlns:c16="http://schemas.microsoft.com/office/drawing/2014/chart" uri="{C3380CC4-5D6E-409C-BE32-E72D297353CC}">
                <c16:uniqueId val="{0000000C-C424-4365-B8E5-3481FC1D09E3}"/>
              </c:ext>
            </c:extLst>
          </c:dPt>
          <c:dPt>
            <c:idx val="2"/>
            <c:invertIfNegative val="0"/>
            <c:bubble3D val="0"/>
            <c:extLst xmlns:c16r2="http://schemas.microsoft.com/office/drawing/2015/06/chart">
              <c:ext xmlns:c16="http://schemas.microsoft.com/office/drawing/2014/chart" uri="{C3380CC4-5D6E-409C-BE32-E72D297353CC}">
                <c16:uniqueId val="{0000000D-C424-4365-B8E5-3481FC1D09E3}"/>
              </c:ext>
            </c:extLst>
          </c:dPt>
          <c:dPt>
            <c:idx val="3"/>
            <c:invertIfNegative val="0"/>
            <c:bubble3D val="0"/>
            <c:extLst xmlns:c16r2="http://schemas.microsoft.com/office/drawing/2015/06/chart">
              <c:ext xmlns:c16="http://schemas.microsoft.com/office/drawing/2014/chart" uri="{C3380CC4-5D6E-409C-BE32-E72D297353CC}">
                <c16:uniqueId val="{0000000E-C424-4365-B8E5-3481FC1D09E3}"/>
              </c:ext>
            </c:extLst>
          </c:dPt>
          <c:dLbls>
            <c:dLbl>
              <c:idx val="0"/>
              <c:tx>
                <c:rich>
                  <a:bodyPr/>
                  <a:lstStyle/>
                  <a:p>
                    <a:fld id="{914959E3-7A9E-4E05-A09E-C8C369FD4693}" type="CELLRANGE">
                      <a:rPr lang="en-US"/>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B-C424-4365-B8E5-3481FC1D09E3}"/>
                </c:ext>
              </c:extLst>
            </c:dLbl>
            <c:dLbl>
              <c:idx val="1"/>
              <c:tx>
                <c:rich>
                  <a:bodyPr/>
                  <a:lstStyle/>
                  <a:p>
                    <a:fld id="{CEC779D8-BB44-4E50-9EA2-23029A872ADC}"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C424-4365-B8E5-3481FC1D09E3}"/>
                </c:ext>
              </c:extLst>
            </c:dLbl>
            <c:dLbl>
              <c:idx val="2"/>
              <c:tx>
                <c:rich>
                  <a:bodyPr/>
                  <a:lstStyle/>
                  <a:p>
                    <a:fld id="{346623BB-6A7D-410A-A6AE-B16E04AE30D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C424-4365-B8E5-3481FC1D09E3}"/>
                </c:ext>
              </c:extLst>
            </c:dLbl>
            <c:dLbl>
              <c:idx val="3"/>
              <c:tx>
                <c:rich>
                  <a:bodyPr/>
                  <a:lstStyle/>
                  <a:p>
                    <a:fld id="{696C0978-BB1A-443C-8E01-1E700FCC30CF}" type="CELLRANGE">
                      <a:rPr lang="en-GB"/>
                      <a:pPr/>
                      <a:t>[CELLRANGE]</a:t>
                    </a:fld>
                    <a:endParaRPr lang="en-GB"/>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C424-4365-B8E5-3481FC1D09E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Effectiveness_Avg!$Y$93:$Y$97</c:f>
              <c:strCache>
                <c:ptCount val="4"/>
                <c:pt idx="0">
                  <c:v>Technical challenges (e.g. updating existing legacy applications)</c:v>
                </c:pt>
                <c:pt idx="1">
                  <c:v>Limited resources of European public administrations</c:v>
                </c:pt>
                <c:pt idx="2">
                  <c:v>Legal complexity</c:v>
                </c:pt>
                <c:pt idx="3">
                  <c:v>Institutional complexity</c:v>
                </c:pt>
              </c:strCache>
            </c:strRef>
          </c:cat>
          <c:val>
            <c:numRef>
              <c:f>Effectiveness_Avg!$AB$93:$AB$97</c:f>
              <c:numCache>
                <c:formatCode>General</c:formatCode>
                <c:ptCount val="4"/>
                <c:pt idx="0">
                  <c:v>3.652173913043478</c:v>
                </c:pt>
                <c:pt idx="1">
                  <c:v>3.7391304347826089</c:v>
                </c:pt>
                <c:pt idx="2">
                  <c:v>3.8695652173913042</c:v>
                </c:pt>
                <c:pt idx="3">
                  <c:v>3.8695652173913042</c:v>
                </c:pt>
              </c:numCache>
            </c:numRef>
          </c:val>
          <c:extLst xmlns:c16r2="http://schemas.microsoft.com/office/drawing/2015/06/chart">
            <c:ext xmlns:c15="http://schemas.microsoft.com/office/drawing/2012/chart" uri="{02D57815-91ED-43cb-92C2-25804820EDAC}">
              <c15:datalabelsRange>
                <c15:f>Effectiveness_Avg!$AB$107:$AB$110</c15:f>
                <c15:dlblRangeCache>
                  <c:ptCount val="4"/>
                  <c:pt idx="0">
                    <c:v>3.65 (23)</c:v>
                  </c:pt>
                  <c:pt idx="1">
                    <c:v>3.74 (23)</c:v>
                  </c:pt>
                  <c:pt idx="2">
                    <c:v>3.87 (23)</c:v>
                  </c:pt>
                  <c:pt idx="3">
                    <c:v>3.87 (23)</c:v>
                  </c:pt>
                </c15:dlblRangeCache>
              </c15:datalabelsRange>
            </c:ext>
            <c:ext xmlns:c16="http://schemas.microsoft.com/office/drawing/2014/chart" uri="{C3380CC4-5D6E-409C-BE32-E72D297353CC}">
              <c16:uniqueId val="{0000000F-C424-4365-B8E5-3481FC1D09E3}"/>
            </c:ext>
          </c:extLst>
        </c:ser>
        <c:dLbls>
          <c:dLblPos val="outEnd"/>
          <c:showLegendKey val="0"/>
          <c:showVal val="1"/>
          <c:showCatName val="0"/>
          <c:showSerName val="0"/>
          <c:showPercent val="0"/>
          <c:showBubbleSize val="0"/>
        </c:dLbls>
        <c:gapWidth val="182"/>
        <c:axId val="108595456"/>
        <c:axId val="108621824"/>
      </c:barChart>
      <c:catAx>
        <c:axId val="10859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621824"/>
        <c:crosses val="autoZero"/>
        <c:auto val="1"/>
        <c:lblAlgn val="ctr"/>
        <c:lblOffset val="100"/>
        <c:noMultiLvlLbl val="0"/>
      </c:catAx>
      <c:valAx>
        <c:axId val="108621824"/>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5954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Efficiency_Graph!$B$59</c:f>
              <c:strCache>
                <c:ptCount val="1"/>
                <c:pt idx="0">
                  <c:v>Action owners</c:v>
                </c:pt>
              </c:strCache>
            </c:strRef>
          </c:tx>
          <c:spPr>
            <a:solidFill>
              <a:schemeClr val="accent6"/>
            </a:solidFill>
            <a:ln>
              <a:noFill/>
            </a:ln>
            <a:effectLst/>
          </c:spPr>
          <c:invertIfNegative val="0"/>
          <c:cat>
            <c:strRef>
              <c:f>Efficiency_Graph!$A$60:$A$65</c:f>
              <c:strCache>
                <c:ptCount val="6"/>
                <c:pt idx="0">
                  <c:v>Not at all</c:v>
                </c:pt>
                <c:pt idx="1">
                  <c:v>To a limited extent</c:v>
                </c:pt>
                <c:pt idx="2">
                  <c:v>To some extent</c:v>
                </c:pt>
                <c:pt idx="3">
                  <c:v>To a high extent</c:v>
                </c:pt>
                <c:pt idx="4">
                  <c:v>To the fullest extent</c:v>
                </c:pt>
                <c:pt idx="5">
                  <c:v>Do not know/No opinion</c:v>
                </c:pt>
              </c:strCache>
            </c:strRef>
          </c:cat>
          <c:val>
            <c:numRef>
              <c:f>Efficiency_Graph!$B$60:$B$65</c:f>
              <c:numCache>
                <c:formatCode>General</c:formatCode>
                <c:ptCount val="6"/>
                <c:pt idx="0">
                  <c:v>0</c:v>
                </c:pt>
                <c:pt idx="1">
                  <c:v>1</c:v>
                </c:pt>
                <c:pt idx="2">
                  <c:v>11</c:v>
                </c:pt>
                <c:pt idx="3">
                  <c:v>10</c:v>
                </c:pt>
                <c:pt idx="4">
                  <c:v>0</c:v>
                </c:pt>
                <c:pt idx="5">
                  <c:v>1</c:v>
                </c:pt>
              </c:numCache>
            </c:numRef>
          </c:val>
          <c:extLst xmlns:c16r2="http://schemas.microsoft.com/office/drawing/2015/06/chart">
            <c:ext xmlns:c16="http://schemas.microsoft.com/office/drawing/2014/chart" uri="{C3380CC4-5D6E-409C-BE32-E72D297353CC}">
              <c16:uniqueId val="{00000000-4335-4B00-AFE0-35F253C7B6B5}"/>
            </c:ext>
          </c:extLst>
        </c:ser>
        <c:ser>
          <c:idx val="1"/>
          <c:order val="1"/>
          <c:tx>
            <c:strRef>
              <c:f>Efficiency_Graph!$C$59</c:f>
              <c:strCache>
                <c:ptCount val="1"/>
                <c:pt idx="0">
                  <c:v>Programme governance</c:v>
                </c:pt>
              </c:strCache>
            </c:strRef>
          </c:tx>
          <c:spPr>
            <a:solidFill>
              <a:schemeClr val="accent5"/>
            </a:solidFill>
            <a:ln>
              <a:noFill/>
            </a:ln>
            <a:effectLst/>
          </c:spPr>
          <c:invertIfNegative val="0"/>
          <c:cat>
            <c:strRef>
              <c:f>Efficiency_Graph!$A$60:$A$65</c:f>
              <c:strCache>
                <c:ptCount val="6"/>
                <c:pt idx="0">
                  <c:v>Not at all</c:v>
                </c:pt>
                <c:pt idx="1">
                  <c:v>To a limited extent</c:v>
                </c:pt>
                <c:pt idx="2">
                  <c:v>To some extent</c:v>
                </c:pt>
                <c:pt idx="3">
                  <c:v>To a high extent</c:v>
                </c:pt>
                <c:pt idx="4">
                  <c:v>To the fullest extent</c:v>
                </c:pt>
                <c:pt idx="5">
                  <c:v>Do not know/No opinion</c:v>
                </c:pt>
              </c:strCache>
            </c:strRef>
          </c:cat>
          <c:val>
            <c:numRef>
              <c:f>Efficiency_Graph!$C$60:$C$65</c:f>
              <c:numCache>
                <c:formatCode>General</c:formatCode>
                <c:ptCount val="6"/>
                <c:pt idx="0">
                  <c:v>0</c:v>
                </c:pt>
                <c:pt idx="1">
                  <c:v>1</c:v>
                </c:pt>
                <c:pt idx="2">
                  <c:v>8</c:v>
                </c:pt>
                <c:pt idx="3">
                  <c:v>8</c:v>
                </c:pt>
                <c:pt idx="4">
                  <c:v>0</c:v>
                </c:pt>
                <c:pt idx="5">
                  <c:v>2</c:v>
                </c:pt>
              </c:numCache>
            </c:numRef>
          </c:val>
          <c:extLst xmlns:c16r2="http://schemas.microsoft.com/office/drawing/2015/06/chart">
            <c:ext xmlns:c16="http://schemas.microsoft.com/office/drawing/2014/chart" uri="{C3380CC4-5D6E-409C-BE32-E72D297353CC}">
              <c16:uniqueId val="{00000001-4335-4B00-AFE0-35F253C7B6B5}"/>
            </c:ext>
          </c:extLst>
        </c:ser>
        <c:dLbls>
          <c:showLegendKey val="0"/>
          <c:showVal val="0"/>
          <c:showCatName val="0"/>
          <c:showSerName val="0"/>
          <c:showPercent val="0"/>
          <c:showBubbleSize val="0"/>
        </c:dLbls>
        <c:gapWidth val="150"/>
        <c:axId val="108649856"/>
        <c:axId val="108790912"/>
      </c:barChart>
      <c:catAx>
        <c:axId val="108649856"/>
        <c:scaling>
          <c:orientation val="minMax"/>
        </c:scaling>
        <c:delete val="0"/>
        <c:axPos val="b"/>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790912"/>
        <c:crosses val="autoZero"/>
        <c:auto val="0"/>
        <c:lblAlgn val="ctr"/>
        <c:lblOffset val="100"/>
        <c:noMultiLvlLbl val="0"/>
      </c:catAx>
      <c:valAx>
        <c:axId val="1087909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08649856"/>
        <c:crosses val="autoZero"/>
        <c:crossBetween val="between"/>
      </c:valAx>
      <c:spPr>
        <a:solidFill>
          <a:schemeClr val="bg1"/>
        </a:solidFill>
        <a:ln>
          <a:noFill/>
        </a:ln>
        <a:effectLst/>
      </c:spPr>
    </c:plotArea>
    <c:legend>
      <c:legendPos val="r"/>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Reference xmlns="cd83a5d3-79be-4692-b88f-4021910b3d50">2</EC_Collab_Reference>
    <EC_Collab_DocumentLanguage xmlns="cd83a5d3-79be-4692-b88f-4021910b3d50">EN</EC_Collab_DocumentLanguage>
    <EC_Collab_Status xmlns="cd83a5d3-79be-4692-b88f-4021910b3d50">Not Started</EC_Collab_Status>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2A50989E4088EA419C817BD87C104EB4" ma:contentTypeVersion="0" ma:contentTypeDescription="Create a new document in this library." ma:contentTypeScope="" ma:versionID="612e2e245956acd297296943855c2174">
  <xsd:schema xmlns:xsd="http://www.w3.org/2001/XMLSchema" xmlns:xs="http://www.w3.org/2001/XMLSchema" xmlns:p="http://schemas.microsoft.com/office/2006/metadata/properties" xmlns:ns2="http://schemas.microsoft.com/sharepoint/v3/fields" xmlns:ns3="cd83a5d3-79be-4692-b88f-4021910b3d50" targetNamespace="http://schemas.microsoft.com/office/2006/metadata/properties" ma:root="true" ma:fieldsID="19ad96c91a85bead06ac02f45ecb6c5e" ns2:_="" ns3:_="">
    <xsd:import namespace="http://schemas.microsoft.com/sharepoint/v3/fields"/>
    <xsd:import namespace="cd83a5d3-79be-4692-b88f-4021910b3d50"/>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d83a5d3-79be-4692-b88f-4021910b3d5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8D2D893-109B-4148-86DA-70644F8092DE}">
  <ds:schemaRefs>
    <ds:schemaRef ds:uri="http://schemas.microsoft.com/sharepoint/v3/contenttype/forms"/>
  </ds:schemaRefs>
</ds:datastoreItem>
</file>

<file path=customXml/itemProps2.xml><?xml version="1.0" encoding="utf-8"?>
<ds:datastoreItem xmlns:ds="http://schemas.openxmlformats.org/officeDocument/2006/customXml" ds:itemID="{E24F9586-9BCA-4782-BB71-92BDD1889784}">
  <ds:schemaRefs>
    <ds:schemaRef ds:uri="http://schemas.microsoft.com/sharepoint/v3/fields"/>
    <ds:schemaRef ds:uri="http://schemas.openxmlformats.org/package/2006/metadata/core-properties"/>
    <ds:schemaRef ds:uri="cd83a5d3-79be-4692-b88f-4021910b3d50"/>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s>
</ds:datastoreItem>
</file>

<file path=customXml/itemProps3.xml><?xml version="1.0" encoding="utf-8"?>
<ds:datastoreItem xmlns:ds="http://schemas.openxmlformats.org/officeDocument/2006/customXml" ds:itemID="{1EE705F2-6BA9-42F1-B2FE-B8E425EBB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d83a5d3-79be-4692-b88f-4021910b3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8F1C20-8C8F-4A9D-87DC-E4BD1291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44887</Words>
  <Characters>256308</Characters>
  <Application>Microsoft Office Word</Application>
  <DocSecurity>0</DocSecurity>
  <Lines>8838</Lines>
  <Paragraphs>4563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Draft SWD</dc:description>
  <cp:lastModifiedBy>WES PDFC Administrator</cp:lastModifiedBy>
  <cp:revision>23</cp:revision>
  <cp:lastPrinted>2015-08-28T07:32:00Z</cp:lastPrinted>
  <dcterms:created xsi:type="dcterms:W3CDTF">2019-07-22T15:16:00Z</dcterms:created>
  <dcterms:modified xsi:type="dcterms:W3CDTF">2019-09-13T08:01:00Z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CP-025</vt:lpwstr>
  </property>
  <property fmtid="{D5CDD505-2E9C-101B-9397-08002B2CF9AE}" pid="9" name="_LW_INVALIDATED__LW_INVALIDATED__LW_INVALIDATED__LW_INVALIDATED__LW_INVALIDATED_ContentTypeId">
    <vt:lpwstr>0x010100258AA79CEB83498886A3A08681123250002A50989E4088EA419C817BD87C104EB4</vt:lpwstr>
  </property>
</Properties>
</file>