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alt="5C07D88D-9982-4259-9319-1165DFF7C016" style="width:450.75pt;height:321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Heading1"/>
        <w:rPr>
          <w:noProof/>
          <w:sz w:val="28"/>
          <w:szCs w:val="28"/>
        </w:rPr>
      </w:pPr>
      <w:bookmarkStart w:id="1" w:name="_Toc472077562"/>
      <w:bookmarkStart w:id="2" w:name="_Toc10472509"/>
      <w:bookmarkStart w:id="3" w:name="_Toc14256969"/>
      <w:bookmarkStart w:id="4" w:name="_GoBack"/>
      <w:bookmarkEnd w:id="4"/>
      <w:r>
        <w:rPr>
          <w:noProof/>
          <w:sz w:val="28"/>
        </w:rPr>
        <w:lastRenderedPageBreak/>
        <w:t>Въведение</w:t>
      </w:r>
      <w:bookmarkEnd w:id="1"/>
      <w:bookmarkEnd w:id="2"/>
      <w:bookmarkEnd w:id="3"/>
    </w:p>
    <w:p>
      <w:pPr>
        <w:rPr>
          <w:noProof/>
        </w:rPr>
      </w:pPr>
    </w:p>
    <w:p>
      <w:pPr>
        <w:spacing w:line="360" w:lineRule="auto"/>
        <w:jc w:val="both"/>
        <w:rPr>
          <w:rFonts w:cs="Times New Roman"/>
          <w:noProof/>
        </w:rPr>
      </w:pPr>
      <w:r>
        <w:rPr>
          <w:noProof/>
        </w:rPr>
        <w:t>В настоящия доклад е представено изпълнението на годишната работна програма за 2016 г. (ГРП за 2016 г.) в рамките на третата здравна програма (2014—2020 г.), създадена с Регламент (ЕС) № 282/2014 на Европейския парламент и на Съвета от 11 март 2014 г.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spacing w:line="360" w:lineRule="auto"/>
        <w:jc w:val="both"/>
        <w:rPr>
          <w:noProof/>
        </w:rPr>
      </w:pPr>
      <w:r>
        <w:rPr>
          <w:noProof/>
        </w:rPr>
        <w:t>Съгласно член 13, параграф 1 от регламента Комисията трябва да представя на комитета по здравната програма доклади за изпълнението на всички действия, финансирани по линия на програмата, и да информира Европейския парламент и Съвета. В настоящия доклад се предоставя подробна информация за бюджета за 2016 г. и за неговото използванe.</w:t>
      </w:r>
    </w:p>
    <w:p>
      <w:pPr>
        <w:spacing w:line="360" w:lineRule="auto"/>
        <w:jc w:val="both"/>
        <w:rPr>
          <w:noProof/>
        </w:rPr>
      </w:pPr>
      <w:r>
        <w:rPr>
          <w:noProof/>
        </w:rPr>
        <w:t>В работния документ на службите на Комисията, приложен към настоящия доклад, са изложени примери за основни дейности, съфинансирани по линия на втората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и третата здравна програма, окончателните резултати от които станаха известни през 2016 г. Той обхваща действия по основните теми (като редките заболявания и европейските референтни мрежи, координацията на грижите, регистрите, здравната сигурност — особено в контекста на епидемията от ебола и употребата на тютюн), които са включени в последователни решения за финансиране. В него се съдържа и таблица с подробен преглед на всички съфинансирани дейности и договори.</w:t>
      </w:r>
    </w:p>
    <w:p>
      <w:pPr>
        <w:spacing w:line="360" w:lineRule="auto"/>
        <w:jc w:val="both"/>
        <w:rPr>
          <w:rFonts w:eastAsia="Times New Roman" w:cs="Times New Roman"/>
          <w:noProof/>
        </w:rPr>
      </w:pPr>
      <w:r>
        <w:rPr>
          <w:noProof/>
        </w:rPr>
        <w:t>ГРП за 2016 г. беше съсредоточена върху създаването и подкрепата на европейските референтни мрежи</w:t>
      </w:r>
      <w:r>
        <w:rPr>
          <w:rStyle w:val="FootnoteReference"/>
          <w:noProof/>
        </w:rPr>
        <w:footnoteReference w:id="3"/>
      </w:r>
      <w:r>
        <w:rPr>
          <w:noProof/>
        </w:rPr>
        <w:t>, създадени съгласно Директива 2011/24/ЕС за упражняване на правата на пациентите при трансгранично здравно обслужване</w:t>
      </w:r>
      <w:r>
        <w:rPr>
          <w:rStyle w:val="FootnoteReference"/>
          <w:noProof/>
        </w:rPr>
        <w:footnoteReference w:id="4"/>
      </w:r>
      <w:r>
        <w:rPr>
          <w:noProof/>
        </w:rPr>
        <w:t>. Европейските референтни мрежи представляват виртуални мрежи на доставчиците на здравно обслужване в ЕС за справяне със сложни или редки заболявания и състояния.</w:t>
      </w:r>
    </w:p>
    <w:p>
      <w:pPr>
        <w:spacing w:line="360" w:lineRule="auto"/>
        <w:jc w:val="both"/>
        <w:rPr>
          <w:noProof/>
        </w:rPr>
      </w:pPr>
      <w:r>
        <w:rPr>
          <w:noProof/>
        </w:rPr>
        <w:t>ГРП за 2016 г. беше съсредоточена също така върху цел 1 — „Промоция на здравето, профилактика на болестите и създаване на среда, благоприятстваща здравословен начин на живот, при отчитане на принципа „здраве във всички политики“, като приоритетните теми се отнасят до ключови фактори в начина на живот (алкохол, тютюн, наркотици), профилактика и управление на хронични заболявания и въпроси, свързани със здравеопазването, засягащи здравето на мигрантите и бежанците.</w:t>
      </w:r>
    </w:p>
    <w:p>
      <w:pPr>
        <w:spacing w:line="360" w:lineRule="auto"/>
        <w:jc w:val="both"/>
        <w:rPr>
          <w:rFonts w:eastAsia="Times New Roman" w:cs="Times New Roman"/>
          <w:noProof/>
        </w:rPr>
      </w:pPr>
      <w:r>
        <w:rPr>
          <w:noProof/>
        </w:rPr>
        <w:t>Комисията следи внимателно изпълнението на третата здравна програма и гарантира, че резултатите от нея се популяризират по-широко. Тя също така насърчава всички държави членки и държави извън ЕС, които допринасят за програмата, да участват в нейните действия и да създават връзки с други подходящи програми на ЕС за финансиране, като например „Хоризонт 2020“.</w:t>
      </w:r>
      <w:r>
        <w:rPr>
          <w:noProof/>
        </w:rPr>
        <w:br w:type="page"/>
      </w:r>
    </w:p>
    <w:bookmarkStart w:id="5" w:name="_Toc472077563" w:displacedByCustomXml="next"/>
    <w:sdt>
      <w:sdtPr>
        <w:rPr>
          <w:rFonts w:eastAsiaTheme="minorHAnsi" w:cstheme="minorBidi"/>
          <w:b w:val="0"/>
          <w:noProof/>
          <w:sz w:val="22"/>
          <w:szCs w:val="22"/>
        </w:rPr>
        <w:id w:val="4676546"/>
        <w:docPartObj>
          <w:docPartGallery w:val="Table of Contents"/>
          <w:docPartUnique/>
        </w:docPartObj>
      </w:sdtPr>
      <w:sdtContent>
        <w:p>
          <w:pPr>
            <w:pStyle w:val="TOCHeading"/>
            <w:rPr>
              <w:noProof/>
            </w:rPr>
          </w:pPr>
          <w:r>
            <w:rPr>
              <w:noProof/>
            </w:rPr>
            <w:t>СЪДЪРЖАНИЕ</w:t>
          </w:r>
        </w:p>
        <w:p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 w:eastAsia="en-GB" w:bidi="ar-SA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TOC \o "1-3" \h \z \u </w:instrText>
          </w:r>
          <w:r>
            <w:rPr>
              <w:sz w:val="22"/>
              <w:szCs w:val="22"/>
            </w:rPr>
            <w:fldChar w:fldCharType="separate"/>
          </w:r>
          <w:hyperlink w:anchor="_Toc14256969" w:history="1">
            <w:r>
              <w:rPr>
                <w:rStyle w:val="Hyperlink"/>
              </w:rPr>
              <w:t>Въведение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_Toc14256969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 w:eastAsia="en-GB" w:bidi="ar-SA"/>
            </w:rPr>
          </w:pPr>
          <w:hyperlink w:anchor="_Toc14256970" w:history="1">
            <w:r>
              <w:rPr>
                <w:rStyle w:val="Hyperlink"/>
              </w:rPr>
              <w:t>Основни теми за 2016 г.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_Toc14256970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 w:eastAsia="en-GB" w:bidi="ar-SA"/>
            </w:rPr>
          </w:pPr>
          <w:hyperlink w:anchor="_Toc14256971" w:history="1">
            <w:r>
              <w:rPr>
                <w:rStyle w:val="Hyperlink"/>
              </w:rPr>
              <w:t>Изпълнение на здравната програма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_Toc14256971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 w:bidi="ar-SA"/>
            </w:rPr>
          </w:pPr>
          <w:hyperlink w:anchor="_Toc14256972" w:history="1">
            <w:r>
              <w:rPr>
                <w:rStyle w:val="Hyperlink"/>
              </w:rPr>
              <w:t>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 w:bidi="ar-SA"/>
              </w:rPr>
              <w:tab/>
            </w:r>
            <w:r>
              <w:rPr>
                <w:rStyle w:val="Hyperlink"/>
              </w:rPr>
              <w:t>Бюджет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_Toc14256972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 w:bidi="ar-SA"/>
            </w:rPr>
          </w:pPr>
          <w:hyperlink w:anchor="_Toc14256973" w:history="1">
            <w:r>
              <w:rPr>
                <w:rStyle w:val="Hyperlink"/>
              </w:rPr>
              <w:t>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 w:bidi="ar-SA"/>
              </w:rPr>
              <w:tab/>
            </w:r>
            <w:r>
              <w:rPr>
                <w:rStyle w:val="Hyperlink"/>
              </w:rPr>
              <w:t>Приоритети и механизми за финансиране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_Toc14256973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 w:bidi="ar-SA"/>
            </w:rPr>
          </w:pPr>
          <w:hyperlink w:anchor="_Toc14256974" w:history="1">
            <w:r>
              <w:rPr>
                <w:rStyle w:val="Hyperlink"/>
              </w:rPr>
              <w:t>3.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 w:bidi="ar-SA"/>
              </w:rPr>
              <w:tab/>
            </w:r>
            <w:r>
              <w:rPr>
                <w:rStyle w:val="Hyperlink"/>
              </w:rPr>
              <w:t>Изпълнение по механизми за финансиране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_Toc14256974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GB" w:eastAsia="en-GB" w:bidi="ar-SA"/>
            </w:rPr>
          </w:pPr>
          <w:hyperlink w:anchor="_Toc14256975" w:history="1">
            <w:r>
              <w:rPr>
                <w:rStyle w:val="Hyperlink"/>
              </w:rPr>
              <w:t>4.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 w:bidi="ar-SA"/>
              </w:rPr>
              <w:tab/>
            </w:r>
            <w:r>
              <w:rPr>
                <w:rStyle w:val="Hyperlink"/>
              </w:rPr>
              <w:t>Бенефициери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_Toc14256975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GB" w:eastAsia="en-GB" w:bidi="ar-SA"/>
            </w:rPr>
          </w:pPr>
          <w:hyperlink w:anchor="_Toc14256976" w:history="1">
            <w:r>
              <w:rPr>
                <w:rStyle w:val="Hyperlink"/>
              </w:rPr>
              <w:t>Подобрения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_Toc14256976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end"/>
          </w:r>
        </w:p>
      </w:sdtContent>
    </w:sdt>
    <w:p>
      <w:pPr>
        <w:rPr>
          <w:rFonts w:eastAsia="Times New Roman" w:cs="Times New Roman"/>
          <w:b/>
          <w:bCs/>
          <w:smallCaps/>
          <w:noProof/>
          <w:sz w:val="32"/>
          <w:szCs w:val="24"/>
        </w:rPr>
      </w:pPr>
      <w:r>
        <w:rPr>
          <w:noProof/>
        </w:rPr>
        <w:br w:type="page"/>
      </w:r>
    </w:p>
    <w:p>
      <w:pPr>
        <w:pStyle w:val="Heading1"/>
        <w:rPr>
          <w:noProof/>
          <w:sz w:val="28"/>
        </w:rPr>
      </w:pPr>
      <w:bookmarkStart w:id="6" w:name="_Toc10472510"/>
      <w:bookmarkStart w:id="7" w:name="_Toc14256970"/>
      <w:r>
        <w:rPr>
          <w:noProof/>
          <w:sz w:val="28"/>
        </w:rPr>
        <w:t>Основни теми за 2016 г.</w:t>
      </w:r>
      <w:bookmarkEnd w:id="6"/>
      <w:bookmarkEnd w:id="7"/>
    </w:p>
    <w:bookmarkEnd w:id="5"/>
    <w:p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noProof/>
          <w:color w:val="000000"/>
        </w:rPr>
      </w:pPr>
    </w:p>
    <w:p>
      <w:pPr>
        <w:spacing w:before="240" w:line="360" w:lineRule="auto"/>
        <w:jc w:val="both"/>
        <w:rPr>
          <w:rFonts w:cs="Times New Roman"/>
          <w:noProof/>
        </w:rPr>
      </w:pPr>
      <w:r>
        <w:rPr>
          <w:noProof/>
        </w:rPr>
        <w:t>Целта на ГРП за 2016 г. е да допринесе за приоритетите на Комисията в областта на здравеопазването, както е посочено в политическите насоки на председателя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и писмото относно мандата на члена на Комисията, отговарящ за здравеопазването и безопасността на храните</w:t>
      </w:r>
      <w:r>
        <w:rPr>
          <w:rStyle w:val="FootnoteReference"/>
          <w:noProof/>
        </w:rPr>
        <w:footnoteReference w:id="6"/>
      </w:r>
      <w:r>
        <w:rPr>
          <w:noProof/>
        </w:rPr>
        <w:t>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i/>
          <w:noProof/>
          <w:color w:val="000000"/>
        </w:rPr>
      </w:pPr>
      <w:r>
        <w:rPr>
          <w:i/>
          <w:noProof/>
          <w:color w:val="000000"/>
        </w:rPr>
        <w:t>Европейски референтни мрежи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noProof/>
          <w:color w:val="000000"/>
        </w:rPr>
      </w:pPr>
      <w:r>
        <w:rPr>
          <w:noProof/>
          <w:color w:val="000000"/>
        </w:rPr>
        <w:t xml:space="preserve">Приоритетната здравна инициатива в ГРП за 2016 г. беше създаването на </w:t>
      </w:r>
      <w:r>
        <w:rPr>
          <w:b/>
          <w:noProof/>
          <w:color w:val="000000"/>
        </w:rPr>
        <w:t>Европейски референтни мрежи</w:t>
      </w:r>
      <w:r>
        <w:rPr>
          <w:noProof/>
          <w:color w:val="000000"/>
        </w:rPr>
        <w:t xml:space="preserve"> (ЕРМ) в съответствие със: а) Директива 2011/24/ЕС на Европейския парламент и на Съвета от 9 март 2011 г. за упражняване на правата на пациентите при трансгранично здравно обслужване</w:t>
      </w:r>
      <w:r>
        <w:rPr>
          <w:rStyle w:val="FootnoteReference"/>
          <w:noProof/>
          <w:color w:val="000000"/>
        </w:rPr>
        <w:footnoteReference w:id="7"/>
      </w:r>
      <w:r>
        <w:rPr>
          <w:noProof/>
          <w:color w:val="000000"/>
        </w:rPr>
        <w:t xml:space="preserve"> и б) политиката на ЕС относно редките заболявания.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noProof/>
          <w:color w:val="000000"/>
        </w:rPr>
      </w:pPr>
      <w:r>
        <w:rPr>
          <w:noProof/>
          <w:color w:val="000000"/>
        </w:rPr>
        <w:t>ЕРМ представляват виртуални мрежи, в които участват повече от 900 доставчици на здравно обслужване в ЕС. Те са създадени с цел разрешаване на проблеми, свързани със сложни или редки заболявания и състояния, които налагат високоспециализирано лечение и концентрация на познания и ресурси.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noProof/>
          <w:color w:val="000000"/>
        </w:rPr>
      </w:pPr>
      <w:r>
        <w:rPr>
          <w:noProof/>
          <w:color w:val="000000"/>
        </w:rPr>
        <w:t>През 2016 г. бяха използвани няколко мерки за финансиране в подкрепа на ЕРМ, възлизащи на повече от 8 милиона EUR (8 012 343,47 EUR). Тези мерки включват:</w:t>
      </w:r>
    </w:p>
    <w:p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color w:val="000000"/>
        </w:rPr>
        <w:t>покана за представяне на предложения за ЕРМ, както е предвидено в член 2 от Решение за изпълнение 2014/287/ЕС</w:t>
      </w:r>
      <w:r>
        <w:rPr>
          <w:rStyle w:val="FootnoteReference"/>
          <w:rFonts w:ascii="Times New Roman" w:hAnsi="Times New Roman"/>
          <w:noProof/>
          <w:color w:val="000000"/>
        </w:rPr>
        <w:footnoteReference w:id="8"/>
      </w:r>
      <w:r>
        <w:rPr>
          <w:rFonts w:ascii="Times New Roman" w:hAnsi="Times New Roman"/>
          <w:noProof/>
          <w:color w:val="000000"/>
        </w:rPr>
        <w:t>, последвана от одобрение на отделните доставчици на здравно обслужване и мрежите като цяло чрез съответно решение на Съвета на държавите членки, както е определено в член 5 от решението;</w:t>
      </w:r>
    </w:p>
    <w:p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color w:val="000000"/>
        </w:rPr>
        <w:t>искания за предоставяне на услуги за независимите оценяващи органи за оценка на кандидатстващите ЕРМ в съответствие с критериите, определени в Делегирано решение 2014/286/ЕС (1 646 638,27 EUR)</w:t>
      </w:r>
      <w:r>
        <w:rPr>
          <w:rStyle w:val="FootnoteReference"/>
          <w:rFonts w:ascii="Times New Roman" w:hAnsi="Times New Roman"/>
          <w:noProof/>
          <w:color w:val="000000"/>
        </w:rPr>
        <w:footnoteReference w:id="9"/>
      </w:r>
      <w:r>
        <w:rPr>
          <w:rFonts w:ascii="Times New Roman" w:hAnsi="Times New Roman"/>
          <w:noProof/>
          <w:color w:val="000000"/>
        </w:rPr>
        <w:t>;</w:t>
      </w:r>
    </w:p>
    <w:p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покана за финансиране на разходите за координация на одобрените мрежи (4 386 344,15 EUR); както и</w:t>
      </w:r>
    </w:p>
    <w:p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покана в подкрепа на регистрите на пациенти с редки заболявания за ЕРМ (1 979 361,05 EUR).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noProof/>
          <w:color w:val="000000"/>
        </w:rPr>
      </w:pPr>
    </w:p>
    <w:p>
      <w:pPr>
        <w:widowControl w:val="0"/>
        <w:spacing w:before="120" w:after="120" w:line="360" w:lineRule="auto"/>
        <w:jc w:val="both"/>
        <w:rPr>
          <w:rFonts w:eastAsia="Times New Roman" w:cs="Times New Roman"/>
          <w:noProof/>
          <w:u w:val="single"/>
        </w:rPr>
      </w:pPr>
      <w:r>
        <w:rPr>
          <w:noProof/>
          <w:u w:val="single"/>
        </w:rPr>
        <w:t>Контекст</w:t>
      </w:r>
    </w:p>
    <w:p>
      <w:pPr>
        <w:widowControl w:val="0"/>
        <w:spacing w:before="120" w:after="120" w:line="360" w:lineRule="auto"/>
        <w:jc w:val="both"/>
        <w:rPr>
          <w:rFonts w:eastAsia="Arial" w:cs="Times New Roman"/>
          <w:noProof/>
        </w:rPr>
      </w:pPr>
      <w:r>
        <w:rPr>
          <w:noProof/>
        </w:rPr>
        <w:t>В член 12, параграф 1 от Директива 2011/24/ЕС се изисква Европейската комисия да подкрепя държавите членки при развитието на ЕРМ</w:t>
      </w:r>
      <w:r>
        <w:rPr>
          <w:rStyle w:val="FootnoteReference"/>
          <w:noProof/>
        </w:rPr>
        <w:footnoteReference w:id="10"/>
      </w:r>
      <w:r>
        <w:rPr>
          <w:noProof/>
        </w:rPr>
        <w:t>. С Решение за изпълнение на Комисията 2014/287/ЕС се определят процесът и критериите за целия жизнен цикъл на мрежите от поканата за представяне на предложения до оценката, одобрението, установяването и оценката на ЕРМ. Изпълнителната агенция за потребителите, здравеопазването, селското стопанство и храните (Chafea) подкрепи Комисията във всички тези стъпки, например чрез:</w:t>
      </w:r>
    </w:p>
    <w:p>
      <w:pPr>
        <w:pStyle w:val="ListParagraph"/>
        <w:widowControl w:val="0"/>
        <w:numPr>
          <w:ilvl w:val="0"/>
          <w:numId w:val="56"/>
        </w:numPr>
        <w:spacing w:before="120" w:after="120" w:line="360" w:lineRule="auto"/>
        <w:ind w:left="426" w:hanging="357"/>
        <w:contextualSpacing w:val="0"/>
        <w:jc w:val="both"/>
        <w:rPr>
          <w:rFonts w:ascii="Times New Roman" w:eastAsia="Arial" w:hAnsi="Times New Roman"/>
          <w:noProof/>
        </w:rPr>
      </w:pPr>
      <w:r>
        <w:rPr>
          <w:rFonts w:ascii="Times New Roman" w:hAnsi="Times New Roman"/>
          <w:noProof/>
        </w:rPr>
        <w:t>управление на поканата за мрежи;</w:t>
      </w:r>
    </w:p>
    <w:p>
      <w:pPr>
        <w:pStyle w:val="ListParagraph"/>
        <w:widowControl w:val="0"/>
        <w:numPr>
          <w:ilvl w:val="0"/>
          <w:numId w:val="56"/>
        </w:numPr>
        <w:spacing w:before="120" w:after="120" w:line="360" w:lineRule="auto"/>
        <w:ind w:left="426" w:hanging="357"/>
        <w:contextualSpacing w:val="0"/>
        <w:jc w:val="both"/>
        <w:rPr>
          <w:rFonts w:ascii="Times New Roman" w:eastAsia="Arial" w:hAnsi="Times New Roman"/>
          <w:noProof/>
        </w:rPr>
      </w:pPr>
      <w:r>
        <w:rPr>
          <w:rFonts w:ascii="Times New Roman" w:hAnsi="Times New Roman"/>
          <w:noProof/>
        </w:rPr>
        <w:t>осигуряване на оценка на всички кандидатстващи мрежи; както и</w:t>
      </w:r>
    </w:p>
    <w:p>
      <w:pPr>
        <w:pStyle w:val="ListParagraph"/>
        <w:widowControl w:val="0"/>
        <w:numPr>
          <w:ilvl w:val="0"/>
          <w:numId w:val="56"/>
        </w:numPr>
        <w:spacing w:before="120" w:after="120" w:line="360" w:lineRule="auto"/>
        <w:ind w:left="426" w:hanging="357"/>
        <w:contextualSpacing w:val="0"/>
        <w:jc w:val="both"/>
        <w:rPr>
          <w:rFonts w:ascii="Times New Roman" w:eastAsia="Arial" w:hAnsi="Times New Roman"/>
          <w:noProof/>
        </w:rPr>
      </w:pPr>
      <w:r>
        <w:rPr>
          <w:rFonts w:ascii="Times New Roman" w:hAnsi="Times New Roman"/>
          <w:noProof/>
        </w:rPr>
        <w:t>насочване на съфинансирането от ЕС в подкрепа на разходите за координация на одобрените мрежи за 5 години (2017—2021 г.).</w:t>
      </w:r>
    </w:p>
    <w:p>
      <w:pPr>
        <w:pStyle w:val="Default"/>
        <w:keepNext/>
        <w:spacing w:before="120" w:after="120" w:line="360" w:lineRule="auto"/>
        <w:jc w:val="both"/>
        <w:rPr>
          <w:rFonts w:eastAsiaTheme="minorHAnsi"/>
          <w:noProof/>
          <w:sz w:val="22"/>
          <w:szCs w:val="22"/>
          <w:u w:val="single"/>
        </w:rPr>
      </w:pPr>
      <w:r>
        <w:rPr>
          <w:rFonts w:eastAsiaTheme="minorHAnsi"/>
          <w:noProof/>
          <w:sz w:val="22"/>
          <w:u w:val="single"/>
        </w:rPr>
        <w:t>Цел</w:t>
      </w:r>
    </w:p>
    <w:p>
      <w:pPr>
        <w:pStyle w:val="NormalWeb"/>
        <w:shd w:val="clear" w:color="auto" w:fill="FFFFFF"/>
        <w:spacing w:before="120" w:after="120" w:line="360" w:lineRule="auto"/>
        <w:jc w:val="both"/>
        <w:rPr>
          <w:rFonts w:eastAsiaTheme="minorHAnsi"/>
          <w:noProof/>
          <w:color w:val="000000"/>
          <w:sz w:val="22"/>
          <w:szCs w:val="22"/>
        </w:rPr>
      </w:pPr>
      <w:r>
        <w:rPr>
          <w:rFonts w:eastAsiaTheme="minorHAnsi"/>
          <w:noProof/>
          <w:color w:val="000000"/>
          <w:sz w:val="22"/>
        </w:rPr>
        <w:t>ЕРМ</w:t>
      </w:r>
      <w:r>
        <w:rPr>
          <w:noProof/>
          <w:sz w:val="22"/>
        </w:rPr>
        <w:t xml:space="preserve"> </w:t>
      </w:r>
      <w:r>
        <w:rPr>
          <w:rFonts w:eastAsiaTheme="minorHAnsi"/>
          <w:noProof/>
          <w:color w:val="000000"/>
          <w:sz w:val="22"/>
        </w:rPr>
        <w:t>имат за цел да предложат на хората в ЕС достъп до най-добрия опит и често до животоспасяващи познания, без да се налага да пътуват до друга държава.</w:t>
      </w:r>
    </w:p>
    <w:p>
      <w:pPr>
        <w:pStyle w:val="NormalWeb"/>
        <w:shd w:val="clear" w:color="auto" w:fill="FFFFFF"/>
        <w:spacing w:after="0" w:line="360" w:lineRule="auto"/>
        <w:jc w:val="both"/>
        <w:rPr>
          <w:rFonts w:eastAsiaTheme="minorHAnsi"/>
          <w:noProof/>
          <w:color w:val="000000"/>
          <w:sz w:val="22"/>
          <w:szCs w:val="22"/>
          <w:u w:val="single"/>
        </w:rPr>
      </w:pPr>
      <w:r>
        <w:rPr>
          <w:rFonts w:eastAsiaTheme="minorHAnsi"/>
          <w:noProof/>
          <w:color w:val="000000"/>
          <w:sz w:val="22"/>
          <w:u w:val="single"/>
        </w:rPr>
        <w:t>Средства</w:t>
      </w:r>
    </w:p>
    <w:p>
      <w:pPr>
        <w:pStyle w:val="NormalWeb"/>
        <w:shd w:val="clear" w:color="auto" w:fill="FFFFFF"/>
        <w:spacing w:after="0" w:line="360" w:lineRule="auto"/>
        <w:jc w:val="both"/>
        <w:rPr>
          <w:rFonts w:eastAsiaTheme="minorHAnsi"/>
          <w:noProof/>
          <w:color w:val="000000"/>
          <w:sz w:val="22"/>
          <w:szCs w:val="22"/>
        </w:rPr>
      </w:pPr>
      <w:r>
        <w:rPr>
          <w:rFonts w:eastAsiaTheme="minorHAnsi"/>
          <w:noProof/>
          <w:color w:val="000000"/>
          <w:sz w:val="22"/>
        </w:rPr>
        <w:t>В подкрепа на устойчивостта на ЕРМ беше решено да се отпускат безвъзмездни средства за дългосрочно сътрудничество чрез рамкови споразумения за партньорство (РСП) между Chafea и бенефициерите. След това годишното съфинансиране се осигурява чрез подписване на специфични споразумения за безвъзмездни средства, които покриват разходите за научна и техническа координация на мрежите. Към юни 2017 г. всички 23 ЕРМ са подписали РСП и два кръга от годишните специфични споразумения за безвъзмездни средства</w:t>
      </w:r>
      <w:r>
        <w:rPr>
          <w:rStyle w:val="FootnoteReference"/>
          <w:rFonts w:eastAsiaTheme="minorHAnsi"/>
          <w:noProof/>
          <w:color w:val="000000"/>
          <w:sz w:val="22"/>
        </w:rPr>
        <w:footnoteReference w:id="11"/>
      </w:r>
      <w:r>
        <w:rPr>
          <w:rFonts w:eastAsiaTheme="minorHAnsi"/>
          <w:noProof/>
          <w:color w:val="000000"/>
          <w:sz w:val="22"/>
        </w:rPr>
        <w:t>.</w:t>
      </w:r>
    </w:p>
    <w:p>
      <w:pPr>
        <w:pStyle w:val="NormalWeb"/>
        <w:shd w:val="clear" w:color="auto" w:fill="FFFFFF"/>
        <w:spacing w:after="0" w:line="360" w:lineRule="auto"/>
        <w:jc w:val="both"/>
        <w:rPr>
          <w:rFonts w:eastAsiaTheme="minorHAnsi"/>
          <w:noProof/>
          <w:color w:val="000000"/>
          <w:sz w:val="22"/>
          <w:szCs w:val="22"/>
        </w:rPr>
      </w:pPr>
    </w:p>
    <w:p>
      <w:pPr>
        <w:pStyle w:val="NormalWeb"/>
        <w:shd w:val="clear" w:color="auto" w:fill="FFFFFF"/>
        <w:spacing w:after="0" w:line="360" w:lineRule="auto"/>
        <w:jc w:val="both"/>
        <w:rPr>
          <w:rFonts w:eastAsia="Times New Roman"/>
          <w:i/>
          <w:noProof/>
          <w:sz w:val="22"/>
          <w:szCs w:val="22"/>
        </w:rPr>
      </w:pPr>
      <w:r>
        <w:rPr>
          <w:i/>
          <w:noProof/>
          <w:sz w:val="22"/>
        </w:rPr>
        <w:t>Промоция на здравето и профилактика на болестите</w:t>
      </w:r>
    </w:p>
    <w:p>
      <w:pPr>
        <w:pStyle w:val="NormalWeb"/>
        <w:shd w:val="clear" w:color="auto" w:fill="FFFFFF"/>
        <w:spacing w:after="0" w:line="360" w:lineRule="auto"/>
        <w:jc w:val="both"/>
        <w:rPr>
          <w:rFonts w:eastAsia="Times New Roman"/>
          <w:noProof/>
          <w:sz w:val="22"/>
          <w:szCs w:val="22"/>
        </w:rPr>
      </w:pPr>
      <w:r>
        <w:rPr>
          <w:noProof/>
          <w:sz w:val="22"/>
        </w:rPr>
        <w:t xml:space="preserve">В допълнение към основния приоритет през годината с няколко действия бяха подкрепени </w:t>
      </w:r>
      <w:r>
        <w:rPr>
          <w:b/>
          <w:noProof/>
          <w:sz w:val="22"/>
        </w:rPr>
        <w:t>промоцията на здравето и профилактиката на болестите</w:t>
      </w:r>
      <w:r>
        <w:rPr>
          <w:noProof/>
          <w:sz w:val="22"/>
        </w:rPr>
        <w:t>, по-специално чрез съсредоточаване върху най-добрите практики по отношение на уязвимите групи мигранти и бежанци.</w:t>
      </w:r>
    </w:p>
    <w:p>
      <w:pPr>
        <w:pStyle w:val="NormalWeb"/>
        <w:shd w:val="clear" w:color="auto" w:fill="FFFFFF"/>
        <w:spacing w:after="0" w:line="360" w:lineRule="auto"/>
        <w:jc w:val="both"/>
        <w:rPr>
          <w:rFonts w:eastAsia="Times New Roman"/>
          <w:noProof/>
          <w:sz w:val="22"/>
          <w:szCs w:val="22"/>
        </w:rPr>
      </w:pPr>
    </w:p>
    <w:p>
      <w:pPr>
        <w:pStyle w:val="NormalWeb"/>
        <w:shd w:val="clear" w:color="auto" w:fill="FFFFFF"/>
        <w:spacing w:after="0" w:line="360" w:lineRule="auto"/>
        <w:jc w:val="both"/>
        <w:rPr>
          <w:rFonts w:eastAsia="Times New Roman"/>
          <w:noProof/>
          <w:sz w:val="22"/>
          <w:szCs w:val="22"/>
          <w:u w:val="single"/>
        </w:rPr>
      </w:pPr>
      <w:r>
        <w:rPr>
          <w:noProof/>
          <w:sz w:val="22"/>
          <w:u w:val="single"/>
        </w:rPr>
        <w:t>Контекст</w:t>
      </w:r>
    </w:p>
    <w:p>
      <w:pPr>
        <w:pStyle w:val="NormalWeb"/>
        <w:shd w:val="clear" w:color="auto" w:fill="FFFFFF"/>
        <w:spacing w:after="0" w:line="360" w:lineRule="auto"/>
        <w:jc w:val="both"/>
        <w:rPr>
          <w:rFonts w:eastAsia="Times New Roman"/>
          <w:noProof/>
          <w:sz w:val="22"/>
          <w:szCs w:val="22"/>
        </w:rPr>
      </w:pPr>
      <w:r>
        <w:rPr>
          <w:noProof/>
          <w:sz w:val="22"/>
        </w:rPr>
        <w:t>Въз основа на финансовата подкрепа, предоставена в тази област по време на миграционната криза през 2015 г., в годишната работна програма за 2016 г. се насърчаваше устойчивостта чрез изграждане на капацитет и прилагане на най-добри практики в предоставянето на грижи за уязвимите мигранти и бежанци.</w:t>
      </w:r>
    </w:p>
    <w:p>
      <w:pPr>
        <w:pStyle w:val="NormalWeb"/>
        <w:shd w:val="clear" w:color="auto" w:fill="FFFFFF"/>
        <w:spacing w:after="0" w:line="360" w:lineRule="auto"/>
        <w:jc w:val="both"/>
        <w:rPr>
          <w:rFonts w:eastAsia="Times New Roman"/>
          <w:noProof/>
          <w:sz w:val="22"/>
          <w:szCs w:val="22"/>
        </w:rPr>
      </w:pPr>
    </w:p>
    <w:p>
      <w:pPr>
        <w:pStyle w:val="NormalWeb"/>
        <w:shd w:val="clear" w:color="auto" w:fill="FFFFFF"/>
        <w:spacing w:after="0" w:line="360" w:lineRule="auto"/>
        <w:jc w:val="both"/>
        <w:rPr>
          <w:rFonts w:eastAsia="Times New Roman"/>
          <w:noProof/>
          <w:sz w:val="22"/>
          <w:szCs w:val="22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noProof/>
          <w:color w:val="000000"/>
          <w:u w:val="single"/>
        </w:rPr>
      </w:pPr>
      <w:r>
        <w:rPr>
          <w:noProof/>
          <w:color w:val="000000"/>
          <w:u w:val="single"/>
        </w:rPr>
        <w:t>Цел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noProof/>
          <w:color w:val="000000"/>
        </w:rPr>
      </w:pPr>
      <w:r>
        <w:rPr>
          <w:noProof/>
          <w:color w:val="000000"/>
        </w:rPr>
        <w:t>Съфинансирането на ЕС в тази област има за цел да насърчи най-добрите практики в предоставянето на грижи за уязвимите мигранти и бежанци.</w:t>
      </w:r>
    </w:p>
    <w:p>
      <w:pPr>
        <w:pStyle w:val="NormalWeb"/>
        <w:shd w:val="clear" w:color="auto" w:fill="FFFFFF"/>
        <w:spacing w:after="0" w:line="360" w:lineRule="auto"/>
        <w:jc w:val="both"/>
        <w:rPr>
          <w:rFonts w:eastAsia="Times New Roman"/>
          <w:noProof/>
          <w:sz w:val="22"/>
          <w:szCs w:val="22"/>
          <w:u w:val="single"/>
        </w:rPr>
      </w:pPr>
      <w:r>
        <w:rPr>
          <w:noProof/>
          <w:sz w:val="22"/>
          <w:u w:val="single"/>
        </w:rPr>
        <w:t>Средства</w:t>
      </w:r>
    </w:p>
    <w:p>
      <w:pPr>
        <w:pStyle w:val="NormalWeb"/>
        <w:shd w:val="clear" w:color="auto" w:fill="FFFFFF"/>
        <w:spacing w:after="0" w:line="360" w:lineRule="auto"/>
        <w:jc w:val="both"/>
        <w:rPr>
          <w:rFonts w:eastAsia="Times New Roman"/>
          <w:noProof/>
          <w:sz w:val="22"/>
          <w:szCs w:val="22"/>
        </w:rPr>
      </w:pPr>
      <w:r>
        <w:rPr>
          <w:noProof/>
          <w:sz w:val="22"/>
        </w:rPr>
        <w:t>В тази обща рамка чрез ГРП за 2016 г. се съфинансират:</w:t>
      </w:r>
    </w:p>
    <w:p>
      <w:pPr>
        <w:pStyle w:val="NormalWeb"/>
        <w:numPr>
          <w:ilvl w:val="0"/>
          <w:numId w:val="60"/>
        </w:numPr>
        <w:shd w:val="clear" w:color="auto" w:fill="FFFFFF"/>
        <w:spacing w:after="0" w:line="360" w:lineRule="auto"/>
        <w:jc w:val="both"/>
        <w:rPr>
          <w:rFonts w:eastAsia="Times New Roman"/>
          <w:noProof/>
          <w:sz w:val="22"/>
          <w:szCs w:val="22"/>
        </w:rPr>
      </w:pPr>
      <w:r>
        <w:rPr>
          <w:noProof/>
          <w:sz w:val="22"/>
        </w:rPr>
        <w:t>три проекта относно здравето на мигрантите: Най-добри практики в предоставянето на грижи за уязвими мигранти и бежанци “(2 484 164,99 EUR);</w:t>
      </w:r>
    </w:p>
    <w:p>
      <w:pPr>
        <w:pStyle w:val="NormalWeb"/>
        <w:numPr>
          <w:ilvl w:val="0"/>
          <w:numId w:val="59"/>
        </w:numPr>
        <w:shd w:val="clear" w:color="auto" w:fill="FFFFFF"/>
        <w:spacing w:after="0" w:line="360" w:lineRule="auto"/>
        <w:jc w:val="both"/>
        <w:rPr>
          <w:rFonts w:eastAsia="Times New Roman"/>
          <w:noProof/>
          <w:sz w:val="22"/>
          <w:szCs w:val="22"/>
        </w:rPr>
      </w:pPr>
      <w:r>
        <w:rPr>
          <w:noProof/>
          <w:sz w:val="22"/>
        </w:rPr>
        <w:t>два търга за „Обучение на здравни специалисти за работа с мигранти и бежанци“ (4 107 214 EUR);</w:t>
      </w:r>
    </w:p>
    <w:p>
      <w:pPr>
        <w:pStyle w:val="NormalWeb"/>
        <w:numPr>
          <w:ilvl w:val="0"/>
          <w:numId w:val="59"/>
        </w:numPr>
        <w:shd w:val="clear" w:color="auto" w:fill="FFFFFF"/>
        <w:spacing w:after="0" w:line="360" w:lineRule="auto"/>
        <w:jc w:val="both"/>
        <w:rPr>
          <w:rFonts w:eastAsia="Times New Roman"/>
          <w:noProof/>
          <w:sz w:val="22"/>
          <w:szCs w:val="22"/>
        </w:rPr>
      </w:pPr>
      <w:r>
        <w:rPr>
          <w:noProof/>
          <w:sz w:val="22"/>
        </w:rPr>
        <w:t>споразумение за пряка безвъзмездна помощ със Световната здравна организация (СЗО), насочено към разработването и приемането на технически насоки с оглед подпомагане на достъпа на мигрантите до националните системи за здравеопазване (500 000 EUR); както и</w:t>
      </w:r>
    </w:p>
    <w:p>
      <w:pPr>
        <w:pStyle w:val="NormalWeb"/>
        <w:numPr>
          <w:ilvl w:val="0"/>
          <w:numId w:val="59"/>
        </w:numPr>
        <w:shd w:val="clear" w:color="auto" w:fill="FFFFFF"/>
        <w:spacing w:after="0" w:line="360" w:lineRule="auto"/>
        <w:jc w:val="both"/>
        <w:rPr>
          <w:rFonts w:eastAsia="Times New Roman"/>
          <w:noProof/>
          <w:sz w:val="22"/>
          <w:szCs w:val="22"/>
        </w:rPr>
      </w:pPr>
      <w:r>
        <w:rPr>
          <w:noProof/>
          <w:sz w:val="22"/>
        </w:rPr>
        <w:t>безвъзмездни средства за оперативни разходи за „Мрежата за уязвимост“ (326 808,00 EUR).</w:t>
      </w:r>
    </w:p>
    <w:p>
      <w:pPr>
        <w:pStyle w:val="NormalWeb"/>
        <w:shd w:val="clear" w:color="auto" w:fill="FFFFFF"/>
        <w:spacing w:after="0" w:line="360" w:lineRule="auto"/>
        <w:ind w:left="360"/>
        <w:jc w:val="both"/>
        <w:rPr>
          <w:rFonts w:eastAsia="Times New Roman"/>
          <w:noProof/>
          <w:sz w:val="22"/>
          <w:szCs w:val="22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noProof/>
        </w:rPr>
      </w:pPr>
      <w:r>
        <w:rPr>
          <w:noProof/>
        </w:rPr>
        <w:t xml:space="preserve">Трите проекта относно </w:t>
      </w:r>
      <w:r>
        <w:rPr>
          <w:b/>
          <w:noProof/>
        </w:rPr>
        <w:t>здравето на мигрантите</w:t>
      </w:r>
      <w:r>
        <w:rPr>
          <w:noProof/>
        </w:rPr>
        <w:t xml:space="preserve"> са:</w:t>
      </w:r>
    </w:p>
    <w:p>
      <w:pPr>
        <w:pStyle w:val="ListParagraph"/>
        <w:numPr>
          <w:ilvl w:val="0"/>
          <w:numId w:val="59"/>
        </w:numPr>
        <w:spacing w:line="360" w:lineRule="auto"/>
        <w:jc w:val="both"/>
        <w:rPr>
          <w:rFonts w:ascii="Times New Roman" w:eastAsiaTheme="minorHAnsi" w:hAnsi="Times New Roman" w:cstheme="minorBidi"/>
          <w:noProof/>
          <w:color w:val="000000"/>
        </w:rPr>
      </w:pPr>
      <w:r>
        <w:rPr>
          <w:rFonts w:ascii="Times New Roman" w:eastAsiaTheme="minorHAnsi" w:hAnsi="Times New Roman" w:cstheme="minorBidi"/>
          <w:noProof/>
          <w:color w:val="000000"/>
        </w:rPr>
        <w:t>MigHealthCare, в който 14 партньори от 10 държави членки (Австрия, България, Германия, Гърция, Испания, Италия, Кипър, Малта, Франция и Швеция) разработват и тестват пилотно цялостен набор от инструменти за прилагане на практика на модели за грижи в общността за уязвими мигранти и бежанци, включително предсказуеми модели, примери за най-добри практики, алгоритми и индивидуални здравни материали.</w:t>
      </w:r>
    </w:p>
    <w:p>
      <w:pPr>
        <w:pStyle w:val="ListParagraph"/>
        <w:numPr>
          <w:ilvl w:val="0"/>
          <w:numId w:val="59"/>
        </w:numPr>
        <w:spacing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MyHealth, в който 11 партньори от седем държави членки (Германия, Гърция, Ирландия, Испания, Италия, Обединеното кралство и Чешката република) разработват стратегии за здравна интервенция за психично здраве и заразни и незаразни болести. С проекта също така ще се създаде платформа, базирана на информационните и комуникационните технологии (ИКТ) (включително интерактивна карта на системите за здравеопазване в ЕС), която да подкрепи инструментите и приложенията за здравна информация както за пациентите, така и за здравните специалисти. </w:t>
      </w:r>
    </w:p>
    <w:p>
      <w:pPr>
        <w:pStyle w:val="ListParagraph"/>
        <w:numPr>
          <w:ilvl w:val="0"/>
          <w:numId w:val="59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ORAMMA, в който осем партньори от четири държави членки (Гърция, Нидерландия,Обединеното кралство и Швеция) насърчават безопасното майчинство и подобряват достъпа до здравни грижи за майките. С проекта за първи път се въвеждат и се оценяват интегрирани и икономически ефективни инициативи за безопасно майчинство, насочени към жени, изложени на особен риск. Той също така има за цел да се разшири прилагането на добрите практики в системите за здравеопазване в ЕС, за да се гарантира равнопоставеност между държавите членки.</w:t>
      </w:r>
    </w:p>
    <w:p>
      <w:pPr>
        <w:pStyle w:val="ListParagraph"/>
        <w:spacing w:after="0" w:line="360" w:lineRule="auto"/>
        <w:ind w:left="714"/>
        <w:contextualSpacing w:val="0"/>
        <w:jc w:val="both"/>
        <w:rPr>
          <w:rFonts w:ascii="Times New Roman" w:hAnsi="Times New Roman"/>
          <w:noProof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noProof/>
        </w:rPr>
      </w:pPr>
      <w:r>
        <w:rPr>
          <w:noProof/>
        </w:rPr>
        <w:t>С двата търга на тема „Обучение на здравни специалисти за работа с мигранти и бежанци“ (4 107 214 EUR) бе финансирано разработването на разширен пакет за обучение по психично здраве, откриване на посттравматичен стрес и скрининг за заразни болести при мигранти и бежанци, както и самите курсове за обучение в 10 европейски държави (България, Гърция, Испания, Италия, Малта, Норвегия, Словения, Сърбия, Франция и Хърватия).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noProof/>
        </w:rPr>
      </w:pPr>
      <w:r>
        <w:rPr>
          <w:noProof/>
        </w:rPr>
        <w:t>Проектът е насочен към здравни специалисти, служители на правоприлагащите органи и обучители на обучителите. Той следва да доведе до по-добро разбиране на потребностите на мигрантите, да повиши уменията на лицата, които участват в грижите за тях, и да окаже положително въздействие върху общественото здраве както в избраните държави, така и в ЕС като цяло.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noProof/>
        </w:rPr>
      </w:pPr>
      <w:r>
        <w:rPr>
          <w:noProof/>
        </w:rPr>
        <w:t>Споразумението за пряка безвъзмездна помощ със СЗО е насочено към изготвянето и приемането на технически насоки, включително контролни списъци, стандартни оперативни процедури (СОП), показатели за добри практики и справки по 6 приоритетни въпроса за здравето на мигрантите [психично здраве, промоция на здравето, незаразни болести, майка и новородено, здраве на децата (включително имунизация) и здраве на възрастните хора], с цел да се подпомогне достъпът на мигрантите до националните системи за здравеопазване.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noProof/>
        </w:rPr>
      </w:pPr>
      <w:r>
        <w:rPr>
          <w:noProof/>
        </w:rPr>
        <w:t>И накрая, ГРП за 2016 г. предостави финансова подкрепа на Европейската мрежа за намаляване на уязвимостта в здравеопазването</w:t>
      </w:r>
      <w:r>
        <w:rPr>
          <w:rStyle w:val="FootnoteReference"/>
          <w:noProof/>
        </w:rPr>
        <w:footnoteReference w:id="12"/>
      </w:r>
      <w:r>
        <w:rPr>
          <w:noProof/>
        </w:rPr>
        <w:t>. Тази мрежа изготви доклада на Обсерваторията за 2016 г. относно достъпа до здравеопазване за хората, изправени пред множество уязвимости в здравеопазването (който обхвана 31 града в 12 държави), и правния доклад за достъпа до здравеопазване за 2016 г. (който обхвана 17 държави).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noProof/>
        </w:rPr>
      </w:pPr>
    </w:p>
    <w:p>
      <w:pPr>
        <w:autoSpaceDE w:val="0"/>
        <w:autoSpaceDN w:val="0"/>
        <w:adjustRightInd w:val="0"/>
        <w:spacing w:after="100" w:afterAutospacing="1" w:line="360" w:lineRule="auto"/>
        <w:jc w:val="both"/>
        <w:rPr>
          <w:noProof/>
          <w:color w:val="000000"/>
        </w:rPr>
      </w:pPr>
      <w:r>
        <w:rPr>
          <w:noProof/>
          <w:color w:val="000000"/>
        </w:rPr>
        <w:t>В работния документ на службите на Комисията, придружаващ настоящия доклад, е представен подробен преглед на всички дейности, финансирани по ГПР за 2016 г.</w:t>
      </w:r>
    </w:p>
    <w:p>
      <w:pPr>
        <w:rPr>
          <w:noProof/>
          <w:color w:val="000000"/>
        </w:rPr>
      </w:pPr>
    </w:p>
    <w:p>
      <w:pPr>
        <w:pStyle w:val="Heading1"/>
        <w:rPr>
          <w:noProof/>
          <w:sz w:val="28"/>
          <w:szCs w:val="28"/>
        </w:rPr>
      </w:pPr>
      <w:bookmarkStart w:id="8" w:name="_Toc518922810"/>
      <w:bookmarkStart w:id="9" w:name="_Toc518984355"/>
      <w:bookmarkStart w:id="10" w:name="_DV_M234"/>
      <w:bookmarkStart w:id="11" w:name="_DV_M235"/>
      <w:bookmarkStart w:id="12" w:name="_DV_M236"/>
      <w:bookmarkStart w:id="13" w:name="_DV_M237"/>
      <w:bookmarkStart w:id="14" w:name="_DV_M238"/>
      <w:bookmarkStart w:id="15" w:name="_DV_M240"/>
      <w:bookmarkStart w:id="16" w:name="_Toc472077567"/>
      <w:bookmarkStart w:id="17" w:name="_Toc10472511"/>
      <w:bookmarkStart w:id="18" w:name="_Toc14256971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noProof/>
          <w:sz w:val="28"/>
        </w:rPr>
        <w:t xml:space="preserve">Изпълнение </w:t>
      </w:r>
      <w:bookmarkEnd w:id="16"/>
      <w:r>
        <w:rPr>
          <w:noProof/>
          <w:sz w:val="28"/>
        </w:rPr>
        <w:t>на здравната програма</w:t>
      </w:r>
      <w:bookmarkEnd w:id="17"/>
      <w:bookmarkEnd w:id="18"/>
    </w:p>
    <w:p>
      <w:pPr>
        <w:jc w:val="both"/>
        <w:rPr>
          <w:noProof/>
        </w:rPr>
      </w:pPr>
    </w:p>
    <w:p>
      <w:pPr>
        <w:pStyle w:val="ManualHeading2"/>
        <w:rPr>
          <w:noProof/>
        </w:rPr>
      </w:pPr>
      <w:bookmarkStart w:id="19" w:name="_Toc388355509"/>
      <w:bookmarkStart w:id="20" w:name="_Toc390420263"/>
      <w:bookmarkStart w:id="21" w:name="_Toc404756129"/>
      <w:bookmarkStart w:id="22" w:name="_Toc472077568"/>
      <w:bookmarkStart w:id="23" w:name="_Toc10472512"/>
      <w:bookmarkStart w:id="24" w:name="_Toc14256972"/>
      <w:r>
        <w:t>1.</w:t>
      </w:r>
      <w:r>
        <w:tab/>
      </w:r>
      <w:r>
        <w:rPr>
          <w:noProof/>
        </w:rPr>
        <w:t>Бюджет</w:t>
      </w:r>
      <w:bookmarkEnd w:id="19"/>
      <w:bookmarkEnd w:id="20"/>
      <w:bookmarkEnd w:id="21"/>
      <w:bookmarkEnd w:id="22"/>
      <w:bookmarkEnd w:id="23"/>
      <w:bookmarkEnd w:id="24"/>
    </w:p>
    <w:p>
      <w:pPr>
        <w:spacing w:line="360" w:lineRule="auto"/>
        <w:jc w:val="both"/>
        <w:rPr>
          <w:rFonts w:cs="Times New Roman"/>
          <w:noProof/>
        </w:rPr>
      </w:pPr>
      <w:r>
        <w:rPr>
          <w:noProof/>
        </w:rPr>
        <w:t>Общият бюджет на третата здравна програма (2014—2020 г.) възлиза на 449,4 млн. евро. В тази сума са включени 30 млн. евро за функционирането на Изпълнителната агенция за потребителите, здравеопазването, селското стопанство и храните (Сhafea), упълномощена от Комисията да управлява програмата. От 2005 г.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 насам Сhafea предоставя на Комисията техническа, научна и административна помощ при изпълнението на здравната програма. Тя организира ежегодни покани за представяне на предложения, координира оценяването на кандидатурите и договаря, подписва и управлява свързаните с тях споразумения за отпускане на безвъзмездни средства, както и разпространява резултатите от дейностите. Тя отговаря и за много процедури за възлагане на обществени поръчки.</w:t>
      </w:r>
    </w:p>
    <w:p>
      <w:pPr>
        <w:spacing w:line="360" w:lineRule="auto"/>
        <w:jc w:val="both"/>
        <w:rPr>
          <w:rFonts w:cs="Times New Roman"/>
          <w:noProof/>
        </w:rPr>
      </w:pPr>
      <w:r>
        <w:rPr>
          <w:noProof/>
        </w:rPr>
        <w:t>Бюджетът, заложен в работния план за ГРП за 2016 г.</w:t>
      </w:r>
      <w:r>
        <w:rPr>
          <w:rStyle w:val="FootnoteReference"/>
          <w:noProof/>
        </w:rPr>
        <w:footnoteReference w:id="14"/>
      </w:r>
      <w:r>
        <w:rPr>
          <w:noProof/>
        </w:rPr>
        <w:t>, беше в размер на 62 160 000 EUR, разпределени, както следва:</w:t>
      </w:r>
    </w:p>
    <w:p>
      <w:pPr>
        <w:pStyle w:val="ListParagraph"/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Оперативни разходи: 56 451 000 ЕUR, съответстващи на третата здравна програма за действие на Съюза в областта на здравето (2014—2020 г.), бюджетен ред 17 03 01 </w:t>
      </w:r>
      <w:r>
        <w:rPr>
          <w:rFonts w:ascii="Times New Roman" w:hAnsi="Times New Roman"/>
          <w:i/>
          <w:noProof/>
        </w:rPr>
        <w:t>(„Насърчаване на иновациите в здравния сектор, повишаване на устойчивостта на системите за здравеопазване и защита на гражданите на Съюза от сериозни трансгранични заплахи за здравето“).</w:t>
      </w:r>
    </w:p>
    <w:p>
      <w:pPr>
        <w:pStyle w:val="ListParagraph"/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Aдминистративни разходи: 1 500 000 EUR, съответстващи на разходите за подкрепа по третата здравна програма на ЕС (2014—2020 г.), бюджетен ред 17</w:t>
      </w:r>
      <w:r>
        <w:rPr>
          <w:noProof/>
        </w:rPr>
        <w:t> </w:t>
      </w:r>
      <w:r>
        <w:rPr>
          <w:rFonts w:ascii="Times New Roman" w:hAnsi="Times New Roman"/>
          <w:noProof/>
        </w:rPr>
        <w:t>01</w:t>
      </w:r>
      <w:r>
        <w:rPr>
          <w:noProof/>
        </w:rPr>
        <w:t> </w:t>
      </w:r>
      <w:r>
        <w:rPr>
          <w:rFonts w:ascii="Times New Roman" w:hAnsi="Times New Roman"/>
          <w:noProof/>
        </w:rPr>
        <w:t>04</w:t>
      </w:r>
      <w:r>
        <w:rPr>
          <w:noProof/>
        </w:rPr>
        <w:t> </w:t>
      </w:r>
      <w:r>
        <w:rPr>
          <w:rFonts w:ascii="Times New Roman" w:hAnsi="Times New Roman"/>
          <w:noProof/>
        </w:rPr>
        <w:t>02.</w:t>
      </w:r>
    </w:p>
    <w:p>
      <w:pPr>
        <w:pStyle w:val="ListParagraph"/>
        <w:numPr>
          <w:ilvl w:val="0"/>
          <w:numId w:val="57"/>
        </w:num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Принос на здравната програма към бюджета на Chafea: 4 209 000 EUR</w:t>
      </w:r>
    </w:p>
    <w:p>
      <w:pPr>
        <w:spacing w:line="360" w:lineRule="auto"/>
        <w:jc w:val="both"/>
        <w:rPr>
          <w:rFonts w:cs="Times New Roman"/>
          <w:noProof/>
        </w:rPr>
      </w:pPr>
      <w:r>
        <w:rPr>
          <w:noProof/>
        </w:rPr>
        <w:t>Общият оперативен бюджет възлезе на 57 992 112 EUR, тъй като включваше и допълнителни кредити от ЕАСТ/ЕИП в размер на 1 541 112 EUR, както и кредити за възстановяване от предходни бюджетни години.</w:t>
      </w:r>
    </w:p>
    <w:p>
      <w:pPr>
        <w:spacing w:line="360" w:lineRule="auto"/>
        <w:jc w:val="both"/>
        <w:rPr>
          <w:rFonts w:cs="Times New Roman"/>
          <w:noProof/>
        </w:rPr>
      </w:pPr>
      <w:r>
        <w:rPr>
          <w:noProof/>
        </w:rPr>
        <w:t>За 2016 г. по ГРП бяха отпуснати общо 56 695 888,83 EUR: Chafea осигурява 48 248 609,99 EUR от тази сума, докато ГД „Здравеопазване и безопасност на храните“ е ангажирала допълнителни 8 447 278,84 EUR, които да обхванат част от поръчките и други дейности.</w:t>
      </w:r>
    </w:p>
    <w:p>
      <w:pPr>
        <w:spacing w:line="360" w:lineRule="auto"/>
        <w:jc w:val="both"/>
        <w:rPr>
          <w:rFonts w:cs="Times New Roman"/>
          <w:noProof/>
        </w:rPr>
      </w:pPr>
    </w:p>
    <w:p>
      <w:pPr>
        <w:pStyle w:val="ManualHeading2"/>
        <w:rPr>
          <w:noProof/>
        </w:rPr>
      </w:pPr>
      <w:bookmarkStart w:id="25" w:name="_Toc388355510"/>
      <w:bookmarkStart w:id="26" w:name="_Toc390420264"/>
      <w:bookmarkStart w:id="27" w:name="_Toc404756130"/>
      <w:bookmarkStart w:id="28" w:name="_Toc472077569"/>
      <w:bookmarkStart w:id="29" w:name="_Toc10472513"/>
      <w:bookmarkStart w:id="30" w:name="_Toc14256973"/>
      <w:r>
        <w:t>2.</w:t>
      </w:r>
      <w:r>
        <w:tab/>
      </w:r>
      <w:r>
        <w:rPr>
          <w:noProof/>
        </w:rPr>
        <w:t>Приоритети и механизми за финансиране</w:t>
      </w:r>
      <w:bookmarkEnd w:id="25"/>
      <w:bookmarkEnd w:id="26"/>
      <w:bookmarkEnd w:id="27"/>
      <w:bookmarkEnd w:id="28"/>
      <w:bookmarkEnd w:id="29"/>
      <w:bookmarkEnd w:id="30"/>
    </w:p>
    <w:p>
      <w:pPr>
        <w:spacing w:before="100" w:beforeAutospacing="1" w:after="100" w:afterAutospacing="1" w:line="360" w:lineRule="auto"/>
        <w:jc w:val="both"/>
        <w:rPr>
          <w:rFonts w:eastAsia="Times New Roman" w:cs="Times New Roman"/>
          <w:noProof/>
        </w:rPr>
      </w:pPr>
      <w:r>
        <w:rPr>
          <w:noProof/>
        </w:rPr>
        <w:t>През 2016 г. общият оперативен бюджет (56 695 888,83 EUR) беше разпределен между четирите специфични цели на програмата, както следва:</w:t>
      </w:r>
    </w:p>
    <w:p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i/>
          <w:noProof/>
        </w:rPr>
      </w:pPr>
      <w:r>
        <w:rPr>
          <w:b/>
          <w:noProof/>
        </w:rPr>
        <w:t>Промоция на здравето</w:t>
      </w:r>
      <w:r>
        <w:rPr>
          <w:noProof/>
        </w:rPr>
        <w:t xml:space="preserve">: </w:t>
      </w:r>
      <w:r>
        <w:rPr>
          <w:b/>
          <w:i/>
          <w:noProof/>
        </w:rPr>
        <w:t>25 622 317,07 EUR</w:t>
      </w:r>
      <w:r>
        <w:rPr>
          <w:i/>
          <w:noProof/>
        </w:rPr>
        <w:t xml:space="preserve"> (45 % от оперативния бюджет през 2016 г.) </w:t>
      </w:r>
      <w:r>
        <w:rPr>
          <w:noProof/>
        </w:rPr>
        <w:t>за промоция на здравето, профилактика на болестите и създаване на среда, благоприятстваща здравословен начин на живот при отчитане на принципа „здраве във всички политики“.</w:t>
      </w:r>
    </w:p>
    <w:p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i/>
          <w:noProof/>
        </w:rPr>
      </w:pPr>
      <w:r>
        <w:rPr>
          <w:b/>
          <w:noProof/>
        </w:rPr>
        <w:t>Заплахи за здравето</w:t>
      </w:r>
      <w:r>
        <w:rPr>
          <w:noProof/>
        </w:rPr>
        <w:t xml:space="preserve">: </w:t>
      </w:r>
      <w:r>
        <w:rPr>
          <w:b/>
          <w:i/>
          <w:noProof/>
        </w:rPr>
        <w:t>3 947 709,3 EUR</w:t>
      </w:r>
      <w:r>
        <w:rPr>
          <w:i/>
          <w:noProof/>
        </w:rPr>
        <w:t xml:space="preserve"> (7 %)</w:t>
      </w:r>
      <w:r>
        <w:rPr>
          <w:noProof/>
        </w:rPr>
        <w:t xml:space="preserve"> за защита на гражданите на ЕС от сериозни трансгранични заплахи за здравето</w:t>
      </w:r>
    </w:p>
    <w:p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i/>
          <w:noProof/>
        </w:rPr>
      </w:pPr>
      <w:r>
        <w:rPr>
          <w:b/>
          <w:noProof/>
        </w:rPr>
        <w:t>Системи за здравеопазване</w:t>
      </w:r>
      <w:r>
        <w:rPr>
          <w:noProof/>
        </w:rPr>
        <w:t xml:space="preserve">: </w:t>
      </w:r>
      <w:r>
        <w:rPr>
          <w:b/>
          <w:i/>
          <w:noProof/>
        </w:rPr>
        <w:t>8 655 656,8 EUR</w:t>
      </w:r>
      <w:r>
        <w:rPr>
          <w:i/>
          <w:noProof/>
        </w:rPr>
        <w:t xml:space="preserve"> (15 %)</w:t>
      </w:r>
      <w:r>
        <w:rPr>
          <w:noProof/>
        </w:rPr>
        <w:t xml:space="preserve"> за принос за новаторски, ефикасни и устойчиви системи за здравеопазване</w:t>
      </w:r>
    </w:p>
    <w:p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i/>
          <w:noProof/>
        </w:rPr>
      </w:pPr>
      <w:r>
        <w:rPr>
          <w:b/>
          <w:noProof/>
        </w:rPr>
        <w:t>По-добро и по-безопасно здравно обслужване</w:t>
      </w:r>
      <w:r>
        <w:rPr>
          <w:noProof/>
        </w:rPr>
        <w:t xml:space="preserve">: </w:t>
      </w:r>
      <w:r>
        <w:rPr>
          <w:b/>
          <w:i/>
          <w:noProof/>
        </w:rPr>
        <w:t> 14 892 153,25 EUR</w:t>
      </w:r>
      <w:r>
        <w:rPr>
          <w:i/>
          <w:noProof/>
        </w:rPr>
        <w:t xml:space="preserve"> (26 %)</w:t>
      </w:r>
      <w:r>
        <w:rPr>
          <w:noProof/>
        </w:rPr>
        <w:t xml:space="preserve"> за улесняване на достъпа на гражданите на ЕС до по-добро и по-безопасно здравно обслужване</w:t>
      </w:r>
    </w:p>
    <w:p>
      <w:p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noProof/>
        </w:rPr>
      </w:pPr>
      <w:r>
        <w:rPr>
          <w:b/>
          <w:noProof/>
        </w:rPr>
        <w:t>Хоризонталните действия</w:t>
      </w:r>
      <w:r>
        <w:rPr>
          <w:noProof/>
        </w:rPr>
        <w:t xml:space="preserve"> (ИT, комуникационни дейности) възлязоха на </w:t>
      </w:r>
      <w:r>
        <w:rPr>
          <w:i/>
          <w:noProof/>
        </w:rPr>
        <w:t> 3 578 052,41 EUR (7 %).</w:t>
      </w:r>
    </w:p>
    <w:p>
      <w:pPr>
        <w:spacing w:before="100" w:beforeAutospacing="1" w:after="100" w:afterAutospacing="1" w:line="360" w:lineRule="auto"/>
        <w:rPr>
          <w:rFonts w:eastAsia="Times New Roman" w:cs="Times New Roman"/>
          <w:noProof/>
        </w:rPr>
      </w:pPr>
    </w:p>
    <w:p>
      <w:pPr>
        <w:keepNext/>
        <w:spacing w:before="120" w:after="120" w:line="360" w:lineRule="auto"/>
        <w:jc w:val="center"/>
        <w:rPr>
          <w:b/>
          <w:noProof/>
          <w:lang w:val="en-GB"/>
        </w:rPr>
      </w:pPr>
      <w:r>
        <w:rPr>
          <w:b/>
          <w:noProof/>
        </w:rPr>
        <w:t>Фигура 1: Оперативен бюджет по цели на третата здравна програма през 2016 г.</w:t>
      </w:r>
    </w:p>
    <w:p>
      <w:pPr>
        <w:keepNext/>
        <w:spacing w:before="120" w:after="120" w:line="360" w:lineRule="auto"/>
        <w:jc w:val="center"/>
        <w:rPr>
          <w:rFonts w:cs="Times New Roman"/>
          <w:b/>
          <w:noProof/>
          <w:lang w:val="en-GB"/>
        </w:rPr>
      </w:pPr>
      <w:r>
        <w:rPr>
          <w:rFonts w:cs="Times New Roman"/>
          <w:noProof/>
          <w:lang w:val="en-GB" w:eastAsia="en-GB" w:bidi="ar-SA"/>
        </w:rPr>
        <w:drawing>
          <wp:inline distT="0" distB="0" distL="0" distR="0">
            <wp:extent cx="4816475" cy="2755900"/>
            <wp:effectExtent l="0" t="0" r="317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/>
        <w:spacing w:before="120" w:after="120" w:line="360" w:lineRule="auto"/>
        <w:jc w:val="center"/>
        <w:rPr>
          <w:rFonts w:cs="Times New Roman"/>
          <w:b/>
          <w:noProof/>
        </w:rPr>
      </w:pPr>
    </w:p>
    <w:p>
      <w:pPr>
        <w:spacing w:before="100" w:beforeAutospacing="1" w:after="100" w:afterAutospacing="1" w:line="360" w:lineRule="auto"/>
        <w:rPr>
          <w:rFonts w:eastAsia="Times New Roman" w:cs="Times New Roman"/>
          <w:noProof/>
        </w:rPr>
      </w:pPr>
    </w:p>
    <w:p>
      <w:pPr>
        <w:spacing w:before="100" w:beforeAutospacing="1" w:after="100" w:afterAutospacing="1" w:line="360" w:lineRule="auto"/>
        <w:rPr>
          <w:rFonts w:eastAsia="Times New Roman" w:cs="Times New Roman"/>
          <w:noProof/>
        </w:rPr>
      </w:pPr>
      <w:r>
        <w:rPr>
          <w:noProof/>
        </w:rPr>
        <w:t>На следващата фигура е дадена информация относно кредитите за здравната програма, инвестирани като участие на ЕС чрез различните тематични приоритети през 2016 г.</w:t>
      </w:r>
    </w:p>
    <w:p>
      <w:pPr>
        <w:keepNext/>
        <w:spacing w:before="120" w:after="120" w:line="360" w:lineRule="auto"/>
        <w:jc w:val="center"/>
        <w:rPr>
          <w:rFonts w:cs="Times New Roman"/>
          <w:b/>
          <w:noProof/>
        </w:rPr>
      </w:pPr>
      <w:r>
        <w:rPr>
          <w:b/>
          <w:noProof/>
        </w:rPr>
        <w:t>Фигура 2: Оперативен бюджет по приоритетни теми през 2016 г.</w:t>
      </w:r>
    </w:p>
    <w:p>
      <w:pPr>
        <w:spacing w:line="360" w:lineRule="auto"/>
        <w:jc w:val="both"/>
        <w:rPr>
          <w:rFonts w:eastAsia="Times New Roman" w:cs="Times New Roman"/>
          <w:noProof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760720" cy="5384675"/>
            <wp:effectExtent l="0" t="0" r="11430" b="260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spacing w:line="360" w:lineRule="auto"/>
        <w:jc w:val="both"/>
        <w:rPr>
          <w:rFonts w:eastAsia="Times New Roman" w:cs="Times New Roman"/>
          <w:noProof/>
        </w:rPr>
      </w:pPr>
    </w:p>
    <w:p>
      <w:pPr>
        <w:spacing w:line="360" w:lineRule="auto"/>
        <w:jc w:val="both"/>
        <w:rPr>
          <w:rFonts w:eastAsia="Times New Roman" w:cs="Times New Roman"/>
          <w:noProof/>
        </w:rPr>
      </w:pPr>
      <w:r>
        <w:rPr>
          <w:noProof/>
        </w:rPr>
        <w:t>За изпълнението на тези цели програмата обхваща широка гама финансови инструменти. Те са:</w:t>
      </w:r>
    </w:p>
    <w:p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безвъзмездни средства за проекти, включително специфични споразумения за безвъзмездни средства за ЕРМ;</w:t>
      </w:r>
    </w:p>
    <w:p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безвъзмездни средства за оперативни разходи в подкрепа на неправителствените организации;</w:t>
      </w:r>
    </w:p>
    <w:p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действия, съфинансирани с органите на държавите членки (съвместни действия);</w:t>
      </w:r>
    </w:p>
    <w:p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преки споразумения с международни организации;</w:t>
      </w:r>
    </w:p>
    <w:p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обществени поръчки; както и</w:t>
      </w:r>
    </w:p>
    <w:p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други действия, като например подкрепа за работата на научни комитети, административни споразумения със Съвместния изследователски център и предоставяне на безвъзмездни средства за конференции на председателствата.</w:t>
      </w:r>
    </w:p>
    <w:p>
      <w:pPr>
        <w:spacing w:line="360" w:lineRule="auto"/>
        <w:jc w:val="both"/>
        <w:rPr>
          <w:rFonts w:cs="Times New Roman"/>
          <w:noProof/>
        </w:rPr>
      </w:pPr>
      <w:r>
        <w:rPr>
          <w:noProof/>
        </w:rPr>
        <w:t>При подбора на инициативи за финансиране бяха използвани конкурсни процедури за подбор и възлагане. Конкурсни процедури за подбор и възлагане не се използват при съвместни действия, споразумения за отпускане на преки безвъзмездни средства, нито при конференции, организирани от председателствата на Съвета, тъй като в тези случаи конкурсните процедури или не са разрешени съгласно конкретните правила, или не са адекватни (например поради монополно положение).</w:t>
      </w:r>
    </w:p>
    <w:p>
      <w:pPr>
        <w:spacing w:line="360" w:lineRule="auto"/>
        <w:jc w:val="both"/>
        <w:rPr>
          <w:rFonts w:cs="Times New Roman"/>
          <w:noProof/>
        </w:rPr>
      </w:pPr>
      <w:r>
        <w:rPr>
          <w:noProof/>
        </w:rPr>
        <w:t>Кредитите за административни дейности покриваха разходи като проучвания, заседания на експерти, разходи за информация и публикации, както и техническа и административна помощ за ИТ системите.</w:t>
      </w:r>
    </w:p>
    <w:p>
      <w:pPr>
        <w:pStyle w:val="ManualHeading2"/>
        <w:rPr>
          <w:noProof/>
        </w:rPr>
      </w:pPr>
      <w:bookmarkStart w:id="31" w:name="_Toc388355511"/>
      <w:bookmarkStart w:id="32" w:name="_Toc390420265"/>
      <w:bookmarkStart w:id="33" w:name="_Toc404756131"/>
      <w:bookmarkStart w:id="34" w:name="_Toc472077570"/>
      <w:bookmarkStart w:id="35" w:name="_Toc10472514"/>
      <w:bookmarkStart w:id="36" w:name="_Toc14256974"/>
      <w:r>
        <w:t>3.</w:t>
      </w:r>
      <w:r>
        <w:tab/>
      </w:r>
      <w:r>
        <w:rPr>
          <w:noProof/>
        </w:rPr>
        <w:t>Изпълнение по механизми за финансиране</w:t>
      </w:r>
      <w:bookmarkEnd w:id="31"/>
      <w:bookmarkEnd w:id="32"/>
      <w:bookmarkEnd w:id="33"/>
      <w:bookmarkEnd w:id="34"/>
      <w:bookmarkEnd w:id="35"/>
      <w:bookmarkEnd w:id="36"/>
    </w:p>
    <w:tbl>
      <w:tblPr>
        <w:tblStyle w:val="TableGrid"/>
        <w:tblW w:w="9464" w:type="dxa"/>
        <w:tblLook w:val="0000" w:firstRow="0" w:lastRow="0" w:firstColumn="0" w:lastColumn="0" w:noHBand="0" w:noVBand="0"/>
      </w:tblPr>
      <w:tblGrid>
        <w:gridCol w:w="4361"/>
        <w:gridCol w:w="2551"/>
        <w:gridCol w:w="2552"/>
      </w:tblGrid>
      <w:tr>
        <w:trPr>
          <w:trHeight w:val="1020"/>
        </w:trPr>
        <w:tc>
          <w:tcPr>
            <w:tcW w:w="4361" w:type="dxa"/>
            <w:noWrap/>
          </w:tcPr>
          <w:p>
            <w:pPr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Вид механизъм за финансиране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Изпълнение (EUR)</w:t>
            </w:r>
          </w:p>
        </w:tc>
        <w:tc>
          <w:tcPr>
            <w:tcW w:w="2552" w:type="dxa"/>
            <w:noWrap/>
          </w:tcPr>
          <w:p>
            <w:pPr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Дял на механизма в общия изпълнен бюджет </w:t>
            </w:r>
          </w:p>
        </w:tc>
      </w:tr>
      <w:tr>
        <w:trPr>
          <w:trHeight w:val="340"/>
        </w:trPr>
        <w:tc>
          <w:tcPr>
            <w:tcW w:w="4361" w:type="dxa"/>
            <w:noWrap/>
          </w:tcPr>
          <w:p>
            <w:pPr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Покани за представяне на предложения: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18 323 884,19</w:t>
            </w:r>
          </w:p>
        </w:tc>
        <w:tc>
          <w:tcPr>
            <w:tcW w:w="2552" w:type="dxa"/>
            <w:noWrap/>
          </w:tcPr>
          <w:p>
            <w:pPr>
              <w:tabs>
                <w:tab w:val="decimal" w:pos="792"/>
              </w:tabs>
              <w:spacing w:line="360" w:lineRule="auto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32,3 %</w:t>
            </w:r>
          </w:p>
        </w:tc>
      </w:tr>
      <w:tr>
        <w:trPr>
          <w:trHeight w:val="340"/>
        </w:trPr>
        <w:tc>
          <w:tcPr>
            <w:tcW w:w="4361" w:type="dxa"/>
            <w:noWrap/>
          </w:tcPr>
          <w:p>
            <w:pPr>
              <w:spacing w:line="360" w:lineRule="auto"/>
              <w:jc w:val="both"/>
              <w:rPr>
                <w:bCs/>
                <w:noProof/>
              </w:rPr>
            </w:pPr>
            <w:r>
              <w:rPr>
                <w:noProof/>
              </w:rPr>
              <w:t>Безвъзмездни средства за изпълнение на проект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jc w:val="right"/>
              <w:rPr>
                <w:bCs/>
                <w:noProof/>
              </w:rPr>
            </w:pPr>
            <w:r>
              <w:rPr>
                <w:noProof/>
              </w:rPr>
              <w:t>8 795 212,04</w:t>
            </w:r>
          </w:p>
        </w:tc>
        <w:tc>
          <w:tcPr>
            <w:tcW w:w="2552" w:type="dxa"/>
            <w:noWrap/>
          </w:tcPr>
          <w:p>
            <w:pPr>
              <w:tabs>
                <w:tab w:val="decimal" w:pos="792"/>
              </w:tabs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 xml:space="preserve">15,5 % </w:t>
            </w:r>
          </w:p>
        </w:tc>
      </w:tr>
      <w:tr>
        <w:trPr>
          <w:trHeight w:val="340"/>
        </w:trPr>
        <w:tc>
          <w:tcPr>
            <w:tcW w:w="4361" w:type="dxa"/>
            <w:noWrap/>
          </w:tcPr>
          <w:p>
            <w:pPr>
              <w:spacing w:line="360" w:lineRule="auto"/>
              <w:jc w:val="both"/>
              <w:rPr>
                <w:bCs/>
                <w:noProof/>
              </w:rPr>
            </w:pPr>
            <w:r>
              <w:rPr>
                <w:noProof/>
              </w:rPr>
              <w:t>Специфични споразумения за безвъзмездни средства на Европейска референтна мрежа (ЕРМ) по РСП според целта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jc w:val="right"/>
              <w:rPr>
                <w:bCs/>
                <w:noProof/>
              </w:rPr>
            </w:pPr>
            <w:r>
              <w:rPr>
                <w:noProof/>
              </w:rPr>
              <w:t>4 386 344,15</w:t>
            </w:r>
          </w:p>
        </w:tc>
        <w:tc>
          <w:tcPr>
            <w:tcW w:w="2552" w:type="dxa"/>
            <w:noWrap/>
          </w:tcPr>
          <w:p>
            <w:pPr>
              <w:tabs>
                <w:tab w:val="decimal" w:pos="792"/>
              </w:tabs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7,7 %</w:t>
            </w:r>
          </w:p>
        </w:tc>
      </w:tr>
      <w:tr>
        <w:trPr>
          <w:trHeight w:val="340"/>
        </w:trPr>
        <w:tc>
          <w:tcPr>
            <w:tcW w:w="4361" w:type="dxa"/>
            <w:noWrap/>
          </w:tcPr>
          <w:p>
            <w:pPr>
              <w:spacing w:line="360" w:lineRule="auto"/>
              <w:jc w:val="both"/>
              <w:rPr>
                <w:bCs/>
                <w:noProof/>
              </w:rPr>
            </w:pPr>
            <w:r>
              <w:rPr>
                <w:noProof/>
              </w:rPr>
              <w:t>Безвъзмездни средства за оперативни разходи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jc w:val="right"/>
              <w:rPr>
                <w:bCs/>
                <w:noProof/>
              </w:rPr>
            </w:pPr>
            <w:r>
              <w:rPr>
                <w:noProof/>
              </w:rPr>
              <w:t>5 142 328,00</w:t>
            </w:r>
          </w:p>
        </w:tc>
        <w:tc>
          <w:tcPr>
            <w:tcW w:w="2552" w:type="dxa"/>
            <w:noWrap/>
          </w:tcPr>
          <w:p>
            <w:pPr>
              <w:tabs>
                <w:tab w:val="decimal" w:pos="792"/>
              </w:tabs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9,1 %</w:t>
            </w:r>
          </w:p>
        </w:tc>
      </w:tr>
      <w:tr>
        <w:trPr>
          <w:trHeight w:val="376"/>
        </w:trPr>
        <w:tc>
          <w:tcPr>
            <w:tcW w:w="4361" w:type="dxa"/>
            <w:noWrap/>
          </w:tcPr>
          <w:p>
            <w:pPr>
              <w:spacing w:line="360" w:lineRule="auto"/>
              <w:jc w:val="both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Безвъзмездни средства за съвместни действия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jc w:val="right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14 376 881,83</w:t>
            </w:r>
          </w:p>
        </w:tc>
        <w:tc>
          <w:tcPr>
            <w:tcW w:w="2552" w:type="dxa"/>
            <w:noWrap/>
          </w:tcPr>
          <w:p>
            <w:pPr>
              <w:tabs>
                <w:tab w:val="decimal" w:pos="792"/>
              </w:tabs>
              <w:spacing w:line="360" w:lineRule="auto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25,4 %</w:t>
            </w:r>
          </w:p>
        </w:tc>
      </w:tr>
      <w:tr>
        <w:trPr>
          <w:trHeight w:val="517"/>
        </w:trPr>
        <w:tc>
          <w:tcPr>
            <w:tcW w:w="4361" w:type="dxa"/>
            <w:noWrap/>
          </w:tcPr>
          <w:p>
            <w:pPr>
              <w:spacing w:line="360" w:lineRule="auto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Безвъзмездни средства за организиране на конференции, предоставяни на държавите членки, осигуряващи председателството на ЕС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141 780,43</w:t>
            </w:r>
          </w:p>
        </w:tc>
        <w:tc>
          <w:tcPr>
            <w:tcW w:w="2552" w:type="dxa"/>
            <w:noWrap/>
          </w:tcPr>
          <w:p>
            <w:pPr>
              <w:tabs>
                <w:tab w:val="decimal" w:pos="792"/>
              </w:tabs>
              <w:spacing w:line="360" w:lineRule="auto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0,3 %</w:t>
            </w:r>
          </w:p>
        </w:tc>
      </w:tr>
      <w:tr>
        <w:trPr>
          <w:trHeight w:val="340"/>
        </w:trPr>
        <w:tc>
          <w:tcPr>
            <w:tcW w:w="4361" w:type="dxa"/>
            <w:noWrap/>
          </w:tcPr>
          <w:p>
            <w:pPr>
              <w:spacing w:line="360" w:lineRule="auto"/>
              <w:jc w:val="both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Споразумения за отпускане на преки безвъзмездни средства</w:t>
            </w:r>
          </w:p>
        </w:tc>
        <w:tc>
          <w:tcPr>
            <w:tcW w:w="2551" w:type="dxa"/>
            <w:noWrap/>
          </w:tcPr>
          <w:p>
            <w:pPr>
              <w:jc w:val="right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4 450 000,00</w:t>
            </w:r>
          </w:p>
        </w:tc>
        <w:tc>
          <w:tcPr>
            <w:tcW w:w="2552" w:type="dxa"/>
            <w:noWrap/>
          </w:tcPr>
          <w:p>
            <w:pPr>
              <w:tabs>
                <w:tab w:val="decimal" w:pos="792"/>
              </w:tabs>
              <w:spacing w:line="360" w:lineRule="auto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7,8 %</w:t>
            </w:r>
          </w:p>
        </w:tc>
      </w:tr>
      <w:tr>
        <w:trPr>
          <w:trHeight w:val="631"/>
        </w:trPr>
        <w:tc>
          <w:tcPr>
            <w:tcW w:w="4361" w:type="dxa"/>
            <w:noWrap/>
          </w:tcPr>
          <w:p>
            <w:pPr>
              <w:spacing w:line="360" w:lineRule="auto"/>
              <w:jc w:val="both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Обществени поръчки (договори за услуги)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jc w:val="right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16 089 842,38</w:t>
            </w:r>
          </w:p>
        </w:tc>
        <w:tc>
          <w:tcPr>
            <w:tcW w:w="2552" w:type="dxa"/>
            <w:noWrap/>
          </w:tcPr>
          <w:p>
            <w:pPr>
              <w:tabs>
                <w:tab w:val="decimal" w:pos="792"/>
              </w:tabs>
              <w:spacing w:line="360" w:lineRule="auto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28,3 %</w:t>
            </w:r>
          </w:p>
        </w:tc>
      </w:tr>
      <w:tr>
        <w:trPr>
          <w:trHeight w:val="340"/>
        </w:trPr>
        <w:tc>
          <w:tcPr>
            <w:tcW w:w="4361" w:type="dxa"/>
            <w:noWrap/>
          </w:tcPr>
          <w:p>
            <w:pPr>
              <w:spacing w:line="360" w:lineRule="auto"/>
              <w:jc w:val="right"/>
              <w:rPr>
                <w:b/>
                <w:bCs/>
                <w:i/>
                <w:noProof/>
              </w:rPr>
            </w:pPr>
            <w:r>
              <w:rPr>
                <w:b/>
                <w:i/>
                <w:noProof/>
              </w:rPr>
              <w:t>Управлявани от CHAFEA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10 456 063,54</w:t>
            </w:r>
          </w:p>
        </w:tc>
        <w:tc>
          <w:tcPr>
            <w:tcW w:w="2552" w:type="dxa"/>
            <w:noWrap/>
          </w:tcPr>
          <w:p>
            <w:pPr>
              <w:tabs>
                <w:tab w:val="decimal" w:pos="792"/>
              </w:tabs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18,4 %</w:t>
            </w:r>
          </w:p>
        </w:tc>
      </w:tr>
      <w:tr>
        <w:trPr>
          <w:trHeight w:val="340"/>
        </w:trPr>
        <w:tc>
          <w:tcPr>
            <w:tcW w:w="4361" w:type="dxa"/>
            <w:noWrap/>
          </w:tcPr>
          <w:p>
            <w:pPr>
              <w:spacing w:line="360" w:lineRule="auto"/>
              <w:jc w:val="right"/>
              <w:rPr>
                <w:b/>
                <w:bCs/>
                <w:i/>
                <w:noProof/>
              </w:rPr>
            </w:pPr>
            <w:r>
              <w:rPr>
                <w:b/>
                <w:i/>
                <w:noProof/>
              </w:rPr>
              <w:t>Управлявани от ГД „Здравеопазване и безопасност на храните“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5 633 778,84</w:t>
            </w:r>
          </w:p>
        </w:tc>
        <w:tc>
          <w:tcPr>
            <w:tcW w:w="2552" w:type="dxa"/>
            <w:noWrap/>
          </w:tcPr>
          <w:p>
            <w:pPr>
              <w:tabs>
                <w:tab w:val="decimal" w:pos="792"/>
              </w:tabs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9,9 %</w:t>
            </w:r>
          </w:p>
        </w:tc>
      </w:tr>
      <w:tr>
        <w:trPr>
          <w:trHeight w:val="425"/>
        </w:trPr>
        <w:tc>
          <w:tcPr>
            <w:tcW w:w="4361" w:type="dxa"/>
            <w:noWrap/>
          </w:tcPr>
          <w:p>
            <w:pPr>
              <w:spacing w:line="360" w:lineRule="auto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 xml:space="preserve">Други действия 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3 313 500</w:t>
            </w:r>
          </w:p>
        </w:tc>
        <w:tc>
          <w:tcPr>
            <w:tcW w:w="2552" w:type="dxa"/>
            <w:noWrap/>
          </w:tcPr>
          <w:p>
            <w:pPr>
              <w:tabs>
                <w:tab w:val="decimal" w:pos="792"/>
              </w:tabs>
              <w:spacing w:line="360" w:lineRule="auto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5,9 %</w:t>
            </w:r>
          </w:p>
        </w:tc>
      </w:tr>
      <w:tr>
        <w:trPr>
          <w:trHeight w:val="275"/>
        </w:trPr>
        <w:tc>
          <w:tcPr>
            <w:tcW w:w="4361" w:type="dxa"/>
            <w:noWrap/>
          </w:tcPr>
          <w:p>
            <w:pPr>
              <w:spacing w:line="360" w:lineRule="auto"/>
              <w:jc w:val="right"/>
              <w:rPr>
                <w:b/>
                <w:bCs/>
                <w:noProof/>
              </w:rPr>
            </w:pPr>
            <w:r>
              <w:rPr>
                <w:b/>
                <w:i/>
                <w:noProof/>
              </w:rPr>
              <w:t>Управлявани от CHAFEA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jc w:val="right"/>
              <w:rPr>
                <w:bCs/>
                <w:noProof/>
              </w:rPr>
            </w:pPr>
            <w:r>
              <w:rPr>
                <w:noProof/>
              </w:rPr>
              <w:t>500 000,00</w:t>
            </w:r>
          </w:p>
        </w:tc>
        <w:tc>
          <w:tcPr>
            <w:tcW w:w="2552" w:type="dxa"/>
            <w:noWrap/>
          </w:tcPr>
          <w:p>
            <w:pPr>
              <w:tabs>
                <w:tab w:val="decimal" w:pos="792"/>
              </w:tabs>
              <w:spacing w:line="360" w:lineRule="auto"/>
              <w:jc w:val="right"/>
              <w:rPr>
                <w:bCs/>
                <w:noProof/>
              </w:rPr>
            </w:pPr>
            <w:r>
              <w:rPr>
                <w:noProof/>
              </w:rPr>
              <w:t>0,9 %</w:t>
            </w:r>
          </w:p>
        </w:tc>
      </w:tr>
      <w:tr>
        <w:trPr>
          <w:trHeight w:val="337"/>
        </w:trPr>
        <w:tc>
          <w:tcPr>
            <w:tcW w:w="4361" w:type="dxa"/>
            <w:noWrap/>
          </w:tcPr>
          <w:p>
            <w:pPr>
              <w:spacing w:line="360" w:lineRule="auto"/>
              <w:jc w:val="right"/>
              <w:rPr>
                <w:b/>
                <w:bCs/>
                <w:noProof/>
              </w:rPr>
            </w:pPr>
            <w:r>
              <w:rPr>
                <w:b/>
                <w:i/>
                <w:noProof/>
              </w:rPr>
              <w:t>Управлявани от ГД „Здравеопазване и безопасност на храните“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jc w:val="right"/>
              <w:rPr>
                <w:bCs/>
                <w:noProof/>
              </w:rPr>
            </w:pPr>
            <w:r>
              <w:rPr>
                <w:noProof/>
              </w:rPr>
              <w:t>2 813 500,00</w:t>
            </w:r>
          </w:p>
        </w:tc>
        <w:tc>
          <w:tcPr>
            <w:tcW w:w="2552" w:type="dxa"/>
            <w:noWrap/>
          </w:tcPr>
          <w:p>
            <w:pPr>
              <w:tabs>
                <w:tab w:val="decimal" w:pos="792"/>
              </w:tabs>
              <w:spacing w:line="360" w:lineRule="auto"/>
              <w:jc w:val="right"/>
              <w:rPr>
                <w:bCs/>
                <w:noProof/>
              </w:rPr>
            </w:pPr>
            <w:r>
              <w:rPr>
                <w:noProof/>
              </w:rPr>
              <w:t>5 %</w:t>
            </w:r>
          </w:p>
        </w:tc>
      </w:tr>
      <w:tr>
        <w:trPr>
          <w:trHeight w:val="340"/>
        </w:trPr>
        <w:tc>
          <w:tcPr>
            <w:tcW w:w="4361" w:type="dxa"/>
            <w:noWrap/>
          </w:tcPr>
          <w:p>
            <w:pPr>
              <w:spacing w:line="360" w:lineRule="auto"/>
              <w:jc w:val="both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Усвояване на бюджета на ГРП за 2016 г.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56 695 888,83</w:t>
            </w:r>
          </w:p>
        </w:tc>
        <w:tc>
          <w:tcPr>
            <w:tcW w:w="2552" w:type="dxa"/>
            <w:noWrap/>
          </w:tcPr>
          <w:p>
            <w:pPr>
              <w:tabs>
                <w:tab w:val="decimal" w:pos="792"/>
              </w:tabs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97,76 %</w:t>
            </w:r>
          </w:p>
        </w:tc>
      </w:tr>
      <w:tr>
        <w:trPr>
          <w:trHeight w:val="340"/>
        </w:trPr>
        <w:tc>
          <w:tcPr>
            <w:tcW w:w="4361" w:type="dxa"/>
            <w:noWrap/>
          </w:tcPr>
          <w:p>
            <w:pPr>
              <w:spacing w:line="360" w:lineRule="auto"/>
              <w:jc w:val="both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Общ наличен бюджет на ГРП за 2016 г.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ind w:left="-108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57 992 112,00</w:t>
            </w:r>
          </w:p>
        </w:tc>
        <w:tc>
          <w:tcPr>
            <w:tcW w:w="2552" w:type="dxa"/>
            <w:noWrap/>
          </w:tcPr>
          <w:p>
            <w:pPr>
              <w:spacing w:line="360" w:lineRule="auto"/>
              <w:jc w:val="both"/>
              <w:rPr>
                <w:noProof/>
              </w:rPr>
            </w:pPr>
          </w:p>
        </w:tc>
      </w:tr>
      <w:tr>
        <w:trPr>
          <w:trHeight w:val="255"/>
        </w:trPr>
        <w:tc>
          <w:tcPr>
            <w:tcW w:w="4361" w:type="dxa"/>
            <w:noWrap/>
          </w:tcPr>
          <w:p>
            <w:pPr>
              <w:spacing w:line="360" w:lineRule="auto"/>
              <w:jc w:val="both"/>
              <w:rPr>
                <w:bCs/>
                <w:noProof/>
              </w:rPr>
            </w:pPr>
            <w:r>
              <w:rPr>
                <w:b/>
                <w:noProof/>
              </w:rPr>
              <w:t>Неусвоени кредити</w:t>
            </w:r>
            <w:r>
              <w:rPr>
                <w:rStyle w:val="FootnoteReference"/>
                <w:noProof/>
              </w:rPr>
              <w:footnoteReference w:id="15"/>
            </w:r>
            <w:r>
              <w:rPr>
                <w:noProof/>
              </w:rPr>
              <w:t xml:space="preserve"> 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jc w:val="right"/>
              <w:rPr>
                <w:b/>
                <w:noProof/>
              </w:rPr>
            </w:pPr>
          </w:p>
        </w:tc>
        <w:tc>
          <w:tcPr>
            <w:tcW w:w="2552" w:type="dxa"/>
            <w:noWrap/>
          </w:tcPr>
          <w:p>
            <w:pPr>
              <w:spacing w:line="360" w:lineRule="auto"/>
              <w:jc w:val="both"/>
              <w:rPr>
                <w:noProof/>
              </w:rPr>
            </w:pPr>
          </w:p>
        </w:tc>
      </w:tr>
      <w:tr>
        <w:trPr>
          <w:trHeight w:val="517"/>
        </w:trPr>
        <w:tc>
          <w:tcPr>
            <w:tcW w:w="4361" w:type="dxa"/>
            <w:noWrap/>
          </w:tcPr>
          <w:p>
            <w:pPr>
              <w:spacing w:line="360" w:lineRule="auto"/>
              <w:jc w:val="right"/>
              <w:rPr>
                <w:b/>
                <w:bCs/>
                <w:noProof/>
              </w:rPr>
            </w:pPr>
            <w:r>
              <w:rPr>
                <w:b/>
                <w:i/>
                <w:noProof/>
              </w:rPr>
              <w:t>от CHAFEA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jc w:val="right"/>
              <w:rPr>
                <w:bCs/>
                <w:noProof/>
              </w:rPr>
            </w:pPr>
            <w:r>
              <w:rPr>
                <w:noProof/>
              </w:rPr>
              <w:t>1 282 128,59</w:t>
            </w:r>
          </w:p>
        </w:tc>
        <w:tc>
          <w:tcPr>
            <w:tcW w:w="2552" w:type="dxa"/>
            <w:noWrap/>
          </w:tcPr>
          <w:p>
            <w:pPr>
              <w:tabs>
                <w:tab w:val="decimal" w:pos="792"/>
              </w:tabs>
              <w:spacing w:line="360" w:lineRule="auto"/>
              <w:jc w:val="right"/>
              <w:rPr>
                <w:bCs/>
                <w:noProof/>
              </w:rPr>
            </w:pPr>
            <w:r>
              <w:rPr>
                <w:noProof/>
              </w:rPr>
              <w:t>2,22 %</w:t>
            </w:r>
          </w:p>
        </w:tc>
      </w:tr>
      <w:tr>
        <w:trPr>
          <w:trHeight w:val="517"/>
        </w:trPr>
        <w:tc>
          <w:tcPr>
            <w:tcW w:w="4361" w:type="dxa"/>
            <w:noWrap/>
          </w:tcPr>
          <w:p>
            <w:pPr>
              <w:spacing w:line="360" w:lineRule="auto"/>
              <w:jc w:val="right"/>
              <w:rPr>
                <w:b/>
                <w:bCs/>
                <w:noProof/>
              </w:rPr>
            </w:pPr>
            <w:r>
              <w:rPr>
                <w:b/>
                <w:i/>
                <w:noProof/>
              </w:rPr>
              <w:t>от ГД „Здравеопазване и безопасност на храните“</w:t>
            </w:r>
          </w:p>
        </w:tc>
        <w:tc>
          <w:tcPr>
            <w:tcW w:w="2551" w:type="dxa"/>
            <w:noWrap/>
          </w:tcPr>
          <w:p>
            <w:pPr>
              <w:spacing w:line="360" w:lineRule="auto"/>
              <w:jc w:val="right"/>
              <w:rPr>
                <w:bCs/>
                <w:noProof/>
              </w:rPr>
            </w:pPr>
            <w:r>
              <w:rPr>
                <w:noProof/>
              </w:rPr>
              <w:t>14 094,58</w:t>
            </w:r>
          </w:p>
        </w:tc>
        <w:tc>
          <w:tcPr>
            <w:tcW w:w="2552" w:type="dxa"/>
            <w:noWrap/>
          </w:tcPr>
          <w:p>
            <w:pPr>
              <w:tabs>
                <w:tab w:val="decimal" w:pos="792"/>
              </w:tabs>
              <w:spacing w:line="360" w:lineRule="auto"/>
              <w:jc w:val="right"/>
              <w:rPr>
                <w:bCs/>
                <w:noProof/>
              </w:rPr>
            </w:pPr>
            <w:r>
              <w:rPr>
                <w:noProof/>
              </w:rPr>
              <w:t>0,02 %</w:t>
            </w:r>
          </w:p>
        </w:tc>
      </w:tr>
    </w:tbl>
    <w:p>
      <w:pPr>
        <w:spacing w:line="360" w:lineRule="auto"/>
        <w:jc w:val="both"/>
        <w:rPr>
          <w:rFonts w:cs="Times New Roman"/>
          <w:noProof/>
        </w:rPr>
      </w:pPr>
    </w:p>
    <w:p>
      <w:pPr>
        <w:pStyle w:val="ManualHeading2"/>
        <w:rPr>
          <w:noProof/>
        </w:rPr>
      </w:pPr>
      <w:bookmarkStart w:id="37" w:name="_Toc10472515"/>
      <w:bookmarkStart w:id="38" w:name="_Toc14256975"/>
      <w:r>
        <w:t>4.</w:t>
      </w:r>
      <w:r>
        <w:tab/>
      </w:r>
      <w:r>
        <w:rPr>
          <w:noProof/>
        </w:rPr>
        <w:t>Бенефициери</w:t>
      </w:r>
      <w:bookmarkEnd w:id="37"/>
      <w:bookmarkEnd w:id="38"/>
    </w:p>
    <w:p>
      <w:pPr>
        <w:spacing w:line="360" w:lineRule="auto"/>
        <w:jc w:val="both"/>
        <w:rPr>
          <w:rFonts w:cs="Times New Roman"/>
          <w:noProof/>
        </w:rPr>
      </w:pPr>
      <w:r>
        <w:rPr>
          <w:noProof/>
        </w:rPr>
        <w:t>През 2016 г. бяха подписани почти 200</w:t>
      </w:r>
      <w:r>
        <w:rPr>
          <w:rStyle w:val="FootnoteReference"/>
          <w:noProof/>
        </w:rPr>
        <w:footnoteReference w:id="16"/>
      </w:r>
      <w:r>
        <w:rPr>
          <w:noProof/>
          <w:vertAlign w:val="superscript"/>
        </w:rPr>
        <w:t xml:space="preserve"> </w:t>
      </w:r>
      <w:r>
        <w:rPr>
          <w:noProof/>
        </w:rPr>
        <w:t>различни споразумения за безвъзмездни средства и договори с различни бенефициери и доставчици на услуги, включващи от правителствени и неправителствени организации до академични институции и частни дружества.</w:t>
      </w:r>
    </w:p>
    <w:p>
      <w:pPr>
        <w:spacing w:line="360" w:lineRule="auto"/>
        <w:jc w:val="both"/>
        <w:rPr>
          <w:rFonts w:cs="Times New Roman"/>
          <w:noProof/>
        </w:rPr>
      </w:pPr>
      <w:r>
        <w:rPr>
          <w:noProof/>
        </w:rPr>
        <w:t>Категорията „други“ включва бенефициери, като например доставчици на здравно обслужване и международни организации. На фигура 3 е представен общ преглед на различните групи бенефициери.</w:t>
      </w:r>
    </w:p>
    <w:p>
      <w:pPr>
        <w:spacing w:before="120" w:after="120" w:line="360" w:lineRule="auto"/>
        <w:jc w:val="center"/>
        <w:rPr>
          <w:rFonts w:cs="Times New Roman"/>
          <w:b/>
          <w:noProof/>
        </w:rPr>
      </w:pPr>
    </w:p>
    <w:p>
      <w:pPr>
        <w:spacing w:before="120" w:after="120" w:line="360" w:lineRule="auto"/>
        <w:jc w:val="center"/>
        <w:rPr>
          <w:rFonts w:cs="Times New Roman"/>
          <w:b/>
          <w:noProof/>
        </w:rPr>
      </w:pPr>
      <w:r>
        <w:rPr>
          <w:b/>
          <w:noProof/>
        </w:rPr>
        <w:t>Фигура 3: Видове бенефициери по третата здравна програма през 2016 г.</w:t>
      </w:r>
    </w:p>
    <w:p>
      <w:pPr>
        <w:spacing w:line="360" w:lineRule="auto"/>
        <w:rPr>
          <w:rFonts w:cs="Times New Roman"/>
          <w:noProof/>
        </w:rPr>
      </w:pPr>
      <w:r>
        <w:rPr>
          <w:rFonts w:cs="Times New Roman"/>
          <w:b/>
          <w:noProof/>
          <w:lang w:val="en-GB" w:eastAsia="en-GB" w:bidi="ar-SA"/>
        </w:rPr>
        <w:drawing>
          <wp:inline distT="0" distB="0" distL="0" distR="0">
            <wp:extent cx="5444490" cy="3060700"/>
            <wp:effectExtent l="0" t="0" r="381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 w:bidi="ar-SA"/>
        </w:rPr>
        <w:t xml:space="preserve"> </w:t>
      </w:r>
    </w:p>
    <w:p>
      <w:pPr>
        <w:pStyle w:val="Heading1"/>
        <w:spacing w:before="240"/>
        <w:rPr>
          <w:rFonts w:eastAsia="Calibri"/>
          <w:noProof/>
        </w:rPr>
      </w:pPr>
      <w:bookmarkStart w:id="39" w:name="_Toc472077576"/>
      <w:bookmarkStart w:id="40" w:name="_Toc10472516"/>
      <w:bookmarkStart w:id="41" w:name="_Toc14256976"/>
      <w:r>
        <w:rPr>
          <w:noProof/>
          <w:sz w:val="28"/>
        </w:rPr>
        <w:t>Подобрения</w:t>
      </w:r>
      <w:bookmarkEnd w:id="39"/>
      <w:bookmarkEnd w:id="40"/>
      <w:bookmarkEnd w:id="41"/>
    </w:p>
    <w:p>
      <w:pPr>
        <w:spacing w:before="240" w:line="360" w:lineRule="auto"/>
        <w:jc w:val="both"/>
        <w:rPr>
          <w:rFonts w:cs="Times New Roman"/>
          <w:noProof/>
        </w:rPr>
      </w:pPr>
      <w:r>
        <w:rPr>
          <w:noProof/>
        </w:rPr>
        <w:t>Подкрепата на програмата за ЕРМ стимулира иновациите в предоставянето на здравни грижи и увеличи достъпа до качествени грижи в целия ЕС.</w:t>
      </w:r>
    </w:p>
    <w:p>
      <w:pPr>
        <w:spacing w:before="240" w:line="360" w:lineRule="auto"/>
        <w:jc w:val="both"/>
        <w:rPr>
          <w:rFonts w:cs="Times New Roman"/>
          <w:noProof/>
        </w:rPr>
      </w:pPr>
      <w:r>
        <w:rPr>
          <w:noProof/>
        </w:rPr>
        <w:t>Chafea използва всички инструменти за опростяване, с които разполага, за да оптимизира финансовото участие на ЕС в ЕРМ. Сключването на РСП и последващите специфични безвъзмездни средства ще улеснят прилагането и отчитането и ще осигурят на ЕРМ стабилна работна рамка.</w:t>
      </w:r>
    </w:p>
    <w:p>
      <w:pPr>
        <w:spacing w:before="240" w:line="360" w:lineRule="auto"/>
        <w:jc w:val="both"/>
        <w:rPr>
          <w:rFonts w:cs="Times New Roman"/>
          <w:noProof/>
        </w:rPr>
      </w:pPr>
      <w:r>
        <w:rPr>
          <w:noProof/>
        </w:rPr>
        <w:t>Ключови действия в рамките на целите на програмата за промоция на здравето и профилактика на болестите бяха съфинансирани от компетентните органи в държавите членки (съвместни действия). Броят на участниците в тези съвместни действия</w:t>
      </w:r>
      <w:r>
        <w:rPr>
          <w:rStyle w:val="FootnoteReference"/>
          <w:noProof/>
        </w:rPr>
        <w:footnoteReference w:id="17"/>
      </w:r>
      <w:r>
        <w:rPr>
          <w:noProof/>
        </w:rPr>
        <w:t xml:space="preserve"> отразява интереса на държавите членки да участват активно в съвместни инициативи в областта на контрола на тютюна, профилактиката на ХИВ/СПИН, туберкулозата и вирусния хепатит и хроничните заболявания.</w:t>
      </w:r>
    </w:p>
    <w:p>
      <w:pPr>
        <w:spacing w:line="360" w:lineRule="auto"/>
        <w:jc w:val="both"/>
        <w:rPr>
          <w:rFonts w:cs="Times New Roman"/>
          <w:noProof/>
        </w:rPr>
      </w:pPr>
      <w:r>
        <w:rPr>
          <w:noProof/>
        </w:rPr>
        <w:t>След работата, извършена през 2015 г., Chafea продължи да инвестира в дейности за предоставяне на информация и разпространение на резултатите в тясно сътрудничество с ГД „Здравеопазване и безопасност на храните“ и с мрежата на националните фокусни точки по въпросите на здравната програма. Chafea организира няколко работни форума, сътрудничи при организирането на големи национални и международни конференции и организира отделни събития с националните органи в държавите — членки на ЕС. Агенцията също така изготви поредица от брошури и информационни листове за основните приоритетни области на здравната програма. Повече подробности за дейностите за разпространение през 2016 г. са предоставени в работния документ на службите на Комисията.</w:t>
      </w:r>
    </w:p>
    <w:p>
      <w:pPr>
        <w:spacing w:line="360" w:lineRule="auto"/>
        <w:jc w:val="both"/>
        <w:rPr>
          <w:rFonts w:cs="Times New Roman"/>
          <w:noProof/>
        </w:rPr>
      </w:pPr>
      <w:r>
        <w:rPr>
          <w:noProof/>
        </w:rPr>
        <w:t>За да се наблюдава изпълнението на здравната програма, напредъкът, постигнат по системата CORDA</w:t>
      </w:r>
      <w:r>
        <w:rPr>
          <w:rStyle w:val="FootnoteReference"/>
          <w:noProof/>
        </w:rPr>
        <w:footnoteReference w:id="18"/>
      </w:r>
      <w:r>
        <w:rPr>
          <w:noProof/>
        </w:rPr>
        <w:t>, ще бъде последван от анализ на обратната информация относно резултатите от програмата и потенциалното ѝ въздействие.</w:t>
      </w:r>
    </w:p>
    <w:p>
      <w:pPr>
        <w:spacing w:line="360" w:lineRule="auto"/>
        <w:jc w:val="both"/>
        <w:rPr>
          <w:rFonts w:cs="Times New Roman"/>
          <w:noProof/>
          <w:sz w:val="36"/>
          <w:highlight w:val="yellow"/>
        </w:rPr>
      </w:pPr>
      <w:r>
        <w:rPr>
          <w:noProof/>
        </w:rPr>
        <w:t>Тъй като повечето действия все още са на ранен етап, все още няма конкретни резултати. По-задълбочени данни за цялостното въздействие на програмата ще бъдат достъпни едва след приключване на първото поколение съфинансирани действия. Независимо от това многогодишният план, разработен в началото на третата здравна програма, гарантира непрекъснатост и съгласуваност между различните видове налични финансови инструменти. ЕРМ представляват ясен пример, тъй като подкрепата за тях е оптимизирана чрез съгласуване на обществените поръчки (оценка на доставчиците на здравно обслужване и ЕРМ), безвъзмездните средства за проекти (за функционирането на регистрите на пациенти), съвместните действия (относно редките заболявания и ORPHANET) и специфичните безвъзмездни средства по РСП за координиране на мрежите.</w:t>
      </w: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993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097951"/>
      <w:docPartObj>
        <w:docPartGallery w:val="Page Numbers (Bottom of Page)"/>
        <w:docPartUnique/>
      </w:docPartObj>
    </w:sdtPr>
    <w:sdtEndPr>
      <w:rPr>
        <w:sz w:val="16"/>
      </w:rPr>
    </w:sdtEndPr>
    <w:sdtContent>
      <w:p>
        <w:pPr>
          <w:pStyle w:val="Footer"/>
          <w:jc w:val="right"/>
          <w:rPr>
            <w:sz w:val="16"/>
          </w:rPr>
        </w:pPr>
        <w:r>
          <w:rPr>
            <w:sz w:val="16"/>
          </w:rPr>
          <w:fldChar w:fldCharType="begin"/>
        </w:r>
        <w:r>
          <w:rPr>
            <w:sz w:val="16"/>
          </w:rPr>
          <w:instrText xml:space="preserve"> PAGE   \* MERGEFORMAT </w:instrText>
        </w:r>
        <w:r>
          <w:rPr>
            <w:sz w:val="16"/>
          </w:rPr>
          <w:fldChar w:fldCharType="separate"/>
        </w:r>
        <w:r>
          <w:rPr>
            <w:noProof/>
            <w:sz w:val="16"/>
          </w:rPr>
          <w:t>15</w:t>
        </w:r>
        <w:r>
          <w:rPr>
            <w:sz w:val="16"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spacing w:after="0"/>
        <w:contextualSpacing/>
        <w:rPr>
          <w:rFonts w:ascii="Times New Roman" w:hAnsi="Times New Roman"/>
          <w:sz w:val="16"/>
          <w:lang w:val="ru-RU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tab/>
      </w:r>
      <w:r>
        <w:rPr>
          <w:rFonts w:ascii="Times New Roman" w:hAnsi="Times New Roman"/>
          <w:sz w:val="16"/>
        </w:rPr>
        <w:t>OВ L 86, 21.3.2014 г., стр. 1.</w:t>
      </w:r>
    </w:p>
  </w:footnote>
  <w:footnote w:id="2">
    <w:p>
      <w:pPr>
        <w:pStyle w:val="FootnoteText"/>
        <w:spacing w:after="0"/>
        <w:contextualSpacing/>
        <w:rPr>
          <w:rFonts w:ascii="Times New Roman" w:hAnsi="Times New Roman"/>
          <w:sz w:val="16"/>
          <w:lang w:val="ru-RU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tab/>
      </w:r>
      <w:r>
        <w:rPr>
          <w:rFonts w:ascii="Times New Roman" w:hAnsi="Times New Roman"/>
          <w:sz w:val="16"/>
        </w:rPr>
        <w:t>ОВ L 301, 20.11.2007 г., стр. 3.</w:t>
      </w:r>
    </w:p>
  </w:footnote>
  <w:footnote w:id="3">
    <w:p>
      <w:pPr>
        <w:pStyle w:val="FootnoteText"/>
        <w:contextualSpacing/>
        <w:rPr>
          <w:rFonts w:ascii="Times New Roman" w:hAnsi="Times New Roman"/>
          <w:sz w:val="16"/>
          <w:lang w:val="ru-RU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tab/>
      </w:r>
      <w:hyperlink r:id="rId1">
        <w:r>
          <w:rPr>
            <w:rStyle w:val="Hyperlink"/>
          </w:rPr>
          <w:t>https://ec.europa.eu/health/ern/networks_bg</w:t>
        </w:r>
      </w:hyperlink>
    </w:p>
  </w:footnote>
  <w:footnote w:id="4">
    <w:p>
      <w:pPr>
        <w:pStyle w:val="FootnoteText"/>
        <w:contextualSpacing/>
        <w:rPr>
          <w:rFonts w:ascii="Times New Roman" w:hAnsi="Times New Roman"/>
          <w:sz w:val="16"/>
          <w:lang w:val="ru-RU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tab/>
      </w:r>
      <w:r>
        <w:rPr>
          <w:rFonts w:ascii="Times New Roman" w:hAnsi="Times New Roman"/>
          <w:sz w:val="16"/>
        </w:rPr>
        <w:t>ОВ L 88, 4.4.2011 г., стр. 45—65.</w:t>
      </w:r>
    </w:p>
  </w:footnote>
  <w:footnote w:id="5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</w:r>
      <w:hyperlink r:id="rId2">
        <w:r>
          <w:rPr>
            <w:rStyle w:val="Hyperlink"/>
            <w:rFonts w:ascii="Times New Roman" w:hAnsi="Times New Roman"/>
            <w:sz w:val="16"/>
          </w:rPr>
          <w:t>https://ec.europa.eu/commission/sites/beta-political/files/juncker-political-guidelines-speech_bg.pdf</w:t>
        </w:r>
      </w:hyperlink>
    </w:p>
  </w:footnote>
  <w:footnote w:id="6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</w:r>
      <w:hyperlink r:id="rId3">
        <w:r>
          <w:rPr>
            <w:rStyle w:val="Hyperlink"/>
            <w:rFonts w:ascii="Times New Roman" w:hAnsi="Times New Roman"/>
            <w:sz w:val="16"/>
          </w:rPr>
          <w:t>https://ec.europa.eu/commission/commissioners/sites/cwt/files/commissioner_mission_letters/andriukaitis_en.pdf</w:t>
        </w:r>
      </w:hyperlink>
    </w:p>
  </w:footnote>
  <w:footnote w:id="7">
    <w:p>
      <w:pPr>
        <w:pStyle w:val="FootnoteText"/>
        <w:spacing w:after="0"/>
        <w:rPr>
          <w:rFonts w:ascii="Times New Roman" w:hAnsi="Times New Roman"/>
          <w:sz w:val="16"/>
          <w:szCs w:val="16"/>
          <w:lang w:val="ru-RU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tab/>
      </w:r>
      <w:r>
        <w:rPr>
          <w:rFonts w:ascii="Times New Roman" w:hAnsi="Times New Roman"/>
          <w:sz w:val="16"/>
        </w:rPr>
        <w:t>ОВ L 88, 4.4.2011 г., стр. 45—65.</w:t>
      </w:r>
    </w:p>
  </w:footnote>
  <w:footnote w:id="8">
    <w:p>
      <w:pPr>
        <w:pStyle w:val="FootnoteText"/>
        <w:rPr>
          <w:rFonts w:ascii="Times New Roman" w:hAnsi="Times New Roman"/>
          <w:sz w:val="16"/>
          <w:szCs w:val="16"/>
          <w:lang w:val="ru-RU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tab/>
      </w:r>
      <w:r>
        <w:rPr>
          <w:rFonts w:ascii="Times New Roman" w:hAnsi="Times New Roman"/>
          <w:sz w:val="16"/>
        </w:rPr>
        <w:t>ОВ L 147, 17.5.2014 г., стр. 79—87.</w:t>
      </w:r>
    </w:p>
  </w:footnote>
  <w:footnote w:id="9">
    <w:p>
      <w:pPr>
        <w:pStyle w:val="FootnoteText"/>
        <w:rPr>
          <w:lang w:val="ru-RU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tab/>
      </w:r>
      <w:r>
        <w:rPr>
          <w:rFonts w:ascii="Times New Roman" w:hAnsi="Times New Roman"/>
          <w:sz w:val="16"/>
        </w:rPr>
        <w:t>ОВ L 147, 17.5.2014 г., стр. 71—78.</w:t>
      </w:r>
    </w:p>
  </w:footnote>
  <w:footnote w:id="10">
    <w:p>
      <w:pPr>
        <w:pStyle w:val="FootnoteText"/>
        <w:spacing w:after="0"/>
        <w:jc w:val="both"/>
      </w:pPr>
      <w:r>
        <w:rPr>
          <w:rStyle w:val="FootnoteReference"/>
          <w:rFonts w:ascii="Times New Roman" w:hAnsi="Times New Roman"/>
          <w:sz w:val="16"/>
        </w:rPr>
        <w:footnoteRef/>
      </w:r>
      <w:r>
        <w:tab/>
      </w:r>
      <w:r>
        <w:rPr>
          <w:rFonts w:ascii="Times New Roman" w:hAnsi="Times New Roman"/>
          <w:sz w:val="16"/>
        </w:rPr>
        <w:t>Съгласно член 12 от Директива 2011/24/ЕС за упражняване на правата на пациентите при трансгранично здравно обслужване и съответните мерки за прилагане Европейската комисия разработи — чрез договор за услуги, управляван от Chafea — методологията и техническите средства за оценка на предложенията за „Мрежи и доставчици на здравно обслужване“. Изпълнителят е разгледал всички етапи от оценката от публикуването на поканата за мрежите до тяхното одобрение, включително материалите и методите, които ще се използват, и очакваните крайни продукти.</w:t>
      </w:r>
    </w:p>
  </w:footnote>
  <w:footnote w:id="11">
    <w:p>
      <w:pPr>
        <w:pStyle w:val="FootnoteText"/>
        <w:spacing w:after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tab/>
      </w:r>
      <w:r>
        <w:rPr>
          <w:rFonts w:ascii="Times New Roman" w:hAnsi="Times New Roman"/>
          <w:sz w:val="16"/>
        </w:rPr>
        <w:t>В ГРП за 2018 г. се предвижда многогодишна безвъзмездна финансова помощ, която обхваща последните 3 години от функционирането на мрежите. Това финансиране от ЕС възлиза на 13 800 000 EUR и продължава до края на февруари 2022 г.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  <w:sz w:val="16"/>
        </w:rPr>
        <w:t>Безвъзмездни средства за оперативни разходи за „Мрежата за уязвимост“, РСП 2015—2017 г.</w:t>
      </w:r>
    </w:p>
  </w:footnote>
  <w:footnote w:id="13">
    <w:p>
      <w:pPr>
        <w:pStyle w:val="FootnoteText"/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tab/>
      </w:r>
      <w:r>
        <w:rPr>
          <w:rFonts w:ascii="Times New Roman" w:hAnsi="Times New Roman"/>
          <w:sz w:val="16"/>
        </w:rPr>
        <w:t xml:space="preserve">Decision 2004/858/EC of 15 December 2004 (OJ L 369, 16.12.2004, p. 73) amended by Decision 2008/544/EC of 20 June 2008 (OJ L 173, 3.7.2008, p. 27); От декември 2014 г. насам CHAFEA замени Изпълнителната агенция за здравеопазване и въпроси, свързани с потребителите (ЕАНС) по силата на </w:t>
      </w:r>
      <w:hyperlink r:id="rId4">
        <w:r>
          <w:rPr>
            <w:rStyle w:val="Hyperlink"/>
          </w:rPr>
          <w:t>Решение за изпълнение 2014/927/EС на Комисията</w:t>
        </w:r>
      </w:hyperlink>
      <w:r>
        <w:rPr>
          <w:rStyle w:val="Hyperlink"/>
          <w:color w:val="auto"/>
          <w:u w:val="none"/>
        </w:rPr>
        <w:t>.</w:t>
      </w:r>
    </w:p>
  </w:footnote>
  <w:footnote w:id="14">
    <w:p>
      <w:pPr>
        <w:pStyle w:val="FootnoteText"/>
      </w:pPr>
      <w:r>
        <w:rPr>
          <w:rStyle w:val="FootnoteReference"/>
          <w:rFonts w:ascii="Times New Roman" w:hAnsi="Times New Roman"/>
          <w:sz w:val="16"/>
        </w:rPr>
        <w:footnoteRef/>
      </w:r>
      <w:r>
        <w:tab/>
      </w:r>
      <w:r>
        <w:rPr>
          <w:rFonts w:ascii="Times New Roman" w:hAnsi="Times New Roman"/>
          <w:sz w:val="16"/>
        </w:rPr>
        <w:t>Решение за изпълнение С(2016) 1158 final на Комисията от 1.3.2016 г.</w:t>
      </w:r>
    </w:p>
  </w:footnote>
  <w:footnote w:id="15">
    <w:p>
      <w:pPr>
        <w:pStyle w:val="FootnoteText"/>
        <w:spacing w:after="0"/>
        <w:rPr>
          <w:rFonts w:ascii="Times New Roman" w:hAnsi="Times New Roman"/>
          <w:sz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tab/>
      </w:r>
      <w:r>
        <w:rPr>
          <w:rFonts w:ascii="Times New Roman" w:hAnsi="Times New Roman"/>
          <w:sz w:val="16"/>
        </w:rPr>
        <w:t>Разлики между кредитите, достъпни за използване само през 2016 г., и действително договорените суми.</w:t>
      </w:r>
    </w:p>
  </w:footnote>
  <w:footnote w:id="16">
    <w:p>
      <w:pPr>
        <w:pStyle w:val="FootnoteText"/>
        <w:rPr>
          <w:rFonts w:ascii="Times New Roman" w:hAnsi="Times New Roman"/>
          <w:sz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tab/>
      </w:r>
      <w:r>
        <w:rPr>
          <w:rFonts w:ascii="Times New Roman" w:hAnsi="Times New Roman"/>
          <w:sz w:val="16"/>
        </w:rPr>
        <w:t>Това изключва договорите с отделни експерти, например участващите в научните комитети.</w:t>
      </w:r>
    </w:p>
  </w:footnote>
  <w:footnote w:id="17">
    <w:p>
      <w:pPr>
        <w:pStyle w:val="FootnoteText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tab/>
      </w:r>
      <w:r>
        <w:rPr>
          <w:rFonts w:ascii="Times New Roman" w:hAnsi="Times New Roman"/>
          <w:sz w:val="16"/>
        </w:rPr>
        <w:t>През 2016 г. имаше общо между 27 и 44 партньори (бенефициери, свързаните лица не са включени) в съвместно действие, което беше предизвикателство за цялостното им управление и координация, тъй като всички партньори трябваше да подпишат споразумението за отпускане на безвъзмездни средства.</w:t>
      </w:r>
    </w:p>
  </w:footnote>
  <w:footnote w:id="18">
    <w:p>
      <w:pPr>
        <w:pStyle w:val="FootnoteText"/>
        <w:spacing w:after="0"/>
      </w:pPr>
      <w:r>
        <w:rPr>
          <w:rStyle w:val="FootnoteReference"/>
          <w:rFonts w:ascii="Times New Roman" w:hAnsi="Times New Roman"/>
          <w:sz w:val="16"/>
        </w:rPr>
        <w:footnoteRef/>
      </w:r>
      <w:r>
        <w:tab/>
      </w:r>
      <w:r>
        <w:rPr>
          <w:rFonts w:ascii="Times New Roman" w:hAnsi="Times New Roman"/>
          <w:sz w:val="16"/>
        </w:rPr>
        <w:t>Системата CORDA обобщава данните, събрани за всички действия, ръководени от СHAFEA и следени с помощта на електронните инструменти на „Хоризонт 2020“. Въведена от Общия център за подкрепа за програмата за научни изследвания и иновации, тя е основният източник на информация и осигурява обратна информация за постигането на целите и приоритетите на програмата, видовете действия и видовете съфинансирани организации.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68"/>
    </w:tblGrid>
    <w:tr>
      <w:trPr>
        <w:trHeight w:val="426"/>
      </w:trPr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>
          <w:pPr>
            <w:widowControl w:val="0"/>
            <w:autoSpaceDE w:val="0"/>
            <w:autoSpaceDN w:val="0"/>
            <w:spacing w:after="0"/>
            <w:ind w:right="85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>
    <w:pPr>
      <w:pStyle w:val="Header"/>
    </w:pPr>
    <w:r>
      <w:object w:dxaOrig="9072" w:dyaOrig="12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5.25pt;height:621pt" o:ole="">
          <v:imagedata r:id="rId1" o:title=""/>
        </v:shape>
        <o:OLEObject Type="Embed" ProgID="Word.Document.12" ShapeID="_x0000_i1026" DrawAspect="Content" ObjectID="_1625914205" r:id="rId2">
          <o:FieldCodes>\s</o:FieldCodes>
        </o:OLEObject>
      </w:obje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09AA6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6FC64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2A06A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F36B9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88CFC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F8CFF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1F638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0329818"/>
    <w:name w:val="0,4131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2DC5A10"/>
    <w:multiLevelType w:val="hybridMultilevel"/>
    <w:tmpl w:val="CB40E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91BA6"/>
    <w:multiLevelType w:val="hybridMultilevel"/>
    <w:tmpl w:val="CAFE0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CF4D7F"/>
    <w:multiLevelType w:val="hybridMultilevel"/>
    <w:tmpl w:val="2054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300D85"/>
    <w:multiLevelType w:val="hybridMultilevel"/>
    <w:tmpl w:val="B16C0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F713B"/>
    <w:multiLevelType w:val="hybridMultilevel"/>
    <w:tmpl w:val="4CDCE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8323A3"/>
    <w:multiLevelType w:val="hybridMultilevel"/>
    <w:tmpl w:val="CBA86206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8F2C54"/>
    <w:multiLevelType w:val="multilevel"/>
    <w:tmpl w:val="ADEC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062B06"/>
    <w:multiLevelType w:val="multilevel"/>
    <w:tmpl w:val="7592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1A741B3C"/>
    <w:multiLevelType w:val="hybridMultilevel"/>
    <w:tmpl w:val="91B68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C78B8"/>
    <w:multiLevelType w:val="multilevel"/>
    <w:tmpl w:val="2ED4F4D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8">
    <w:nsid w:val="1C5D40E1"/>
    <w:multiLevelType w:val="hybridMultilevel"/>
    <w:tmpl w:val="722CA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4922DC"/>
    <w:multiLevelType w:val="hybridMultilevel"/>
    <w:tmpl w:val="6048F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320986"/>
    <w:multiLevelType w:val="hybridMultilevel"/>
    <w:tmpl w:val="373A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6A412D5"/>
    <w:multiLevelType w:val="hybridMultilevel"/>
    <w:tmpl w:val="717AE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132B5D"/>
    <w:multiLevelType w:val="hybridMultilevel"/>
    <w:tmpl w:val="6A6C25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2419EC"/>
    <w:multiLevelType w:val="hybridMultilevel"/>
    <w:tmpl w:val="3234604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>
    <w:nsid w:val="2A0967B8"/>
    <w:multiLevelType w:val="multilevel"/>
    <w:tmpl w:val="5178F132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Heading2"/>
      <w:lvlText w:val="%2."/>
      <w:lvlJc w:val="left"/>
      <w:pPr>
        <w:ind w:left="860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2C656211"/>
    <w:multiLevelType w:val="hybridMultilevel"/>
    <w:tmpl w:val="AECAE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8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9">
    <w:nsid w:val="2F6E5929"/>
    <w:multiLevelType w:val="hybridMultilevel"/>
    <w:tmpl w:val="62B6553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>
    <w:nsid w:val="32327534"/>
    <w:multiLevelType w:val="hybridMultilevel"/>
    <w:tmpl w:val="4DE8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545D84"/>
    <w:multiLevelType w:val="hybridMultilevel"/>
    <w:tmpl w:val="D304E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344427"/>
    <w:multiLevelType w:val="hybridMultilevel"/>
    <w:tmpl w:val="C2108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4D2CF2"/>
    <w:multiLevelType w:val="multilevel"/>
    <w:tmpl w:val="0AACAD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C54519"/>
    <w:multiLevelType w:val="multilevel"/>
    <w:tmpl w:val="19F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42F02C9E"/>
    <w:multiLevelType w:val="hybridMultilevel"/>
    <w:tmpl w:val="B82C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8">
    <w:nsid w:val="44DA2072"/>
    <w:multiLevelType w:val="hybridMultilevel"/>
    <w:tmpl w:val="E39C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40">
    <w:nsid w:val="51B54209"/>
    <w:multiLevelType w:val="hybridMultilevel"/>
    <w:tmpl w:val="145C6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391591"/>
    <w:multiLevelType w:val="multilevel"/>
    <w:tmpl w:val="C830590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43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44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45">
    <w:nsid w:val="5C4B6584"/>
    <w:multiLevelType w:val="multilevel"/>
    <w:tmpl w:val="9B3C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>
    <w:nsid w:val="64A12FA4"/>
    <w:multiLevelType w:val="multilevel"/>
    <w:tmpl w:val="E9B68C2E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860" w:hanging="576"/>
      </w:pPr>
      <w:rPr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8">
    <w:nsid w:val="663977AF"/>
    <w:multiLevelType w:val="hybridMultilevel"/>
    <w:tmpl w:val="789A437E"/>
    <w:name w:val="0,8244091"/>
    <w:lvl w:ilvl="0" w:tplc="1F86C70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70D2527"/>
    <w:multiLevelType w:val="hybridMultilevel"/>
    <w:tmpl w:val="B1349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51">
    <w:nsid w:val="6AB15973"/>
    <w:multiLevelType w:val="multilevel"/>
    <w:tmpl w:val="0AF6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3E6E66"/>
    <w:multiLevelType w:val="hybridMultilevel"/>
    <w:tmpl w:val="1BCA743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3">
    <w:nsid w:val="7C27490B"/>
    <w:multiLevelType w:val="hybridMultilevel"/>
    <w:tmpl w:val="C00A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47"/>
  </w:num>
  <w:num w:numId="2">
    <w:abstractNumId w:val="46"/>
  </w:num>
  <w:num w:numId="3">
    <w:abstractNumId w:val="35"/>
  </w:num>
  <w:num w:numId="4">
    <w:abstractNumId w:val="50"/>
  </w:num>
  <w:num w:numId="5">
    <w:abstractNumId w:val="28"/>
  </w:num>
  <w:num w:numId="6">
    <w:abstractNumId w:val="37"/>
  </w:num>
  <w:num w:numId="7">
    <w:abstractNumId w:val="21"/>
  </w:num>
  <w:num w:numId="8">
    <w:abstractNumId w:val="39"/>
  </w:num>
  <w:num w:numId="9">
    <w:abstractNumId w:val="43"/>
  </w:num>
  <w:num w:numId="10">
    <w:abstractNumId w:val="44"/>
  </w:num>
  <w:num w:numId="11">
    <w:abstractNumId w:val="27"/>
  </w:num>
  <w:num w:numId="12">
    <w:abstractNumId w:val="42"/>
  </w:num>
  <w:num w:numId="13">
    <w:abstractNumId w:val="54"/>
  </w:num>
  <w:num w:numId="14">
    <w:abstractNumId w:val="7"/>
  </w:num>
  <w:num w:numId="15">
    <w:abstractNumId w:val="5"/>
  </w:num>
  <w:num w:numId="16">
    <w:abstractNumId w:val="4"/>
  </w:num>
  <w:num w:numId="17">
    <w:abstractNumId w:val="3"/>
  </w:num>
  <w:num w:numId="18">
    <w:abstractNumId w:val="48"/>
  </w:num>
  <w:num w:numId="19">
    <w:abstractNumId w:val="41"/>
  </w:num>
  <w:num w:numId="20">
    <w:abstractNumId w:val="17"/>
  </w:num>
  <w:num w:numId="21">
    <w:abstractNumId w:val="6"/>
  </w:num>
  <w:num w:numId="22">
    <w:abstractNumId w:val="2"/>
  </w:num>
  <w:num w:numId="23">
    <w:abstractNumId w:val="1"/>
  </w:num>
  <w:num w:numId="24">
    <w:abstractNumId w:val="0"/>
  </w:num>
  <w:num w:numId="25">
    <w:abstractNumId w:val="51"/>
  </w:num>
  <w:num w:numId="26">
    <w:abstractNumId w:val="20"/>
  </w:num>
  <w:num w:numId="27">
    <w:abstractNumId w:val="9"/>
  </w:num>
  <w:num w:numId="28">
    <w:abstractNumId w:val="52"/>
  </w:num>
  <w:num w:numId="29">
    <w:abstractNumId w:val="23"/>
  </w:num>
  <w:num w:numId="30">
    <w:abstractNumId w:val="30"/>
  </w:num>
  <w:num w:numId="31">
    <w:abstractNumId w:val="24"/>
  </w:num>
  <w:num w:numId="32">
    <w:abstractNumId w:val="8"/>
  </w:num>
  <w:num w:numId="33">
    <w:abstractNumId w:val="29"/>
  </w:num>
  <w:num w:numId="34">
    <w:abstractNumId w:val="16"/>
  </w:num>
  <w:num w:numId="35">
    <w:abstractNumId w:val="25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0"/>
  </w:num>
  <w:num w:numId="40">
    <w:abstractNumId w:val="11"/>
  </w:num>
  <w:num w:numId="41">
    <w:abstractNumId w:val="33"/>
  </w:num>
  <w:num w:numId="42">
    <w:abstractNumId w:val="15"/>
  </w:num>
  <w:num w:numId="43">
    <w:abstractNumId w:val="25"/>
  </w:num>
  <w:num w:numId="44">
    <w:abstractNumId w:val="25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26"/>
  </w:num>
  <w:num w:numId="48">
    <w:abstractNumId w:val="14"/>
  </w:num>
  <w:num w:numId="49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</w:num>
  <w:num w:numId="51">
    <w:abstractNumId w:val="38"/>
  </w:num>
  <w:num w:numId="52">
    <w:abstractNumId w:val="18"/>
  </w:num>
  <w:num w:numId="53">
    <w:abstractNumId w:val="49"/>
  </w:num>
  <w:num w:numId="54">
    <w:abstractNumId w:val="31"/>
  </w:num>
  <w:num w:numId="55">
    <w:abstractNumId w:val="40"/>
  </w:num>
  <w:num w:numId="56">
    <w:abstractNumId w:val="36"/>
  </w:num>
  <w:num w:numId="57">
    <w:abstractNumId w:val="53"/>
  </w:num>
  <w:num w:numId="58">
    <w:abstractNumId w:val="32"/>
  </w:num>
  <w:num w:numId="59">
    <w:abstractNumId w:val="12"/>
  </w:num>
  <w:num w:numId="60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5C07D88D-9982-4259-9319-1165DFF7C016"/>
    <w:docVar w:name="LW_COVERPAGE_TYPE" w:val="1"/>
    <w:docVar w:name="LW_CROSSREFERENCE" w:val="{SWD(2019) 316 final}"/>
    <w:docVar w:name="LW_DocType" w:val="NORMAL"/>
    <w:docVar w:name="LW_EMISSION" w:val="5.8.2019"/>
    <w:docVar w:name="LW_EMISSION_ISODATE" w:val="2019-08-05"/>
    <w:docVar w:name="LW_EMISSION_LOCATION" w:val="BRX"/>
    <w:docVar w:name="LW_EMISSION_PREFIX" w:val="Брюксел, "/>
    <w:docVar w:name="LW_EMISSION_SUFFIX" w:val="\u1075?."/>
    <w:docVar w:name="LW_ID_DOCTYPE_NONLW" w:val="CP-00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9) 36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&lt;FMT:Font=Calibri Cyr&gt;\u1048?\u1079?\u1087?\u1098?\u1083?\u1085?\u1077?\u1085?\u1080?\u1077? \u1085?\u1072? \u1090?\u1088?\u1077?\u1090?\u1072?\u1090?\u1072? \u1087?\u1088?\u1086?\u1075?\u1088?\u1072?\u1084?\u1072? \u1079?\u1072? \u1076?\u1077?\u1081?\u1089?\u1090?\u1074?\u1080?\u1077? \u1085?\u1072? \u1057?\u1098?\u1102?\u1079?\u1072? \u1074? \u1086?\u1073?\u1083?\u1072?\u1089?\u1090?\u1090?\u1072? \u1085?\u1072? \u1079?\u1076?\u1088?\u1072?\u1074?\u1077?\u1090?\u1086? \u1087?\u1088?\u1077?\u1079? 2016 \u1075?.&lt;/FMT&gt;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  <w:docVar w:name="Stamp" w:val="\\dossiers.dgt.cec.eu.int\dossiers\SANTE\SANTE-2019-11198\SANTE-2019-11198-00-00-EN-EDT-00.201906021826478571790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360" w:after="120" w:line="240" w:lineRule="auto"/>
      <w:jc w:val="both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35"/>
      </w:numPr>
      <w:spacing w:after="240" w:line="240" w:lineRule="auto"/>
      <w:jc w:val="both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eastAsia="Times New Roman" w:cs="Times New Roman"/>
      <w:bCs/>
      <w:i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eastAsia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mbria" w:eastAsia="Times New Roman" w:hAnsi="Cambria" w:cs="Times New Roman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440"/>
        <w:tab w:val="right" w:leader="dot" w:pos="9063"/>
      </w:tabs>
    </w:pPr>
    <w:rPr>
      <w:rFonts w:eastAsia="Calibri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pPr>
      <w:ind w:left="440"/>
    </w:pPr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left" w:pos="880"/>
        <w:tab w:val="right" w:leader="dot" w:pos="9063"/>
      </w:tabs>
      <w:spacing w:after="100"/>
      <w:ind w:left="142"/>
    </w:pPr>
    <w:rPr>
      <w:rFonts w:eastAsia="Arial Unicode MS" w:cs="Times New Roman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PlainText">
    <w:name w:val="Plain Text"/>
    <w:basedOn w:val="Normal"/>
    <w:link w:val="PlainTextChar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unhideWhenUsed/>
    <w:rPr>
      <w:color w:val="800080"/>
      <w:u w:val="single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symbol,Footnote,Voetnootverwijzing,Times 10 Point,Exposant 3 Point,Appel note de bas de p,BVI fnr,Footnote Refernece,Fußnotenzeichen_Raxen,callout,Footnote Reference Number,SUPERS,Footnote reference number,note TESI,fr,o"/>
    <w:unhideWhenUsed/>
    <w:rPr>
      <w:vertAlign w:val="superscript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cs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cs="Times New Roman"/>
      <w:sz w:val="24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eastAsia="Times New Roman" w:cs="Times New Roman"/>
      <w:sz w:val="24"/>
      <w:szCs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  <w:sz w:val="24"/>
      <w:szCs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eastAsia="Times New Roman" w:cs="Times New Roman"/>
      <w:sz w:val="24"/>
      <w:szCs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eastAsia="Times New Roman" w:cs="Times New Roman"/>
      <w:sz w:val="24"/>
      <w:szCs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eastAsia="Times New Roman" w:cs="Times New Roman"/>
      <w:sz w:val="24"/>
      <w:szCs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  <w:sz w:val="24"/>
      <w:szCs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eastAsia="Times New Roman" w:cs="Times New Roman"/>
      <w:sz w:val="24"/>
      <w:szCs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  <w:sz w:val="24"/>
      <w:szCs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eastAsia="Times New Roman" w:cs="Times New Roman"/>
      <w:sz w:val="24"/>
      <w:szCs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eastAsia="Times New Roman" w:cs="Times New Roman"/>
      <w:sz w:val="24"/>
      <w:szCs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eastAsia="Times New Roman" w:cs="Times New Roman"/>
      <w:sz w:val="24"/>
      <w:szCs w:val="24"/>
    </w:rPr>
  </w:style>
  <w:style w:type="paragraph" w:customStyle="1" w:styleId="Tiret0">
    <w:name w:val="Tiret 0"/>
    <w:basedOn w:val="Point0"/>
    <w:pPr>
      <w:numPr>
        <w:numId w:val="2"/>
      </w:numPr>
    </w:pPr>
  </w:style>
  <w:style w:type="paragraph" w:customStyle="1" w:styleId="Tiret1">
    <w:name w:val="Tiret 1"/>
    <w:basedOn w:val="Point1"/>
    <w:pPr>
      <w:numPr>
        <w:numId w:val="3"/>
      </w:numPr>
    </w:pPr>
  </w:style>
  <w:style w:type="paragraph" w:customStyle="1" w:styleId="Tiret2">
    <w:name w:val="Tiret 2"/>
    <w:basedOn w:val="Point2"/>
    <w:pPr>
      <w:numPr>
        <w:numId w:val="4"/>
      </w:numPr>
    </w:pPr>
  </w:style>
  <w:style w:type="paragraph" w:customStyle="1" w:styleId="Tiret3">
    <w:name w:val="Tiret 3"/>
    <w:basedOn w:val="Point3"/>
    <w:pPr>
      <w:numPr>
        <w:numId w:val="5"/>
      </w:numPr>
    </w:pPr>
  </w:style>
  <w:style w:type="paragraph" w:customStyle="1" w:styleId="Tiret4">
    <w:name w:val="Tiret 4"/>
    <w:basedOn w:val="Point4"/>
    <w:pPr>
      <w:numPr>
        <w:numId w:val="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eastAsia="Times New Roman" w:cs="Times New Roman"/>
      <w:sz w:val="24"/>
      <w:szCs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eastAsia="Times New Roman" w:cs="Times New Roman"/>
      <w:sz w:val="24"/>
      <w:szCs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eastAsia="Times New Roman" w:cs="Times New Roman"/>
      <w:sz w:val="24"/>
      <w:szCs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eastAsia="Times New Roman" w:cs="Times New Roman"/>
      <w:sz w:val="24"/>
      <w:szCs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eastAsia="Times New Roman" w:cs="Times New Roman"/>
      <w:sz w:val="24"/>
      <w:szCs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eastAsia="Times New Roman" w:cs="Times New Roman"/>
      <w:sz w:val="24"/>
      <w:szCs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eastAsia="Times New Roman" w:cs="Times New Roman"/>
      <w:sz w:val="24"/>
      <w:szCs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eastAsia="Times New Roman" w:cs="Times New Roman"/>
      <w:sz w:val="24"/>
      <w:szCs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eastAsia="Times New Roman" w:cs="Times New Roman"/>
      <w:sz w:val="24"/>
      <w:szCs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eastAsia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pPr>
      <w:numPr>
        <w:numId w:val="7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NumPar2">
    <w:name w:val="NumPar 2"/>
    <w:basedOn w:val="Normal"/>
    <w:next w:val="Text1"/>
    <w:pPr>
      <w:numPr>
        <w:ilvl w:val="1"/>
        <w:numId w:val="7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7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7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  <w:sz w:val="24"/>
      <w:szCs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  <w:sz w:val="24"/>
      <w:szCs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  <w:sz w:val="24"/>
      <w:szCs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  <w:sz w:val="24"/>
      <w:szCs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eastAsia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eastAsia="Times New Roman" w:cs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eastAsia="Times New Roman" w:cs="Times New Roman"/>
      <w:i/>
      <w:sz w:val="24"/>
      <w:szCs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eastAsia="Times New Roman" w:cs="Times New Roman"/>
      <w:sz w:val="24"/>
      <w:szCs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eastAsia="Times New Roman" w:cs="Times New Roman"/>
      <w:b/>
      <w:sz w:val="32"/>
      <w:szCs w:val="24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eastAsia="Times New Roman" w:cs="Times New Roman"/>
      <w:b/>
      <w:sz w:val="36"/>
      <w:szCs w:val="24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eastAsia="Times New Roman" w:cs="Times New Roman"/>
      <w:b/>
      <w:smallCaps/>
      <w:sz w:val="28"/>
      <w:szCs w:val="24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 w:val="24"/>
      <w:szCs w:val="24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styleId="TOCHeading">
    <w:name w:val="TOC Heading"/>
    <w:basedOn w:val="Normal"/>
    <w:next w:val="Normal"/>
    <w:uiPriority w:val="39"/>
    <w:qFormat/>
    <w:pPr>
      <w:spacing w:before="120" w:after="240" w:line="240" w:lineRule="auto"/>
    </w:pPr>
    <w:rPr>
      <w:rFonts w:eastAsia="Times New Roman" w:cs="Times New Roman"/>
      <w:b/>
      <w:sz w:val="28"/>
      <w:szCs w:val="24"/>
    </w:rPr>
  </w:style>
  <w:style w:type="paragraph" w:customStyle="1" w:styleId="Point0number">
    <w:name w:val="Point 0 (number)"/>
    <w:basedOn w:val="Normal"/>
    <w:pPr>
      <w:numPr>
        <w:numId w:val="2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2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2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2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2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2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2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2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2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Bullet0">
    <w:name w:val="Bullet 0"/>
    <w:basedOn w:val="Normal"/>
    <w:pPr>
      <w:numPr>
        <w:numId w:val="8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Bullet1">
    <w:name w:val="Bullet 1"/>
    <w:basedOn w:val="Normal"/>
    <w:pPr>
      <w:numPr>
        <w:numId w:val="9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Bullet2">
    <w:name w:val="Bullet 2"/>
    <w:basedOn w:val="Normal"/>
    <w:pPr>
      <w:numPr>
        <w:numId w:val="1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Bullet3">
    <w:name w:val="Bullet 3"/>
    <w:basedOn w:val="Normal"/>
    <w:pPr>
      <w:numPr>
        <w:numId w:val="11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Bullet4">
    <w:name w:val="Bullet 4"/>
    <w:basedOn w:val="Normal"/>
    <w:pPr>
      <w:numPr>
        <w:numId w:val="12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 w:val="24"/>
      <w:szCs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 w:val="24"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 w:val="24"/>
      <w:szCs w:val="24"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eastAsia="Times New Roman" w:cs="Times New Roman"/>
      <w:sz w:val="24"/>
      <w:szCs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  <w:jc w:val="both"/>
    </w:pPr>
    <w:rPr>
      <w:rFonts w:eastAsia="Times New Roman" w:cs="Times New Roman"/>
      <w:i/>
      <w:sz w:val="32"/>
      <w:szCs w:val="24"/>
    </w:rPr>
  </w:style>
  <w:style w:type="paragraph" w:customStyle="1" w:styleId="Considrant">
    <w:name w:val="Considérant"/>
    <w:basedOn w:val="Normal"/>
    <w:pPr>
      <w:numPr>
        <w:numId w:val="13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eastAsia="Times New Roman" w:cs="Times New Roman"/>
      <w:sz w:val="24"/>
      <w:szCs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eastAsia="Times New Roman" w:cs="Times New Roman"/>
      <w:b/>
      <w:sz w:val="24"/>
      <w:szCs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eastAsia="Times New Roman" w:cs="Times New Roman"/>
      <w:sz w:val="24"/>
      <w:szCs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 w:val="24"/>
      <w:szCs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eastAsia="Times New Roman" w:cs="Times New Roman"/>
      <w:i/>
      <w:sz w:val="24"/>
      <w:szCs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eastAsia="Times New Roman" w:cs="Times New Roman"/>
      <w:b/>
      <w:caps/>
      <w:sz w:val="24"/>
      <w:szCs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eastAsia="Times New Roman" w:cs="Times New Roman"/>
      <w:sz w:val="24"/>
      <w:szCs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eastAsia="Times New Roman" w:cs="Times New Roman"/>
      <w:i/>
      <w:sz w:val="24"/>
      <w:szCs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eastAsia="Times New Roman" w:cs="Times New Roman"/>
      <w:sz w:val="24"/>
      <w:szCs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eastAsia="Times New Roman" w:cs="Times New Roman"/>
      <w:sz w:val="24"/>
      <w:szCs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eastAsia="Times New Roman" w:cs="Times New Roman"/>
      <w:sz w:val="24"/>
      <w:szCs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eastAsia="Times New Roman" w:cs="Times New Roman"/>
      <w:b/>
      <w:sz w:val="24"/>
      <w:szCs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eastAsia="Times New Roman" w:cs="Times New Roman"/>
      <w:i/>
      <w:sz w:val="24"/>
      <w:szCs w:val="24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eastAsia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link w:val="TypedudocumentChar"/>
    <w:pPr>
      <w:spacing w:before="360" w:after="0" w:line="240" w:lineRule="auto"/>
      <w:jc w:val="center"/>
    </w:pPr>
    <w:rPr>
      <w:rFonts w:eastAsia="Times New Roman" w:cs="Times New Roman"/>
      <w:b/>
      <w:sz w:val="24"/>
      <w:szCs w:val="24"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eastAsia="Times New Roman" w:cs="Times New Roman"/>
      <w:sz w:val="24"/>
      <w:szCs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eastAsia="Times New Roman" w:cs="Times New Roman"/>
      <w:i/>
      <w:caps/>
      <w:sz w:val="24"/>
      <w:szCs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eastAsia="Times New Roman" w:cs="Times New Roman"/>
      <w:b/>
      <w:sz w:val="24"/>
      <w:szCs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 w:val="24"/>
      <w:szCs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eastAsia="Times New Roman" w:cs="Times New Roman"/>
      <w:sz w:val="24"/>
      <w:szCs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eastAsia="Times New Roman" w:cs="Times New Roman"/>
      <w:b/>
      <w:i/>
      <w:sz w:val="24"/>
      <w:szCs w:val="24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eastAsia="Times New Roman" w:cs="Times New Roman"/>
      <w:b/>
      <w:sz w:val="24"/>
      <w:szCs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eastAsia="Times New Roman" w:cs="Times New Roman"/>
      <w:b/>
      <w:sz w:val="24"/>
      <w:szCs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eastAsia="Times New Roman" w:cs="Times New Roman"/>
      <w:sz w:val="24"/>
      <w:szCs w:val="24"/>
    </w:rPr>
  </w:style>
  <w:style w:type="paragraph" w:styleId="ListBullet">
    <w:name w:val="List Bullet"/>
    <w:basedOn w:val="Normal"/>
    <w:pPr>
      <w:numPr>
        <w:numId w:val="14"/>
      </w:numPr>
      <w:spacing w:before="120" w:after="120" w:line="240" w:lineRule="auto"/>
      <w:contextualSpacing/>
      <w:jc w:val="both"/>
    </w:pPr>
    <w:rPr>
      <w:rFonts w:eastAsia="Times New Roman" w:cs="Times New Roman"/>
      <w:sz w:val="24"/>
      <w:szCs w:val="24"/>
    </w:rPr>
  </w:style>
  <w:style w:type="paragraph" w:styleId="ListBullet2">
    <w:name w:val="List Bullet 2"/>
    <w:basedOn w:val="Normal"/>
    <w:pPr>
      <w:numPr>
        <w:numId w:val="15"/>
      </w:numPr>
      <w:spacing w:before="120" w:after="120" w:line="240" w:lineRule="auto"/>
      <w:contextualSpacing/>
      <w:jc w:val="both"/>
    </w:pPr>
    <w:rPr>
      <w:rFonts w:eastAsia="Times New Roman" w:cs="Times New Roman"/>
      <w:sz w:val="24"/>
      <w:szCs w:val="24"/>
    </w:rPr>
  </w:style>
  <w:style w:type="paragraph" w:styleId="ListBullet3">
    <w:name w:val="List Bullet 3"/>
    <w:basedOn w:val="Normal"/>
    <w:pPr>
      <w:numPr>
        <w:numId w:val="16"/>
      </w:numPr>
      <w:spacing w:before="120" w:after="120" w:line="240" w:lineRule="auto"/>
      <w:contextualSpacing/>
      <w:jc w:val="both"/>
    </w:pPr>
    <w:rPr>
      <w:rFonts w:eastAsia="Times New Roman" w:cs="Times New Roman"/>
      <w:sz w:val="24"/>
      <w:szCs w:val="24"/>
    </w:rPr>
  </w:style>
  <w:style w:type="paragraph" w:styleId="ListBullet4">
    <w:name w:val="List Bullet 4"/>
    <w:basedOn w:val="Normal"/>
    <w:pPr>
      <w:numPr>
        <w:numId w:val="17"/>
      </w:numPr>
      <w:spacing w:before="120" w:after="120" w:line="240" w:lineRule="auto"/>
      <w:contextualSpacing/>
      <w:jc w:val="both"/>
    </w:pPr>
    <w:rPr>
      <w:rFonts w:eastAsia="Times New Roman" w:cs="Times New Roman"/>
      <w:sz w:val="24"/>
      <w:szCs w:val="24"/>
    </w:rPr>
  </w:style>
  <w:style w:type="paragraph" w:customStyle="1" w:styleId="ListDash">
    <w:name w:val="List Dash"/>
    <w:basedOn w:val="Normal"/>
    <w:pPr>
      <w:numPr>
        <w:numId w:val="18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numbering" w:styleId="111111">
    <w:name w:val="Outline List 2"/>
    <w:basedOn w:val="NoList"/>
    <w:pPr>
      <w:numPr>
        <w:numId w:val="19"/>
      </w:numPr>
    </w:pPr>
  </w:style>
  <w:style w:type="character" w:styleId="PageNumber">
    <w:name w:val="page number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  <w:jc w:val="both"/>
    </w:pPr>
    <w:rPr>
      <w:rFonts w:eastAsia="Times New Roman" w:cs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p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styleId="ListNumber">
    <w:name w:val="List Number"/>
    <w:basedOn w:val="Normal"/>
    <w:pPr>
      <w:numPr>
        <w:numId w:val="21"/>
      </w:numPr>
      <w:spacing w:before="120" w:after="120" w:line="240" w:lineRule="auto"/>
      <w:contextualSpacing/>
      <w:jc w:val="both"/>
    </w:pPr>
    <w:rPr>
      <w:rFonts w:eastAsia="Times New Roman" w:cs="Times New Roman"/>
      <w:sz w:val="24"/>
      <w:szCs w:val="24"/>
    </w:rPr>
  </w:style>
  <w:style w:type="paragraph" w:styleId="ListNumber2">
    <w:name w:val="List Number 2"/>
    <w:basedOn w:val="Normal"/>
    <w:pPr>
      <w:numPr>
        <w:numId w:val="22"/>
      </w:numPr>
      <w:spacing w:before="120" w:after="120" w:line="240" w:lineRule="auto"/>
      <w:contextualSpacing/>
      <w:jc w:val="both"/>
    </w:pPr>
    <w:rPr>
      <w:rFonts w:eastAsia="Times New Roman" w:cs="Times New Roman"/>
      <w:sz w:val="24"/>
      <w:szCs w:val="24"/>
    </w:rPr>
  </w:style>
  <w:style w:type="paragraph" w:styleId="ListNumber3">
    <w:name w:val="List Number 3"/>
    <w:basedOn w:val="Normal"/>
    <w:pPr>
      <w:numPr>
        <w:numId w:val="23"/>
      </w:numPr>
      <w:spacing w:before="120" w:after="120" w:line="240" w:lineRule="auto"/>
      <w:contextualSpacing/>
      <w:jc w:val="both"/>
    </w:pPr>
    <w:rPr>
      <w:rFonts w:eastAsia="Times New Roman" w:cs="Times New Roman"/>
      <w:sz w:val="24"/>
      <w:szCs w:val="24"/>
    </w:rPr>
  </w:style>
  <w:style w:type="paragraph" w:styleId="ListNumber4">
    <w:name w:val="List Number 4"/>
    <w:basedOn w:val="Normal"/>
    <w:pPr>
      <w:numPr>
        <w:numId w:val="24"/>
      </w:numPr>
      <w:spacing w:before="120" w:after="120" w:line="240" w:lineRule="auto"/>
      <w:contextualSpacing/>
      <w:jc w:val="both"/>
    </w:pPr>
    <w:rPr>
      <w:rFonts w:eastAsia="Times New Roman" w:cs="Times New Roman"/>
      <w:sz w:val="24"/>
      <w:szCs w:val="24"/>
    </w:rPr>
  </w:style>
  <w:style w:type="character" w:customStyle="1" w:styleId="TypedudocumentChar">
    <w:name w:val="Type du document Char"/>
    <w:link w:val="Typedudocument"/>
    <w:rPr>
      <w:rFonts w:ascii="Times New Roman" w:eastAsia="Times New Roman" w:hAnsi="Times New Roman" w:cs="Times New Roman"/>
      <w:b/>
      <w:sz w:val="24"/>
      <w:szCs w:val="24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eastAsia="Calibri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Calibri" w:hAnsi="Tahoma" w:cs="Tahoma"/>
      <w:shd w:val="clear" w:color="auto" w:fill="000080"/>
    </w:rPr>
  </w:style>
  <w:style w:type="paragraph" w:customStyle="1" w:styleId="EntInstit">
    <w:name w:val="EntInstit"/>
    <w:basedOn w:val="NormalConseil"/>
    <w:pPr>
      <w:jc w:val="right"/>
    </w:pPr>
    <w:rPr>
      <w:b/>
    </w:rPr>
  </w:style>
  <w:style w:type="paragraph" w:customStyle="1" w:styleId="NormalConseil">
    <w:name w:val="NormalConseil"/>
    <w:basedOn w:val="Normal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EntRefer">
    <w:name w:val="EntRefer"/>
    <w:basedOn w:val="NormalConseil"/>
    <w:rPr>
      <w:b/>
    </w:rPr>
  </w:style>
  <w:style w:type="paragraph" w:customStyle="1" w:styleId="EntEmet">
    <w:name w:val="EntEmet"/>
    <w:basedOn w:val="NormalConsei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</w:style>
  <w:style w:type="paragraph" w:customStyle="1" w:styleId="EntLogo">
    <w:name w:val="EntLogo"/>
    <w:basedOn w:val="NormalConseil"/>
    <w:next w:val="EntInstit"/>
    <w:pPr>
      <w:spacing w:line="360" w:lineRule="auto"/>
    </w:pPr>
    <w:rPr>
      <w:b/>
    </w:rPr>
  </w:style>
  <w:style w:type="paragraph" w:customStyle="1" w:styleId="FooterConseil">
    <w:name w:val="FooterConseil"/>
    <w:basedOn w:val="NormalConseil"/>
    <w:pPr>
      <w:tabs>
        <w:tab w:val="center" w:pos="4820"/>
        <w:tab w:val="center" w:pos="7371"/>
        <w:tab w:val="right" w:pos="9639"/>
      </w:tabs>
    </w:pPr>
  </w:style>
  <w:style w:type="paragraph" w:styleId="NormalWeb">
    <w:name w:val="Normal (Web)"/>
    <w:basedOn w:val="Normal"/>
    <w:uiPriority w:val="99"/>
    <w:unhideWhenUsed/>
    <w:rPr>
      <w:rFonts w:eastAsia="Calibri" w:cs="Times New Roman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1111111">
    <w:name w:val="1 / 1.1 / 1.1.11"/>
    <w:basedOn w:val="NoList"/>
    <w:next w:val="111111"/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</w:style>
  <w:style w:type="table" w:styleId="LightList-Accent4">
    <w:name w:val="Light List Accent 4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footnotedefaultstyleChar">
    <w:name w:val="footnote default style Char"/>
    <w:basedOn w:val="DefaultParagraphFont"/>
    <w:link w:val="footnotedefaultstyle"/>
    <w:locked/>
    <w:rPr>
      <w:rFonts w:ascii="Verdana" w:hAnsi="Verdana"/>
    </w:rPr>
  </w:style>
  <w:style w:type="paragraph" w:customStyle="1" w:styleId="footnotedefaultstyle">
    <w:name w:val="footnote default style"/>
    <w:basedOn w:val="Normal"/>
    <w:link w:val="footnotedefaultstyleChar"/>
    <w:pPr>
      <w:spacing w:after="0" w:line="240" w:lineRule="auto"/>
      <w:ind w:left="357" w:hanging="357"/>
      <w:jc w:val="both"/>
    </w:pPr>
    <w:rPr>
      <w:rFonts w:ascii="Verdana" w:hAnsi="Verdana"/>
    </w:rPr>
  </w:style>
  <w:style w:type="paragraph" w:customStyle="1" w:styleId="rtejustify">
    <w:name w:val="rtejustify"/>
    <w:basedOn w:val="Normal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b/>
      <w:sz w:val="32"/>
    </w:rPr>
  </w:style>
  <w:style w:type="paragraph" w:customStyle="1" w:styleId="doc-ti">
    <w:name w:val="doc-ti"/>
    <w:basedOn w:val="Normal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360" w:after="120" w:line="240" w:lineRule="auto"/>
      <w:jc w:val="both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35"/>
      </w:numPr>
      <w:spacing w:after="240" w:line="240" w:lineRule="auto"/>
      <w:jc w:val="both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eastAsia="Times New Roman" w:cs="Times New Roman"/>
      <w:bCs/>
      <w:i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eastAsia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mbria" w:eastAsia="Times New Roman" w:hAnsi="Cambria" w:cs="Times New Roman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440"/>
        <w:tab w:val="right" w:leader="dot" w:pos="9063"/>
      </w:tabs>
    </w:pPr>
    <w:rPr>
      <w:rFonts w:eastAsia="Calibri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pPr>
      <w:ind w:left="440"/>
    </w:pPr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left" w:pos="880"/>
        <w:tab w:val="right" w:leader="dot" w:pos="9063"/>
      </w:tabs>
      <w:spacing w:after="100"/>
      <w:ind w:left="142"/>
    </w:pPr>
    <w:rPr>
      <w:rFonts w:eastAsia="Arial Unicode MS" w:cs="Times New Roman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PlainText">
    <w:name w:val="Plain Text"/>
    <w:basedOn w:val="Normal"/>
    <w:link w:val="PlainTextChar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unhideWhenUsed/>
    <w:rPr>
      <w:color w:val="800080"/>
      <w:u w:val="single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symbol,Footnote,Voetnootverwijzing,Times 10 Point,Exposant 3 Point,Appel note de bas de p,BVI fnr,Footnote Refernece,Fußnotenzeichen_Raxen,callout,Footnote Reference Number,SUPERS,Footnote reference number,note TESI,fr,o"/>
    <w:unhideWhenUsed/>
    <w:rPr>
      <w:vertAlign w:val="superscript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cs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cs="Times New Roman"/>
      <w:sz w:val="24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eastAsia="Times New Roman" w:cs="Times New Roman"/>
      <w:sz w:val="24"/>
      <w:szCs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  <w:sz w:val="24"/>
      <w:szCs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eastAsia="Times New Roman" w:cs="Times New Roman"/>
      <w:sz w:val="24"/>
      <w:szCs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eastAsia="Times New Roman" w:cs="Times New Roman"/>
      <w:sz w:val="24"/>
      <w:szCs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eastAsia="Times New Roman" w:cs="Times New Roman"/>
      <w:sz w:val="24"/>
      <w:szCs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  <w:sz w:val="24"/>
      <w:szCs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eastAsia="Times New Roman" w:cs="Times New Roman"/>
      <w:sz w:val="24"/>
      <w:szCs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  <w:sz w:val="24"/>
      <w:szCs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eastAsia="Times New Roman" w:cs="Times New Roman"/>
      <w:sz w:val="24"/>
      <w:szCs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eastAsia="Times New Roman" w:cs="Times New Roman"/>
      <w:sz w:val="24"/>
      <w:szCs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eastAsia="Times New Roman" w:cs="Times New Roman"/>
      <w:sz w:val="24"/>
      <w:szCs w:val="24"/>
    </w:rPr>
  </w:style>
  <w:style w:type="paragraph" w:customStyle="1" w:styleId="Tiret0">
    <w:name w:val="Tiret 0"/>
    <w:basedOn w:val="Point0"/>
    <w:pPr>
      <w:numPr>
        <w:numId w:val="2"/>
      </w:numPr>
    </w:pPr>
  </w:style>
  <w:style w:type="paragraph" w:customStyle="1" w:styleId="Tiret1">
    <w:name w:val="Tiret 1"/>
    <w:basedOn w:val="Point1"/>
    <w:pPr>
      <w:numPr>
        <w:numId w:val="3"/>
      </w:numPr>
    </w:pPr>
  </w:style>
  <w:style w:type="paragraph" w:customStyle="1" w:styleId="Tiret2">
    <w:name w:val="Tiret 2"/>
    <w:basedOn w:val="Point2"/>
    <w:pPr>
      <w:numPr>
        <w:numId w:val="4"/>
      </w:numPr>
    </w:pPr>
  </w:style>
  <w:style w:type="paragraph" w:customStyle="1" w:styleId="Tiret3">
    <w:name w:val="Tiret 3"/>
    <w:basedOn w:val="Point3"/>
    <w:pPr>
      <w:numPr>
        <w:numId w:val="5"/>
      </w:numPr>
    </w:pPr>
  </w:style>
  <w:style w:type="paragraph" w:customStyle="1" w:styleId="Tiret4">
    <w:name w:val="Tiret 4"/>
    <w:basedOn w:val="Point4"/>
    <w:pPr>
      <w:numPr>
        <w:numId w:val="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eastAsia="Times New Roman" w:cs="Times New Roman"/>
      <w:sz w:val="24"/>
      <w:szCs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eastAsia="Times New Roman" w:cs="Times New Roman"/>
      <w:sz w:val="24"/>
      <w:szCs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eastAsia="Times New Roman" w:cs="Times New Roman"/>
      <w:sz w:val="24"/>
      <w:szCs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eastAsia="Times New Roman" w:cs="Times New Roman"/>
      <w:sz w:val="24"/>
      <w:szCs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eastAsia="Times New Roman" w:cs="Times New Roman"/>
      <w:sz w:val="24"/>
      <w:szCs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eastAsia="Times New Roman" w:cs="Times New Roman"/>
      <w:sz w:val="24"/>
      <w:szCs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eastAsia="Times New Roman" w:cs="Times New Roman"/>
      <w:sz w:val="24"/>
      <w:szCs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eastAsia="Times New Roman" w:cs="Times New Roman"/>
      <w:sz w:val="24"/>
      <w:szCs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eastAsia="Times New Roman" w:cs="Times New Roman"/>
      <w:sz w:val="24"/>
      <w:szCs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eastAsia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pPr>
      <w:numPr>
        <w:numId w:val="7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NumPar2">
    <w:name w:val="NumPar 2"/>
    <w:basedOn w:val="Normal"/>
    <w:next w:val="Text1"/>
    <w:pPr>
      <w:numPr>
        <w:ilvl w:val="1"/>
        <w:numId w:val="7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7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7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  <w:sz w:val="24"/>
      <w:szCs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  <w:sz w:val="24"/>
      <w:szCs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  <w:sz w:val="24"/>
      <w:szCs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eastAsia="Times New Roman" w:cs="Times New Roman"/>
      <w:sz w:val="24"/>
      <w:szCs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eastAsia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eastAsia="Times New Roman" w:cs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eastAsia="Times New Roman" w:cs="Times New Roman"/>
      <w:i/>
      <w:sz w:val="24"/>
      <w:szCs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eastAsia="Times New Roman" w:cs="Times New Roman"/>
      <w:sz w:val="24"/>
      <w:szCs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eastAsia="Times New Roman" w:cs="Times New Roman"/>
      <w:b/>
      <w:sz w:val="32"/>
      <w:szCs w:val="24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eastAsia="Times New Roman" w:cs="Times New Roman"/>
      <w:b/>
      <w:sz w:val="36"/>
      <w:szCs w:val="24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eastAsia="Times New Roman" w:cs="Times New Roman"/>
      <w:b/>
      <w:smallCaps/>
      <w:sz w:val="28"/>
      <w:szCs w:val="24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 w:val="24"/>
      <w:szCs w:val="24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styleId="TOCHeading">
    <w:name w:val="TOC Heading"/>
    <w:basedOn w:val="Normal"/>
    <w:next w:val="Normal"/>
    <w:uiPriority w:val="39"/>
    <w:qFormat/>
    <w:pPr>
      <w:spacing w:before="120" w:after="240" w:line="240" w:lineRule="auto"/>
    </w:pPr>
    <w:rPr>
      <w:rFonts w:eastAsia="Times New Roman" w:cs="Times New Roman"/>
      <w:b/>
      <w:sz w:val="28"/>
      <w:szCs w:val="24"/>
    </w:rPr>
  </w:style>
  <w:style w:type="paragraph" w:customStyle="1" w:styleId="Point0number">
    <w:name w:val="Point 0 (number)"/>
    <w:basedOn w:val="Normal"/>
    <w:pPr>
      <w:numPr>
        <w:numId w:val="2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2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2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2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2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2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2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2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2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Bullet0">
    <w:name w:val="Bullet 0"/>
    <w:basedOn w:val="Normal"/>
    <w:pPr>
      <w:numPr>
        <w:numId w:val="8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Bullet1">
    <w:name w:val="Bullet 1"/>
    <w:basedOn w:val="Normal"/>
    <w:pPr>
      <w:numPr>
        <w:numId w:val="9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Bullet2">
    <w:name w:val="Bullet 2"/>
    <w:basedOn w:val="Normal"/>
    <w:pPr>
      <w:numPr>
        <w:numId w:val="10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Bullet3">
    <w:name w:val="Bullet 3"/>
    <w:basedOn w:val="Normal"/>
    <w:pPr>
      <w:numPr>
        <w:numId w:val="11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Bullet4">
    <w:name w:val="Bullet 4"/>
    <w:basedOn w:val="Normal"/>
    <w:pPr>
      <w:numPr>
        <w:numId w:val="12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 w:val="24"/>
      <w:szCs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 w:val="24"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 w:val="24"/>
      <w:szCs w:val="24"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eastAsia="Times New Roman" w:cs="Times New Roman"/>
      <w:sz w:val="24"/>
      <w:szCs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  <w:jc w:val="both"/>
    </w:pPr>
    <w:rPr>
      <w:rFonts w:eastAsia="Times New Roman" w:cs="Times New Roman"/>
      <w:i/>
      <w:sz w:val="32"/>
      <w:szCs w:val="24"/>
    </w:rPr>
  </w:style>
  <w:style w:type="paragraph" w:customStyle="1" w:styleId="Considrant">
    <w:name w:val="Considérant"/>
    <w:basedOn w:val="Normal"/>
    <w:pPr>
      <w:numPr>
        <w:numId w:val="13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eastAsia="Times New Roman" w:cs="Times New Roman"/>
      <w:sz w:val="24"/>
      <w:szCs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eastAsia="Times New Roman" w:cs="Times New Roman"/>
      <w:b/>
      <w:sz w:val="24"/>
      <w:szCs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eastAsia="Times New Roman" w:cs="Times New Roman"/>
      <w:sz w:val="24"/>
      <w:szCs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 w:val="24"/>
      <w:szCs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eastAsia="Times New Roman" w:cs="Times New Roman"/>
      <w:i/>
      <w:sz w:val="24"/>
      <w:szCs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eastAsia="Times New Roman" w:cs="Times New Roman"/>
      <w:b/>
      <w:caps/>
      <w:sz w:val="24"/>
      <w:szCs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eastAsia="Times New Roman" w:cs="Times New Roman"/>
      <w:sz w:val="24"/>
      <w:szCs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eastAsia="Times New Roman" w:cs="Times New Roman"/>
      <w:i/>
      <w:sz w:val="24"/>
      <w:szCs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eastAsia="Times New Roman" w:cs="Times New Roman"/>
      <w:sz w:val="24"/>
      <w:szCs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eastAsia="Times New Roman" w:cs="Times New Roman"/>
      <w:sz w:val="24"/>
      <w:szCs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eastAsia="Times New Roman" w:cs="Times New Roman"/>
      <w:sz w:val="24"/>
      <w:szCs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eastAsia="Times New Roman" w:cs="Times New Roman"/>
      <w:b/>
      <w:sz w:val="24"/>
      <w:szCs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eastAsia="Times New Roman" w:cs="Times New Roman"/>
      <w:i/>
      <w:sz w:val="24"/>
      <w:szCs w:val="24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eastAsia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link w:val="TypedudocumentChar"/>
    <w:pPr>
      <w:spacing w:before="360" w:after="0" w:line="240" w:lineRule="auto"/>
      <w:jc w:val="center"/>
    </w:pPr>
    <w:rPr>
      <w:rFonts w:eastAsia="Times New Roman" w:cs="Times New Roman"/>
      <w:b/>
      <w:sz w:val="24"/>
      <w:szCs w:val="24"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eastAsia="Times New Roman" w:cs="Times New Roman"/>
      <w:sz w:val="24"/>
      <w:szCs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eastAsia="Times New Roman" w:cs="Times New Roman"/>
      <w:i/>
      <w:caps/>
      <w:sz w:val="24"/>
      <w:szCs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eastAsia="Times New Roman" w:cs="Times New Roman"/>
      <w:b/>
      <w:sz w:val="24"/>
      <w:szCs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 w:val="24"/>
      <w:szCs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eastAsia="Times New Roman" w:cs="Times New Roman"/>
      <w:sz w:val="24"/>
      <w:szCs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eastAsia="Times New Roman" w:cs="Times New Roman"/>
      <w:b/>
      <w:i/>
      <w:sz w:val="24"/>
      <w:szCs w:val="24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eastAsia="Times New Roman" w:cs="Times New Roman"/>
      <w:b/>
      <w:sz w:val="24"/>
      <w:szCs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eastAsia="Times New Roman" w:cs="Times New Roman"/>
      <w:b/>
      <w:sz w:val="24"/>
      <w:szCs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eastAsia="Times New Roman" w:cs="Times New Roman"/>
      <w:sz w:val="24"/>
      <w:szCs w:val="24"/>
    </w:rPr>
  </w:style>
  <w:style w:type="paragraph" w:styleId="ListBullet">
    <w:name w:val="List Bullet"/>
    <w:basedOn w:val="Normal"/>
    <w:pPr>
      <w:numPr>
        <w:numId w:val="14"/>
      </w:numPr>
      <w:spacing w:before="120" w:after="120" w:line="240" w:lineRule="auto"/>
      <w:contextualSpacing/>
      <w:jc w:val="both"/>
    </w:pPr>
    <w:rPr>
      <w:rFonts w:eastAsia="Times New Roman" w:cs="Times New Roman"/>
      <w:sz w:val="24"/>
      <w:szCs w:val="24"/>
    </w:rPr>
  </w:style>
  <w:style w:type="paragraph" w:styleId="ListBullet2">
    <w:name w:val="List Bullet 2"/>
    <w:basedOn w:val="Normal"/>
    <w:pPr>
      <w:numPr>
        <w:numId w:val="15"/>
      </w:numPr>
      <w:spacing w:before="120" w:after="120" w:line="240" w:lineRule="auto"/>
      <w:contextualSpacing/>
      <w:jc w:val="both"/>
    </w:pPr>
    <w:rPr>
      <w:rFonts w:eastAsia="Times New Roman" w:cs="Times New Roman"/>
      <w:sz w:val="24"/>
      <w:szCs w:val="24"/>
    </w:rPr>
  </w:style>
  <w:style w:type="paragraph" w:styleId="ListBullet3">
    <w:name w:val="List Bullet 3"/>
    <w:basedOn w:val="Normal"/>
    <w:pPr>
      <w:numPr>
        <w:numId w:val="16"/>
      </w:numPr>
      <w:spacing w:before="120" w:after="120" w:line="240" w:lineRule="auto"/>
      <w:contextualSpacing/>
      <w:jc w:val="both"/>
    </w:pPr>
    <w:rPr>
      <w:rFonts w:eastAsia="Times New Roman" w:cs="Times New Roman"/>
      <w:sz w:val="24"/>
      <w:szCs w:val="24"/>
    </w:rPr>
  </w:style>
  <w:style w:type="paragraph" w:styleId="ListBullet4">
    <w:name w:val="List Bullet 4"/>
    <w:basedOn w:val="Normal"/>
    <w:pPr>
      <w:numPr>
        <w:numId w:val="17"/>
      </w:numPr>
      <w:spacing w:before="120" w:after="120" w:line="240" w:lineRule="auto"/>
      <w:contextualSpacing/>
      <w:jc w:val="both"/>
    </w:pPr>
    <w:rPr>
      <w:rFonts w:eastAsia="Times New Roman" w:cs="Times New Roman"/>
      <w:sz w:val="24"/>
      <w:szCs w:val="24"/>
    </w:rPr>
  </w:style>
  <w:style w:type="paragraph" w:customStyle="1" w:styleId="ListDash">
    <w:name w:val="List Dash"/>
    <w:basedOn w:val="Normal"/>
    <w:pPr>
      <w:numPr>
        <w:numId w:val="18"/>
      </w:num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numbering" w:styleId="111111">
    <w:name w:val="Outline List 2"/>
    <w:basedOn w:val="NoList"/>
    <w:pPr>
      <w:numPr>
        <w:numId w:val="19"/>
      </w:numPr>
    </w:pPr>
  </w:style>
  <w:style w:type="character" w:styleId="PageNumber">
    <w:name w:val="page number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  <w:jc w:val="both"/>
    </w:pPr>
    <w:rPr>
      <w:rFonts w:eastAsia="Times New Roman" w:cs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pPr>
      <w:spacing w:before="120" w:after="120" w:line="240" w:lineRule="auto"/>
      <w:jc w:val="both"/>
    </w:pPr>
    <w:rPr>
      <w:rFonts w:eastAsia="Times New Roman" w:cs="Times New Roman"/>
      <w:sz w:val="24"/>
      <w:szCs w:val="24"/>
    </w:rPr>
  </w:style>
  <w:style w:type="paragraph" w:styleId="ListNumber">
    <w:name w:val="List Number"/>
    <w:basedOn w:val="Normal"/>
    <w:pPr>
      <w:numPr>
        <w:numId w:val="21"/>
      </w:numPr>
      <w:spacing w:before="120" w:after="120" w:line="240" w:lineRule="auto"/>
      <w:contextualSpacing/>
      <w:jc w:val="both"/>
    </w:pPr>
    <w:rPr>
      <w:rFonts w:eastAsia="Times New Roman" w:cs="Times New Roman"/>
      <w:sz w:val="24"/>
      <w:szCs w:val="24"/>
    </w:rPr>
  </w:style>
  <w:style w:type="paragraph" w:styleId="ListNumber2">
    <w:name w:val="List Number 2"/>
    <w:basedOn w:val="Normal"/>
    <w:pPr>
      <w:numPr>
        <w:numId w:val="22"/>
      </w:numPr>
      <w:spacing w:before="120" w:after="120" w:line="240" w:lineRule="auto"/>
      <w:contextualSpacing/>
      <w:jc w:val="both"/>
    </w:pPr>
    <w:rPr>
      <w:rFonts w:eastAsia="Times New Roman" w:cs="Times New Roman"/>
      <w:sz w:val="24"/>
      <w:szCs w:val="24"/>
    </w:rPr>
  </w:style>
  <w:style w:type="paragraph" w:styleId="ListNumber3">
    <w:name w:val="List Number 3"/>
    <w:basedOn w:val="Normal"/>
    <w:pPr>
      <w:numPr>
        <w:numId w:val="23"/>
      </w:numPr>
      <w:spacing w:before="120" w:after="120" w:line="240" w:lineRule="auto"/>
      <w:contextualSpacing/>
      <w:jc w:val="both"/>
    </w:pPr>
    <w:rPr>
      <w:rFonts w:eastAsia="Times New Roman" w:cs="Times New Roman"/>
      <w:sz w:val="24"/>
      <w:szCs w:val="24"/>
    </w:rPr>
  </w:style>
  <w:style w:type="paragraph" w:styleId="ListNumber4">
    <w:name w:val="List Number 4"/>
    <w:basedOn w:val="Normal"/>
    <w:pPr>
      <w:numPr>
        <w:numId w:val="24"/>
      </w:numPr>
      <w:spacing w:before="120" w:after="120" w:line="240" w:lineRule="auto"/>
      <w:contextualSpacing/>
      <w:jc w:val="both"/>
    </w:pPr>
    <w:rPr>
      <w:rFonts w:eastAsia="Times New Roman" w:cs="Times New Roman"/>
      <w:sz w:val="24"/>
      <w:szCs w:val="24"/>
    </w:rPr>
  </w:style>
  <w:style w:type="character" w:customStyle="1" w:styleId="TypedudocumentChar">
    <w:name w:val="Type du document Char"/>
    <w:link w:val="Typedudocument"/>
    <w:rPr>
      <w:rFonts w:ascii="Times New Roman" w:eastAsia="Times New Roman" w:hAnsi="Times New Roman" w:cs="Times New Roman"/>
      <w:b/>
      <w:sz w:val="24"/>
      <w:szCs w:val="24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eastAsia="Calibri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Calibri" w:hAnsi="Tahoma" w:cs="Tahoma"/>
      <w:shd w:val="clear" w:color="auto" w:fill="000080"/>
    </w:rPr>
  </w:style>
  <w:style w:type="paragraph" w:customStyle="1" w:styleId="EntInstit">
    <w:name w:val="EntInstit"/>
    <w:basedOn w:val="NormalConseil"/>
    <w:pPr>
      <w:jc w:val="right"/>
    </w:pPr>
    <w:rPr>
      <w:b/>
    </w:rPr>
  </w:style>
  <w:style w:type="paragraph" w:customStyle="1" w:styleId="NormalConseil">
    <w:name w:val="NormalConseil"/>
    <w:basedOn w:val="Normal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EntRefer">
    <w:name w:val="EntRefer"/>
    <w:basedOn w:val="NormalConseil"/>
    <w:rPr>
      <w:b/>
    </w:rPr>
  </w:style>
  <w:style w:type="paragraph" w:customStyle="1" w:styleId="EntEmet">
    <w:name w:val="EntEmet"/>
    <w:basedOn w:val="NormalConsei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</w:style>
  <w:style w:type="paragraph" w:customStyle="1" w:styleId="EntLogo">
    <w:name w:val="EntLogo"/>
    <w:basedOn w:val="NormalConseil"/>
    <w:next w:val="EntInstit"/>
    <w:pPr>
      <w:spacing w:line="360" w:lineRule="auto"/>
    </w:pPr>
    <w:rPr>
      <w:b/>
    </w:rPr>
  </w:style>
  <w:style w:type="paragraph" w:customStyle="1" w:styleId="FooterConseil">
    <w:name w:val="FooterConseil"/>
    <w:basedOn w:val="NormalConseil"/>
    <w:pPr>
      <w:tabs>
        <w:tab w:val="center" w:pos="4820"/>
        <w:tab w:val="center" w:pos="7371"/>
        <w:tab w:val="right" w:pos="9639"/>
      </w:tabs>
    </w:pPr>
  </w:style>
  <w:style w:type="paragraph" w:styleId="NormalWeb">
    <w:name w:val="Normal (Web)"/>
    <w:basedOn w:val="Normal"/>
    <w:uiPriority w:val="99"/>
    <w:unhideWhenUsed/>
    <w:rPr>
      <w:rFonts w:eastAsia="Calibri" w:cs="Times New Roman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1111111">
    <w:name w:val="1 / 1.1 / 1.1.11"/>
    <w:basedOn w:val="NoList"/>
    <w:next w:val="111111"/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</w:style>
  <w:style w:type="table" w:styleId="LightList-Accent4">
    <w:name w:val="Light List Accent 4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footnotedefaultstyleChar">
    <w:name w:val="footnote default style Char"/>
    <w:basedOn w:val="DefaultParagraphFont"/>
    <w:link w:val="footnotedefaultstyle"/>
    <w:locked/>
    <w:rPr>
      <w:rFonts w:ascii="Verdana" w:hAnsi="Verdana"/>
    </w:rPr>
  </w:style>
  <w:style w:type="paragraph" w:customStyle="1" w:styleId="footnotedefaultstyle">
    <w:name w:val="footnote default style"/>
    <w:basedOn w:val="Normal"/>
    <w:link w:val="footnotedefaultstyleChar"/>
    <w:pPr>
      <w:spacing w:after="0" w:line="240" w:lineRule="auto"/>
      <w:ind w:left="357" w:hanging="357"/>
      <w:jc w:val="both"/>
    </w:pPr>
    <w:rPr>
      <w:rFonts w:ascii="Verdana" w:hAnsi="Verdana"/>
    </w:rPr>
  </w:style>
  <w:style w:type="paragraph" w:customStyle="1" w:styleId="rtejustify">
    <w:name w:val="rtejustify"/>
    <w:basedOn w:val="Normal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b/>
      <w:sz w:val="32"/>
    </w:rPr>
  </w:style>
  <w:style w:type="paragraph" w:customStyle="1" w:styleId="doc-ti">
    <w:name w:val="doc-ti"/>
    <w:basedOn w:val="Normal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90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0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12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2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7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925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68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5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commission/commissioners/sites/cwt/files/commissioner_mission_letters/andriukaitis_en.pdf" TargetMode="External"/><Relationship Id="rId2" Type="http://schemas.openxmlformats.org/officeDocument/2006/relationships/hyperlink" Target="https://ec.europa.eu/commission/sites/beta-political/files/juncker-political-guidelines-speech_bg.pdf" TargetMode="External"/><Relationship Id="rId1" Type="http://schemas.openxmlformats.org/officeDocument/2006/relationships/hyperlink" Target="https://ec.europa.eu/health/ern/networks_bg" TargetMode="External"/><Relationship Id="rId4" Type="http://schemas.openxmlformats.org/officeDocument/2006/relationships/hyperlink" Target="https://eur-lex.europa.eu/legal-content/BG/TXT/PDF/?uri=CELEX:32014D0927&amp;qid=1541080605220&amp;from=EN" TargetMode="Externa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2.docx"/><Relationship Id="rId1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Принос на ЕС (€) по тематичен приоритет през 2016 г.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EU contribution (€) per thematic priority in 2016</c:v>
          </c:tx>
          <c:invertIfNegative val="0"/>
          <c:cat>
            <c:strRef>
              <c:f>priorities!$A$5:$A$24</c:f>
              <c:strCache>
                <c:ptCount val="20"/>
                <c:pt idx="0">
                  <c:v>1.1 Мерки за промоция и профилактика</c:v>
                </c:pt>
                <c:pt idx="1">
                  <c:v>4.1 Европейски референтни мрежи </c:v>
                </c:pt>
                <c:pt idx="2">
                  <c:v>1.4 Борба с хроничните заболявания</c:v>
                </c:pt>
                <c:pt idx="3">
                  <c:v>4.4 Антимикробна резистентност</c:v>
                </c:pt>
                <c:pt idx="4">
                  <c:v>2.2 Заплахи за здравето  </c:v>
                </c:pt>
                <c:pt idx="5">
                  <c:v>3.6 Медицински изделия, лекарствени продукти и трансгранично здравно обслужване</c:v>
                </c:pt>
                <c:pt idx="6">
                  <c:v>5. Хоризонтално ИТ/разпространение</c:v>
                </c:pt>
                <c:pt idx="7">
                  <c:v>4.2 Редки заболявания</c:v>
                </c:pt>
                <c:pt idx="8">
                  <c:v>3.7. Система за здравна информация и знания </c:v>
                </c:pt>
                <c:pt idx="9">
                  <c:v>1.3 ХИВ/СПИН, туберкулоза и хепатит</c:v>
                </c:pt>
                <c:pt idx="10">
                  <c:v>1.6 Система за здравна информация и знания </c:v>
                </c:pt>
                <c:pt idx="11">
                  <c:v>1.5 Законодателство на Съюза в областта на тютюневите изделия</c:v>
                </c:pt>
                <c:pt idx="12">
                  <c:v>3.4. Споделяне на добри практики в реформата на системата за здравеопазване …</c:v>
                </c:pt>
                <c:pt idx="13">
                  <c:v>3.3 Работна сила в здравния сектор </c:v>
                </c:pt>
                <c:pt idx="14">
                  <c:v>4.3 Безопасност на пациентите и качество на здравното обслужване</c:v>
                </c:pt>
                <c:pt idx="15">
                  <c:v>1.2 Намаляване на свързаното с приема на наркотици увреждане на здравето</c:v>
                </c:pt>
                <c:pt idx="16">
                  <c:v>3.1 Сътрудничество при оценката на здравните технологии</c:v>
                </c:pt>
                <c:pt idx="17">
                  <c:v>3.2 Иновации в здравния сектор и въвеждане на електронно здравеопазване </c:v>
                </c:pt>
                <c:pt idx="18">
                  <c:v>4.5 Законодателство на Съюза в областта на кръвта, тъканите и клетките</c:v>
                </c:pt>
                <c:pt idx="19">
                  <c:v>2.1 Подобряване на оценката на риска </c:v>
                </c:pt>
              </c:strCache>
            </c:strRef>
          </c:cat>
          <c:val>
            <c:numRef>
              <c:f>priorities!$B$5:$B$24</c:f>
              <c:numCache>
                <c:formatCode>0</c:formatCode>
                <c:ptCount val="20"/>
                <c:pt idx="0">
                  <c:v>13895121.780000001</c:v>
                </c:pt>
                <c:pt idx="1">
                  <c:v>6397982.1100000003</c:v>
                </c:pt>
                <c:pt idx="2">
                  <c:v>4394590.22</c:v>
                </c:pt>
                <c:pt idx="3">
                  <c:v>4178162.75</c:v>
                </c:pt>
                <c:pt idx="4">
                  <c:v>3912709.3</c:v>
                </c:pt>
                <c:pt idx="5">
                  <c:v>3611416.8000000003</c:v>
                </c:pt>
                <c:pt idx="6">
                  <c:v>3578052.4099999997</c:v>
                </c:pt>
                <c:pt idx="7">
                  <c:v>3321162.39</c:v>
                </c:pt>
                <c:pt idx="8">
                  <c:v>2360160</c:v>
                </c:pt>
                <c:pt idx="9">
                  <c:v>2318776.08</c:v>
                </c:pt>
                <c:pt idx="10">
                  <c:v>1800000</c:v>
                </c:pt>
                <c:pt idx="11">
                  <c:v>1614437.2000000002</c:v>
                </c:pt>
                <c:pt idx="12">
                  <c:v>1040000</c:v>
                </c:pt>
                <c:pt idx="13">
                  <c:v>976730</c:v>
                </c:pt>
                <c:pt idx="14">
                  <c:v>741846</c:v>
                </c:pt>
                <c:pt idx="15">
                  <c:v>599511.79</c:v>
                </c:pt>
                <c:pt idx="16">
                  <c:v>383400</c:v>
                </c:pt>
                <c:pt idx="17">
                  <c:v>283950</c:v>
                </c:pt>
                <c:pt idx="18">
                  <c:v>253000</c:v>
                </c:pt>
                <c:pt idx="19">
                  <c:v>35000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226624"/>
        <c:axId val="83228160"/>
      </c:barChart>
      <c:catAx>
        <c:axId val="83226624"/>
        <c:scaling>
          <c:orientation val="minMax"/>
        </c:scaling>
        <c:delete val="0"/>
        <c:axPos val="b"/>
        <c:majorTickMark val="out"/>
        <c:minorTickMark val="none"/>
        <c:tickLblPos val="nextTo"/>
        <c:crossAx val="83228160"/>
        <c:crosses val="autoZero"/>
        <c:auto val="1"/>
        <c:lblAlgn val="ctr"/>
        <c:lblOffset val="100"/>
        <c:tickLblSkip val="1"/>
        <c:noMultiLvlLbl val="0"/>
      </c:catAx>
      <c:valAx>
        <c:axId val="83228160"/>
        <c:scaling>
          <c:orientation val="minMax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83226624"/>
        <c:crosses val="autoZero"/>
        <c:crossBetween val="between"/>
        <c:minorUnit val="3500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6BF6-4781-4B19-A450-C6A74153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2941</Words>
  <Characters>17090</Characters>
  <Application>Microsoft Office Word</Application>
  <DocSecurity>0</DocSecurity>
  <Lines>371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25</cp:revision>
  <cp:lastPrinted>2018-11-27T12:25:00Z</cp:lastPrinted>
  <dcterms:created xsi:type="dcterms:W3CDTF">2019-07-15T13:05:00Z</dcterms:created>
  <dcterms:modified xsi:type="dcterms:W3CDTF">2019-07-29T12:03:00Z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  <property fmtid="{D5CDD505-2E9C-101B-9397-08002B2CF9AE}" pid="6" name="Last edited using">
    <vt:lpwstr>LW 6.0.1, Build 20180503</vt:lpwstr>
  </property>
  <property fmtid="{D5CDD505-2E9C-101B-9397-08002B2CF9AE}" pid="7" name="Created using">
    <vt:lpwstr>LW 6.0.1, Build 20180503</vt:lpwstr>
  </property>
</Properties>
</file>