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73989ED-8703-43DB-98EC-1669C872C62E"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съгласно Споразумението между Европейския съюз и Конфедерация Швейцария за свързване на техните системи за търговия с емисии на парникови газове, с оглед на изменение на приложения I и II към споразумението</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между Европейския съюз и Конфедерация Швейцария за свързване на техните системи за търговия с емисии на парникови газове</w:t>
      </w:r>
    </w:p>
    <w:p>
      <w:pPr>
        <w:rPr>
          <w:rFonts w:eastAsia="Arial Unicode MS"/>
          <w:noProof/>
        </w:rPr>
      </w:pPr>
      <w:r>
        <w:rPr>
          <w:noProof/>
        </w:rPr>
        <w:t>Споразумението между Европейския съюз и Конфедерация Швейцария за свързване на техните системи за търговия с емисии на парникови газове („споразумението“) има за цел да свърже системата на ЕС за търговия с емисии (СТЕ на ЕС) с тази на Швейцария, давайки възможност квотите от едната система да се търгуват и използват за постигане на съответствие в другата система, като по този начин се разширят възможностите за смекчаване на изменението на климата. Споразумението ще влезе в сила на 1 януари след размяната на инструментите за ратифициране или за одобрение от страните</w:t>
      </w:r>
      <w:r>
        <w:t>.</w:t>
      </w:r>
    </w:p>
    <w:p>
      <w:pPr>
        <w:pStyle w:val="ManualHeading2"/>
        <w:rPr>
          <w:noProof/>
        </w:rPr>
      </w:pPr>
      <w:r>
        <w:t>2.2.</w:t>
      </w:r>
      <w:r>
        <w:tab/>
      </w:r>
      <w:r>
        <w:rPr>
          <w:noProof/>
        </w:rPr>
        <w:t>Изменения на приложенията</w:t>
      </w:r>
    </w:p>
    <w:p>
      <w:pPr>
        <w:rPr>
          <w:rFonts w:eastAsia="Arial Unicode MS"/>
          <w:noProof/>
        </w:rPr>
      </w:pPr>
      <w:r>
        <w:rPr>
          <w:noProof/>
        </w:rPr>
        <w:t>Съвместният комитет, създаден съгласно член 12 от споразумението, отговаря за администрирането на споразумението и за осигуряване на неговото изпълнение. Той може да реши да приеме нови приложения към споразумението или да измени вече съществуващите такива. Той може също така да обсъжда изменения на членовете на споразумението, да улеснява обмена на мнения по отношение на законодателството на страните и да извършва прегледи на споразумението.</w:t>
      </w:r>
    </w:p>
    <w:p>
      <w:pPr>
        <w:rPr>
          <w:rFonts w:eastAsia="Arial Unicode MS"/>
          <w:noProof/>
        </w:rPr>
      </w:pPr>
      <w:r>
        <w:rPr>
          <w:noProof/>
        </w:rPr>
        <w:t>Съвместният комитет е двустранен орган, съставен от представители на страните (ЕС и Швейцария). Вземаните от Съвместния комитет решения трябва да бъдат одобрени и от двете страни.</w:t>
      </w:r>
    </w:p>
    <w:p>
      <w:pPr>
        <w:rPr>
          <w:rFonts w:eastAsia="Arial Unicode MS"/>
          <w:noProof/>
        </w:rPr>
      </w:pPr>
      <w:r>
        <w:rPr>
          <w:noProof/>
        </w:rPr>
        <w:t xml:space="preserve">В член 13, параграф 2 от споразумението е предвидено, че Съвместният комитет може да реши да приеме ново приложение или да измени съществуващо приложение към споразумението. За да се гарантира съвместимостта между свързаните системи за търговия с емисии, в член 2 от споразумението е предвидено, че СТЕ на ЕС и СТЕ на Швейцария трябва да съответстват на основните критерии, посочени в приложение I към споразумението. В съответствие с член 10 всяка от двете системи може да приема разпоредби, които са по-строги от основните критерии, определени в приложение I. По-голямата част от предложените изменения се отнасят до основните критерии в приложение I.  </w:t>
      </w:r>
    </w:p>
    <w:p>
      <w:pPr>
        <w:rPr>
          <w:rFonts w:eastAsia="Arial Unicode MS"/>
          <w:noProof/>
        </w:rPr>
      </w:pPr>
      <w:r>
        <w:rPr>
          <w:noProof/>
        </w:rPr>
        <w:t xml:space="preserve">За да може споразумението за свързване да влезе в сила, Швейцария трябваше да приеме национално законодателство, с което да изпълни основните критерии в тяхната цялост, най-вече да включи в СТЕ на Швейцария на въздухоплаването. Редица от предложените изменения на приложение I са за въвеждане или коригиране на препратките към швейцарското законодателство. </w:t>
      </w:r>
    </w:p>
    <w:p>
      <w:pPr>
        <w:rPr>
          <w:rFonts w:eastAsia="Arial Unicode MS"/>
          <w:noProof/>
        </w:rPr>
      </w:pPr>
      <w:r>
        <w:rPr>
          <w:noProof/>
        </w:rPr>
        <w:t xml:space="preserve">Освен това, след подписването на споразумението, законодателството на ЕС, свързано с мониторинга и докладването, проверката и акредитирането, както и с включването в СТЕ на ЕС на въздухоплаването, беше изменено. </w:t>
      </w:r>
    </w:p>
    <w:p>
      <w:pPr>
        <w:rPr>
          <w:rFonts w:eastAsia="Arial Unicode MS"/>
          <w:noProof/>
        </w:rPr>
      </w:pPr>
      <w:r>
        <w:rPr>
          <w:noProof/>
        </w:rPr>
        <w:t>Приложение I се изменя също така, за да включи допълнителни основни критерии относно резерва за стабилност на пазара, пазарния надзор и съответното сътрудничество. По отношение на основните критерии за обхващане на авиационните дейности и с оглед да се гарантира, че полетите между ЕС и Швейцария са обхванати по подходящ начин, пристигащите полети на летища в ЕС от летища в Швейцария ще бъдат изключени чрез делегирано законодателство, така че, считано от датата на влизане в сила на споразумението за свързване, СТЕ на ЕС ще обхваща само полети от ЕИП до летища в Швейцария, а СТЕ на Швейцария ще обхваща полети от Швейцария до ЕИП. Нов критерий за предаване на квоти от оператори на въздухоплавателни средства изяснява прилагането между системите.</w:t>
      </w:r>
    </w:p>
    <w:p>
      <w:pPr>
        <w:rPr>
          <w:rFonts w:eastAsia="Arial Unicode MS"/>
          <w:noProof/>
        </w:rPr>
      </w:pPr>
      <w:r>
        <w:rPr>
          <w:noProof/>
        </w:rPr>
        <w:t>Както ЕС, така и Швейцария ще укрепят своите системи за следващия период на търговия — след 2020 г. Въпреки че законодателството на ЕС за периода 2021—2030 г. вече влезе в сила, законодателната процедура в Швейцария за периода след 2020 г. все още продължава. Съответните промени в СТЕ на ЕС за периода 2021—2030 г. са отразени в някои от предложените изменения на приложение I. С цел осигуряване на продължаваща съвместимост между СТЕ на ЕС и СТЕ на Швейцария в периода 2021—2030 г., в част А на приложение I е добавен встъпителен текст за стационарните инсталации. Във встъпителния текст се призовава за преразглеждане на основните критерии по начин, при който най-малкото се запазва целостта на съответните вътрешни ангажименти на страните за намаляване на емисиите, както и интегритета и правилното функциониране на техните пазари на въглеродни емисии, като се избягва изместването на въглеродни емисии и нарушаването на конкуренцията между свързаните системи. Освен това измененията на основните критерии, отнасящи се до лимита, до използването на международни кредити и до равнището на безплатното разпределяне на квоти в СТЕ на Швейцария, потвърждават съвместимостта на системите.</w:t>
      </w:r>
    </w:p>
    <w:p>
      <w:pPr>
        <w:rPr>
          <w:rFonts w:eastAsia="Arial Unicode MS"/>
          <w:noProof/>
        </w:rPr>
      </w:pPr>
      <w:r>
        <w:rPr>
          <w:noProof/>
        </w:rPr>
        <w:t>Чрез изменение на приложение I, част В относно регистрите се пояснява, че емисиите за 2020 г. могат да бъдат отчитани само в квоти, издадени през периода от 2013 г. до 2020 г. С друго изменение се изисква минимален интервал от 24 часа между инициирането и изпълнението на прехвърлянето на квоти от една партида към друга.</w:t>
      </w:r>
    </w:p>
    <w:p>
      <w:pPr>
        <w:rPr>
          <w:rFonts w:eastAsia="Arial Unicode MS"/>
          <w:noProof/>
        </w:rPr>
      </w:pPr>
      <w:r>
        <w:rPr>
          <w:noProof/>
        </w:rPr>
        <w:t xml:space="preserve">С оглед на ролята на швейцарските органи за провеждането на търгове (приложение I, част Г) на швейцарския пазар, изглежда целесъобразно органите с функции по пазарен надзор да бъдат информирани за методиката за отклонението на тръжната клирингова цена от съответната цена на квотите на вторичния пазар, с цел да се гарантира интегритетът на търговете. </w:t>
      </w:r>
    </w:p>
    <w:p>
      <w:pPr>
        <w:rPr>
          <w:rFonts w:eastAsia="Arial Unicode MS"/>
          <w:noProof/>
        </w:rPr>
      </w:pPr>
      <w:r>
        <w:rPr>
          <w:noProof/>
        </w:rPr>
        <w:t xml:space="preserve">Където е целесъобразно, се пояснява, че препратките към законодателството са тези, които са в сила на датата на влизане в сила на споразумението. </w:t>
      </w:r>
    </w:p>
    <w:p>
      <w:pPr>
        <w:rPr>
          <w:rFonts w:eastAsia="Arial Unicode MS"/>
          <w:noProof/>
        </w:rPr>
      </w:pPr>
      <w:r>
        <w:rPr>
          <w:noProof/>
        </w:rPr>
        <w:t xml:space="preserve">Накрая, в приложение II е включен встъпителен текст, който пояснява, че връзката между СТЕ на ЕС и СТЕ на Швейцария ще бъде приведена в действие на временно основание, считано от май 2020 г., преди въвеждането на постоянна връзка между регистрите. </w:t>
      </w:r>
    </w:p>
    <w:p>
      <w:pPr>
        <w:pStyle w:val="ManualHeading2"/>
        <w:rPr>
          <w:noProof/>
        </w:rPr>
      </w:pPr>
      <w:r>
        <w:t>2.3.</w:t>
      </w:r>
      <w:r>
        <w:tab/>
      </w:r>
      <w:r>
        <w:rPr>
          <w:noProof/>
        </w:rPr>
        <w:t>Предвиденият акт на Съвместния комитет</w:t>
      </w:r>
    </w:p>
    <w:p>
      <w:pPr>
        <w:rPr>
          <w:rFonts w:eastAsia="Arial Unicode MS"/>
          <w:noProof/>
        </w:rPr>
      </w:pPr>
      <w:r>
        <w:rPr>
          <w:noProof/>
        </w:rPr>
        <w:t>На второто си заседание, насрочено за септември 2019 г., Съвместният комитет трябва да приеме решение в съответствие с член 13, параграф 2 от споразумението за свързване, с което да бъдат изменени приложения I и II към споразумението („предвидения акт“).</w:t>
      </w:r>
    </w:p>
    <w:p>
      <w:pPr>
        <w:rPr>
          <w:rFonts w:eastAsia="Arial Unicode MS"/>
          <w:noProof/>
        </w:rPr>
      </w:pPr>
      <w:r>
        <w:rPr>
          <w:noProof/>
        </w:rPr>
        <w:t>Целта на предвидения акт е да се изменят приложения I и II към споразумението за свързване, за да бъдат приведени в съответствие с действащото законодателство на ЕС</w:t>
      </w:r>
      <w:r>
        <w:rPr>
          <w:rStyle w:val="FootnoteReference"/>
          <w:noProof/>
        </w:rPr>
        <w:footnoteReference w:id="1"/>
      </w:r>
      <w:r>
        <w:rPr>
          <w:noProof/>
        </w:rPr>
        <w:t xml:space="preserve"> и Швейцария. С изменението на приложение I ще се осигури необходимата съвместимост на двете системи за търговия с емисии, както се изисква в член 25 от Директива 2003/87/ЕО, и ще се въведат правилните правни препратки за всеки основен критерий. Чрез изменението на приложение II се създава временно и преходно решение за свързване на регистрите на двете системи, преди да започне да функционира постоянната връзка между регистрите</w:t>
      </w:r>
      <w:r>
        <w:t>.</w:t>
      </w:r>
    </w:p>
    <w:p>
      <w:pPr>
        <w:rPr>
          <w:rFonts w:eastAsia="Arial Unicode MS"/>
          <w:noProof/>
        </w:rPr>
      </w:pPr>
      <w:r>
        <w:rPr>
          <w:noProof/>
        </w:rPr>
        <w:t>Предвиденият акт ще бъде обвързващ за страните в съответствие с член 2 от споразумението, който гласи следното:</w:t>
      </w:r>
      <w:r>
        <w:t xml:space="preserve"> </w:t>
      </w:r>
      <w:r>
        <w:rPr>
          <w:noProof/>
        </w:rPr>
        <w:t>„Системите за търговия с емисии на страните ... съответстват поне на основните критерии, посочени в приложение I.“</w:t>
      </w:r>
      <w:r>
        <w:t xml:space="preserve">. </w:t>
      </w:r>
    </w:p>
    <w:p>
      <w:pPr>
        <w:pStyle w:val="ManualHeading1"/>
        <w:rPr>
          <w:rFonts w:eastAsia="Arial Unicode MS"/>
          <w:noProof/>
        </w:rPr>
      </w:pPr>
      <w:r>
        <w:t>3.</w:t>
      </w:r>
      <w:r>
        <w:tab/>
      </w:r>
      <w:r>
        <w:rPr>
          <w:noProof/>
        </w:rPr>
        <w:t>Позиция, която трябва да се заеме от името на Съюза</w:t>
      </w:r>
    </w:p>
    <w:p>
      <w:pPr>
        <w:rPr>
          <w:rFonts w:eastAsia="Arial Unicode MS"/>
          <w:noProof/>
        </w:rPr>
      </w:pPr>
      <w:r>
        <w:rPr>
          <w:noProof/>
        </w:rPr>
        <w:t>Решението на Съвета, основано на настоящото предложение от Комисията, определя позицията на Европейския съюз относно решението на Съвместния комитет, което трябва да бъде взето за изменението на приложения I и II към споразумението за свързване.</w:t>
      </w:r>
    </w:p>
    <w:p>
      <w:pPr>
        <w:rPr>
          <w:rFonts w:eastAsia="Arial Unicode MS"/>
          <w:noProof/>
        </w:rPr>
      </w:pPr>
      <w:r>
        <w:rPr>
          <w:noProof/>
        </w:rPr>
        <w:t>Споразумението за свързване беше подписано през 2017 г., като от страната на ЕС може да не отчита правните промени в Европейския съюз, като например преразглеждането на директивата за СТЕ на ЕС за периода след 2021 г., резерва за стабилност на пазара и съответното законодателство в областта на въздухоплаването. Швейцария прие съответното законодателство, което прави съвместими двете системи, но също така включва сектора на въздухоплаването в схемата за търговия с емисии на Швейцария, едва през март 2019 г.</w:t>
      </w:r>
    </w:p>
    <w:p>
      <w:pPr>
        <w:rPr>
          <w:rFonts w:eastAsia="Arial Unicode MS"/>
          <w:noProof/>
        </w:rPr>
      </w:pPr>
      <w:r>
        <w:rPr>
          <w:noProof/>
        </w:rPr>
        <w:t xml:space="preserve">Без да бъдат изменени приложения I и II към споразумението за свързване, съвместимостта на двете системи няма да бъде осигурена, нито ще бъде възможно осъществяването на връзка между регистрите на СТЕ на Швейцария и на СТЕ на ЕС. </w:t>
      </w:r>
    </w:p>
    <w:p>
      <w:pPr>
        <w:rPr>
          <w:noProof/>
        </w:rPr>
      </w:pPr>
      <w:r>
        <w:rPr>
          <w:noProof/>
        </w:rPr>
        <w:t>Развитието на добре функциониращ международен пазар на въглеродни емисии посредством свързване отдолу-нагоре на системите за търговия с емисии представлява дългосрочна цел на политиката на ЕС и на международната общност, по-специално като средство за постигане на целите в областта на климата по Парижкото споразумение. В това отношение член 25 от директивата за установяване на системата на ЕС за търговия с емисии (СТЕ на ЕС) позволява свързване на СТЕ на ЕС с други системи за търговия с емисии, при условие че те са задължителни, имат абсолютен лимит на емисиите и са съвместими, какъвто е случаят със системата на Швейцария.</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2"/>
      </w:r>
      <w:r>
        <w:rPr>
          <w:noProof/>
        </w:rPr>
        <w:t>.</w:t>
      </w:r>
    </w:p>
    <w:p>
      <w:pPr>
        <w:pStyle w:val="ManualHeading3"/>
        <w:rPr>
          <w:noProof/>
        </w:rPr>
      </w:pPr>
      <w:r>
        <w:t>4.1.2.</w:t>
      </w:r>
      <w:r>
        <w:tab/>
      </w:r>
      <w:r>
        <w:rPr>
          <w:noProof/>
        </w:rPr>
        <w:t>Приложение в конкретния случай</w:t>
      </w:r>
    </w:p>
    <w:p>
      <w:pPr>
        <w:rPr>
          <w:noProof/>
        </w:rPr>
      </w:pPr>
      <w:r>
        <w:rPr>
          <w:noProof/>
        </w:rPr>
        <w:t>Съвместният комитет е орган, създаден в съответствие с член 12 от Споразумението между Европейския съюз и Конфедерация Швейцария за свързване на техните системи за търговия с емисии на парникови газове</w:t>
      </w:r>
      <w:r>
        <w:t>.</w:t>
      </w:r>
    </w:p>
    <w:p>
      <w:r>
        <w:rPr>
          <w:noProof/>
        </w:rPr>
        <w:t>Актът, който Съвместният комитет има за задача да приеме, представлява акт с правно действие. Предвиденият акт има правно действие, тъй като се отнася до изменения на приложения I и II към споразумението за свързване.</w:t>
      </w:r>
      <w:r>
        <w:t xml:space="preserve">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r>
        <w:rPr>
          <w:noProof/>
        </w:rPr>
        <w:t>Основната цел и съдържание на предвидения акт са свързани с околната среда</w:t>
      </w:r>
      <w:r>
        <w:t>.</w:t>
      </w:r>
    </w:p>
    <w:p>
      <w:pPr>
        <w:rPr>
          <w:i/>
          <w:noProof/>
        </w:rPr>
      </w:pPr>
      <w:r>
        <w:rPr>
          <w:noProof/>
        </w:rPr>
        <w:t>Поради това материалноправното основание за предложеното решение е член 191 от ДФЕС</w:t>
      </w:r>
      <w:r>
        <w:t>.</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191 от ДФЕС</w:t>
      </w:r>
      <w:r>
        <w:t xml:space="preserve"> </w:t>
      </w:r>
      <w:r>
        <w:rPr>
          <w:noProof/>
        </w:rPr>
        <w:t>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2019/0202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съгласно Споразумението между Европейския съюз и Конфедерация Швейцария за свързване на техните системи за търговия с емисии на парникови газове, за изменение на приложения I и II към споразумението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191</w:t>
      </w:r>
      <w:r>
        <w:t>.</w:t>
      </w:r>
      <w:r>
        <w:rPr>
          <w:noProof/>
        </w:rPr>
        <w:t>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между Европейския съюз и Конфедерация Швейцария за свързване на техните системи за търговия с емисии на парникови газове</w:t>
      </w:r>
      <w:r>
        <w:rPr>
          <w:rStyle w:val="FootnoteReference"/>
          <w:noProof/>
        </w:rPr>
        <w:footnoteReference w:id="3"/>
      </w:r>
      <w:r>
        <w:rPr>
          <w:noProof/>
        </w:rPr>
        <w:t xml:space="preserve"> („споразумението“) беше подписано на 23 ноември 2017 г. в съответствие с Решение (ЕС) 2017/2240 на Съвета</w:t>
      </w:r>
      <w:r>
        <w:rPr>
          <w:rStyle w:val="FootnoteReference"/>
          <w:noProof/>
        </w:rPr>
        <w:footnoteReference w:id="4"/>
      </w:r>
      <w:r>
        <w:rPr>
          <w:noProof/>
        </w:rPr>
        <w:t>.</w:t>
      </w:r>
    </w:p>
    <w:p>
      <w:pPr>
        <w:pStyle w:val="ManualConsidrant"/>
        <w:rPr>
          <w:noProof/>
        </w:rPr>
      </w:pPr>
      <w:r>
        <w:t>(2)</w:t>
      </w:r>
      <w:r>
        <w:tab/>
      </w:r>
      <w:r>
        <w:rPr>
          <w:noProof/>
        </w:rPr>
        <w:t>В съответствие с член 13</w:t>
      </w:r>
      <w:r>
        <w:t xml:space="preserve"> </w:t>
      </w:r>
      <w:r>
        <w:rPr>
          <w:noProof/>
        </w:rPr>
        <w:t>от споразумението Съвместният комитет може да изменя приложенията към споразумението</w:t>
      </w:r>
      <w:r>
        <w:t>.</w:t>
      </w:r>
    </w:p>
    <w:p>
      <w:pPr>
        <w:pStyle w:val="ManualConsidrant"/>
        <w:rPr>
          <w:noProof/>
        </w:rPr>
      </w:pPr>
      <w:r>
        <w:t>(3)</w:t>
      </w:r>
      <w:r>
        <w:tab/>
      </w:r>
      <w:r>
        <w:rPr>
          <w:noProof/>
        </w:rPr>
        <w:t>На своето заседание от xx xxxx 2019 г. Съвместният комитет</w:t>
      </w:r>
      <w:r>
        <w:t xml:space="preserve"> </w:t>
      </w:r>
      <w:r>
        <w:rPr>
          <w:noProof/>
        </w:rPr>
        <w:t>трябва да приеме решение относно изменение на приложения I и II към споразумението.</w:t>
      </w:r>
    </w:p>
    <w:p>
      <w:pPr>
        <w:pStyle w:val="ManualConsidrant"/>
        <w:rPr>
          <w:noProof/>
        </w:rPr>
      </w:pPr>
      <w:r>
        <w:t>(4)</w:t>
      </w:r>
      <w:r>
        <w:tab/>
      </w:r>
      <w:r>
        <w:rPr>
          <w:noProof/>
        </w:rPr>
        <w:t>Тъй като измененията ще бъдат обвързващи за Съюза, е целесъобразно да се установи позицията, която трябва да се заеме от името на Съюза в рамките на</w:t>
      </w:r>
      <w:r>
        <w:t xml:space="preserve"> </w:t>
      </w:r>
      <w:r>
        <w:rPr>
          <w:noProof/>
        </w:rPr>
        <w:t>Съвместния комитет.</w:t>
      </w:r>
    </w:p>
    <w:p>
      <w:pPr>
        <w:pStyle w:val="ManualConsidrant"/>
        <w:rPr>
          <w:noProof/>
        </w:rPr>
      </w:pPr>
      <w:r>
        <w:t>(5)</w:t>
      </w:r>
      <w:r>
        <w:tab/>
      </w:r>
      <w:r>
        <w:rPr>
          <w:noProof/>
        </w:rPr>
        <w:t>След като Смесеният комитет измени съответно приложения I и II, за да се отчетат съответните законодателни промени, включително съответните правила на Швейцария за разширяване на обхвата на СТЕ на Швейцария с цел обхващане на въздухоплаването, се счита, че условията за свързване, определени в споразумението, са изпълнени, и че поради това Съюзът следва да извърши размяна на своя инструмент за ратифициране, както е предвидено в член 21 от споразумението.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второто заседание на Съвместния комитет, създаден съгласно Споразумението между Европейския съюз и Конфедерация Швейцария за свързване на техните системи за търговия с емисии на парникови газове, за изменение на приложения I и II към споразумението, е в подкрепа за приемането от Съвместния комитет на измененията на приложения I и II, определени в приложението към проекта на решение на Смесения комитет, приложен към настоящото решение.</w:t>
      </w:r>
    </w:p>
    <w:p>
      <w:pPr>
        <w:rPr>
          <w:noProof/>
        </w:rPr>
      </w:pPr>
      <w:r>
        <w:rPr>
          <w:noProof/>
        </w:rPr>
        <w:t>Представителите на Съюза в Съвместния комитет могат да приемат незначителни промени в приложението, без да е необходимо допълнително решение на Съвета.</w:t>
      </w:r>
    </w:p>
    <w:p>
      <w:pPr>
        <w:pStyle w:val="Titrearticle"/>
        <w:rPr>
          <w:noProof/>
        </w:rPr>
      </w:pPr>
      <w:r>
        <w:rPr>
          <w:noProof/>
        </w:rPr>
        <w:t>Член 2</w:t>
      </w:r>
    </w:p>
    <w:p>
      <w:pPr>
        <w:rPr>
          <w:noProof/>
        </w:rPr>
      </w:pPr>
      <w:r>
        <w:rPr>
          <w:noProof/>
        </w:rPr>
        <w:t>Адресат на настоящото решение е Комисията.</w:t>
      </w:r>
    </w:p>
    <w:p>
      <w:pPr>
        <w:rPr>
          <w:noProof/>
        </w:rPr>
      </w:pPr>
      <w:r>
        <w:rPr>
          <w:noProof/>
        </w:rPr>
        <w:t>Настоящото решение влиза в сила в деня на приемането му.</w:t>
      </w:r>
    </w:p>
    <w:p>
      <w:pPr>
        <w:spacing w:after="0"/>
        <w:rPr>
          <w:noProof/>
        </w:rPr>
      </w:pPr>
      <w:r>
        <w:rPr>
          <w:noProof/>
        </w:rPr>
        <w:t xml:space="preserve">Настоящото решение се публикува в </w:t>
      </w:r>
      <w:r>
        <w:rPr>
          <w:i/>
          <w:iCs/>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2017/2392 на Европейския парламент и на Съвета от 13 декември 2017 г. за изменение на Директива 2003/87/ЕО с цел запазване на сегашните ограничения на обхвата за авиационните дейности и подготовка за изпълнението на глобална, основана на пазара мярка от 2021 година (ОВ L 350, 29.12.2017 г.). Решение (ЕС) 2015/1814 на Европейския парламент и на Съвета от 6 октомври 2015 г. относно създаването и функционирането на резерв за стабилност на пазара към схемата на Съюза за търговия с емисии на парникови газове и за изменение на Директива 2003/87/ЕО (Текст от значение за ЕИП) (ОВ L 264, 9.10.2015 г.). Директива (ЕС) 2018/410 на Европейския парламент и на Съвета от 14 март 2018 г. за изменение на Директива 2003/87/ЕО с цел засилване на разходоефективните намаления на емисии и на нисковъглеродните инвестиции, и на Решение (ЕС) 2015/1814 (Текст от значение за ЕИП) (ОВ L 76, 19.3.2018 г.).</w:t>
      </w:r>
    </w:p>
  </w:footnote>
  <w:footnote w:id="2">
    <w:p>
      <w:pPr>
        <w:pStyle w:val="FootnoteText"/>
      </w:pPr>
      <w:r>
        <w:rPr>
          <w:rStyle w:val="FootnoteReference"/>
        </w:rPr>
        <w:footnoteRef/>
      </w:r>
      <w:r>
        <w:tab/>
        <w:t xml:space="preserve">Решение на Съда от 7 октомври 2014 г., Германия/Съвет, C-399/12, ECLI:EU:C:2014:2258, т. 61—64. </w:t>
      </w:r>
    </w:p>
  </w:footnote>
  <w:footnote w:id="3">
    <w:p>
      <w:pPr>
        <w:pStyle w:val="FootnoteText"/>
      </w:pPr>
      <w:r>
        <w:rPr>
          <w:rStyle w:val="FootnoteReference"/>
        </w:rPr>
        <w:footnoteRef/>
      </w:r>
      <w:r>
        <w:tab/>
        <w:t>ОВ L 322, 7.12.2017 г., стр. 3.</w:t>
      </w:r>
    </w:p>
  </w:footnote>
  <w:footnote w:id="4">
    <w:p>
      <w:pPr>
        <w:pStyle w:val="FootnoteText"/>
      </w:pPr>
      <w:r>
        <w:rPr>
          <w:rStyle w:val="FootnoteReference"/>
        </w:rPr>
        <w:footnoteRef/>
      </w:r>
      <w:r>
        <w:tab/>
        <w:t>ОВ L 322, 7.12.2017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88F0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8CF5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C2A6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50DD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C2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00B7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6A1BB4"/>
    <w:lvl w:ilvl="0">
      <w:start w:val="1"/>
      <w:numFmt w:val="decimal"/>
      <w:pStyle w:val="ListNumber"/>
      <w:lvlText w:val="%1."/>
      <w:lvlJc w:val="left"/>
      <w:pPr>
        <w:tabs>
          <w:tab w:val="num" w:pos="360"/>
        </w:tabs>
        <w:ind w:left="360" w:hanging="360"/>
      </w:pPr>
    </w:lvl>
  </w:abstractNum>
  <w:abstractNum w:abstractNumId="7">
    <w:nsid w:val="FFFFFF89"/>
    <w:multiLevelType w:val="singleLevel"/>
    <w:tmpl w:val="2ED27A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2 10:02: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73989ED-8703-43DB-98EC-1669C872C62E"/>
    <w:docVar w:name="LW_COVERPAGE_TYPE" w:val="1"/>
    <w:docVar w:name="LW_CROSSREFERENCE" w:val="&lt;UNUSED&gt;"/>
    <w:docVar w:name="LW_DocType" w:val="COM"/>
    <w:docVar w:name="LW_EMISSION" w:val="25.9.2019"/>
    <w:docVar w:name="LW_EMISSION_ISODATE" w:val="2019-09-2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2"/>
    <w:docVar w:name="LW_REF.II.NEW.CP_YEAR" w:val="2019"/>
    <w:docVar w:name="LW_REF.INST.NEW" w:val="COM"/>
    <w:docVar w:name="LW_REF.INST.NEW_ADOPTED" w:val="final"/>
    <w:docVar w:name="LW_REF.INST.NEW_TEXT" w:val="(2019)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u1098?\u1075?\u1083?\u1072?\u1089?\u1085?\u1086? \u1057?\u1087?\u1086?\u1088?\u1072?\u1079?\u1091?\u1084?\u1077?\u1085?\u1080?\u1077?\u1090?\u1086?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u1079?\u1072? \u1080?\u1079?\u1084?\u1077?\u1085?\u1077?\u1085?\u1080?\u1077? \u1085?\u1072? \u1087?\u1088?\u1080?\u1083?\u1086?\u1078?\u1077?\u1085?\u1080?\u1103? I \u1080? II \u1082?\u1098?\u1084? \u1089?\u1087?\u1086?\u1088?\u1072?\u1079?\u1091?\u1084?\u1077?\u1085?\u1080?\u1077?\u1090?\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lang w:eastAsia="en-GB"/>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lang w:eastAsia="en-GB"/>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1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AC5B-5292-458E-BE02-B1A1DAFE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2120</Words>
  <Characters>11853</Characters>
  <Application>Microsoft Office Word</Application>
  <DocSecurity>0</DocSecurity>
  <Lines>219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2019-08-12T07:25:00Z</cp:lastPrinted>
  <dcterms:created xsi:type="dcterms:W3CDTF">2019-09-18T09:30:00Z</dcterms:created>
  <dcterms:modified xsi:type="dcterms:W3CDTF">2019-09-22T08:02:00Z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