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E1D8B0-CD72-4D37-B127-7D2CD16FBFBC" style="width:450.8pt;height:40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Съвета за асоцииране по споразумението за асоцииране между ЕС и Ливан, във връзка с предвиденото приемане на решение за изменение на протокол 4 към посоченото споразумение.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Евро-средиземноморското споразумение за асоцииране на Европейската общност и нейните държави членки, от една страна, и Република Ливан, от друга страна</w:t>
      </w:r>
    </w:p>
    <w:p>
      <w:pPr>
        <w:rPr>
          <w:rFonts w:eastAsia="Arial Unicode MS"/>
          <w:noProof/>
        </w:rPr>
      </w:pPr>
      <w:r>
        <w:rPr>
          <w:noProof/>
        </w:rPr>
        <w:t>Целта на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w:t>
      </w:r>
      <w:r>
        <w:rPr>
          <w:rStyle w:val="FootnoteReference"/>
          <w:noProof/>
        </w:rPr>
        <w:footnoteReference w:id="2"/>
      </w:r>
      <w:r>
        <w:rPr>
          <w:noProof/>
        </w:rPr>
        <w:t xml:space="preserve"> („Споразумението“) е да се създадат условия за постепенното либерализиране на търговията със стоки, услуги и капитали. Споразумението влезе в сила на 1 април 2006 г</w:t>
      </w:r>
      <w:r>
        <w:t>.</w:t>
      </w:r>
    </w:p>
    <w:p>
      <w:pPr>
        <w:pStyle w:val="ManualHeading2"/>
        <w:rPr>
          <w:noProof/>
        </w:rPr>
      </w:pPr>
      <w:r>
        <w:t>2.2.</w:t>
      </w:r>
      <w:r>
        <w:tab/>
      </w:r>
      <w:r>
        <w:rPr>
          <w:noProof/>
        </w:rPr>
        <w:t xml:space="preserve">Съветът за асоцииране </w:t>
      </w:r>
    </w:p>
    <w:p>
      <w:pPr>
        <w:rPr>
          <w:rFonts w:eastAsia="Arial Unicode MS"/>
          <w:noProof/>
        </w:rPr>
      </w:pPr>
      <w:r>
        <w:rPr>
          <w:noProof/>
        </w:rPr>
        <w:t>Съветът за асоцииране, създаден по силата на член 74 от Споразумението, може да реши да измени разпоредбите на протокол 4 относно определянето на понятието „продукти с произход“ и методите на административно сътрудничество (член 38 от протокол 4). Съветът за асоцииране се състои, от една страна, от членовете на Съвета на Европейския съюз и членове на Комисията на Европейския съюз, а от друга – от членовете на правителството на Ливан. Съветът за асоцииране изготвя решенията и препоръките си с консенсус на двете страни.</w:t>
      </w:r>
    </w:p>
    <w:p>
      <w:pPr>
        <w:pStyle w:val="ManualHeading2"/>
        <w:rPr>
          <w:noProof/>
        </w:rPr>
      </w:pPr>
      <w:r>
        <w:t>2.3.</w:t>
      </w:r>
      <w:r>
        <w:tab/>
      </w:r>
      <w:r>
        <w:rPr>
          <w:noProof/>
        </w:rPr>
        <w:t>Предвиденият акт на Съвета за асоцииране</w:t>
      </w:r>
    </w:p>
    <w:p>
      <w:pPr>
        <w:rPr>
          <w:rFonts w:eastAsia="Arial Unicode MS"/>
          <w:noProof/>
        </w:rPr>
      </w:pPr>
      <w:r>
        <w:rPr>
          <w:noProof/>
        </w:rPr>
        <w:t>Очаква се на следващото си заседание Съветът за асоцииране да приеме решениеза изменение на разпоредбите на протокол 4 относно определянето на понятието „продукти с произход“ и методите на административно сътрудничество („предвиденият акт“).</w:t>
      </w:r>
    </w:p>
    <w:p>
      <w:pPr>
        <w:rPr>
          <w:rFonts w:eastAsia="Arial Unicode MS"/>
          <w:noProof/>
        </w:rPr>
      </w:pPr>
      <w:r>
        <w:rPr>
          <w:noProof/>
        </w:rPr>
        <w:t>Целта на предвидения акт е да се изменят разпоредбите на протокол 4 относно определянето на понятието „продукти с произход“ и методите на административно сътрудничество</w:t>
      </w:r>
      <w:r>
        <w:t>.</w:t>
      </w:r>
    </w:p>
    <w:p>
      <w:pPr>
        <w:rPr>
          <w:noProof/>
        </w:rPr>
      </w:pPr>
      <w:r>
        <w:rPr>
          <w:noProof/>
        </w:rPr>
        <w:t xml:space="preserve">По силата на член 76, параграф 2 от споразумението за асоцииране предвиденият акт ще бъде задължителен за страните. </w:t>
      </w:r>
    </w:p>
    <w:p>
      <w:pPr>
        <w:pStyle w:val="ManualHeading1"/>
        <w:rPr>
          <w:rFonts w:eastAsia="Arial Unicode MS"/>
          <w:noProof/>
        </w:rPr>
      </w:pPr>
      <w:r>
        <w:t>3.</w:t>
      </w:r>
      <w:r>
        <w:tab/>
      </w:r>
      <w:r>
        <w:rPr>
          <w:noProof/>
        </w:rPr>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Ливан подписаха Конвенцията съответно на 15 юни 2011 г. и на 22 октомври 2014 г. </w:t>
      </w:r>
    </w:p>
    <w:p>
      <w:pPr>
        <w:rPr>
          <w:rFonts w:eastAsia="Arial Unicode MS"/>
          <w:noProof/>
        </w:rPr>
      </w:pPr>
      <w:r>
        <w:rPr>
          <w:noProof/>
        </w:rPr>
        <w:t>ЕС и Ливан депозираха своите документи за приемане при депозитаря на Конвенцията съответно на 26 март 2012 г. и 25 октомври 2017 г. В резултат на това и по силата на член 10, параграф 2 от Конвенцията, същата влезе в сила съответно на 1 май 2012 г. за ЕС и на 1 декември 2017 г. – за Ливан.</w:t>
      </w:r>
    </w:p>
    <w:p>
      <w:pPr>
        <w:rPr>
          <w:rFonts w:eastAsia="Arial Unicode MS"/>
          <w:noProof/>
        </w:rPr>
      </w:pPr>
      <w:r>
        <w:rPr>
          <w:noProof/>
        </w:rPr>
        <w:t xml:space="preserve">В член 6 от Конвенцията се предвижда всяка договаряща страна да предприеме подходящите мерки с оглед на ефективното ѝ прилагане. За тази цел Съветът за асоцииране, създаден по силата на Споразумението за асоцииране между Европейския съюз и неговите държави членки, от една страна, и Република Ливан, от друга страна, следва да приеме решение, с което разпоредбите на Конвенцията се въвеждат в протокол 4 относно определянето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Трябва да се отбележи, че процесът на изменение на Конвенцията, който все още е в ход, въведе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ги оправомощават да гласуват по официалното изменение и предвиждат въвеждането на изменените разпоредби в правния ред, ясни срокове за прилагането на изменената Конвенция не могат да се определят. </w:t>
      </w:r>
    </w:p>
    <w:p>
      <w:pPr>
        <w:rPr>
          <w:rFonts w:eastAsia="Arial Unicode MS"/>
          <w:noProof/>
        </w:rPr>
      </w:pPr>
      <w:r>
        <w:rPr>
          <w:noProof/>
        </w:rPr>
        <w:t xml:space="preserve">В този контекст Ливан поиска: i) да започне възможно най-скоро да прилага изменения набор от правила като алтернатива на настоящите правила на Конвенцията, още преди да е приключил процесът по изменянето им; и ii) да се даде съгласие за облекчаване на правилата за произход за някои текстилни продукти, в рамките на ограничени годишни квоти. Тези искания са обяснени по-долу. </w:t>
      </w:r>
    </w:p>
    <w:p>
      <w:pPr>
        <w:pStyle w:val="Point1"/>
        <w:rPr>
          <w:noProof/>
        </w:rPr>
      </w:pPr>
      <w:r>
        <w:rPr>
          <w:noProof/>
        </w:rPr>
        <w:t>а)</w:t>
      </w:r>
      <w:r>
        <w:rPr>
          <w:noProof/>
        </w:rPr>
        <w:tab/>
        <w:t xml:space="preserve">Алтернативни правила за произход </w:t>
      </w:r>
    </w:p>
    <w:p>
      <w:pPr>
        <w:rPr>
          <w:rFonts w:eastAsia="Arial Unicode MS"/>
          <w:noProof/>
        </w:rPr>
      </w:pPr>
      <w:r>
        <w:rPr>
          <w:noProof/>
        </w:rPr>
        <w:t>ЕС и Ливан ще прилагат тези правила временно, по избор и на двустранна основа, в очакване на приключването и влизането в сила на изменението на Конвенцията. Изменените правила ще се прилагат алтернативно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pStyle w:val="Point1"/>
        <w:rPr>
          <w:noProof/>
        </w:rPr>
      </w:pPr>
      <w:r>
        <w:rPr>
          <w:noProof/>
        </w:rPr>
        <w:t>б)</w:t>
      </w:r>
      <w:r>
        <w:rPr>
          <w:noProof/>
        </w:rPr>
        <w:tab/>
        <w:t xml:space="preserve">Облекчени правила за произход за някои текстилни продукти. </w:t>
      </w:r>
    </w:p>
    <w:p>
      <w:pPr>
        <w:rPr>
          <w:noProof/>
        </w:rPr>
      </w:pPr>
      <w:r>
        <w:rPr>
          <w:noProof/>
        </w:rPr>
        <w:t xml:space="preserve">В допълнение, при обсълданията по изменението на Конвенцията, Ливан поиска по-гъвкави правила за някои текстилни продукти с цел произведените от внесени тъкани облекла да се приемат, че са с произход по силата на Споразумението. Ливан поиска тези правила да се прилагат за 15 години и без квотни ограничения. Предвид, от една страна, сериозните последици за Ливан от бежанската криза в Сирия и ограниченото развитие на ливанската текстилна промишленост, а от друга – потребностите на съответните сектори от ЕС, се предлага да се разгледа искането на Ливан, като се определят ограничени квоти въз основа на произхода, за които изискванията да бъдат облекчени. Тези ограничени квоти са на обща стойност 17 милиона евро или на стойност, близка до средната стойност на износа на облекла от Ливан за Европейския съюз за периода 2015—2017 г. Тази дерогация ще се прилага за 10 години. Ливан поиска и включване на клауза за преразглеждане, която ще позволи промяна — евентуално увеличаване — на квотата след три години. Предлага се да се предвиди преразглеждане след поне 5 години, без изрично да се поема ангажимент за преразглеждане на квотата, а за възможност да бъде изменена системата. С новите правила следва да се улесни износът на съответните сектори от ЕС за Ливан – в резултат на прилагането на алтернативните и по-съвременни правила за произход, както и съответният износ на Ливан за ЕС – в резултат на облекчените правила за произход за някои текстилни продукти в рамките на ограничени годишни квоти. </w:t>
      </w:r>
    </w:p>
    <w:p>
      <w:pPr>
        <w:rPr>
          <w:rFonts w:eastAsia="Arial Unicode MS"/>
          <w:noProof/>
        </w:rPr>
      </w:pPr>
      <w:r>
        <w:rPr>
          <w:noProof/>
        </w:rPr>
        <w:t>Съветът следва да определи позицията, която ЕС трябва да заеме в Съвета за асоцииране.</w:t>
      </w:r>
    </w:p>
    <w:p>
      <w:pPr>
        <w:rPr>
          <w:rFonts w:eastAsia="Arial Unicode MS"/>
          <w:noProof/>
        </w:rPr>
      </w:pPr>
      <w:r>
        <w:rPr>
          <w:noProof/>
        </w:rPr>
        <w:t>Доколкото са свързани с настоящата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rFonts w:eastAsia="Arial Unicode MS"/>
          <w:noProof/>
        </w:rPr>
      </w:pPr>
      <w:r>
        <w:t>3.1.</w:t>
      </w:r>
      <w:r>
        <w:tab/>
      </w:r>
      <w:r>
        <w:rPr>
          <w:noProof/>
        </w:rPr>
        <w:t>Подробности за алтернативните правила за произход</w:t>
      </w:r>
    </w:p>
    <w:p>
      <w:pPr>
        <w:rPr>
          <w:rFonts w:eastAsia="Arial Unicode MS"/>
          <w:noProof/>
        </w:rPr>
      </w:pPr>
      <w:r>
        <w:rPr>
          <w:noProof/>
        </w:rPr>
        <w:t>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държавите от Южноафриканската общност за развитие) или преференциални схеми (Общата система на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изискванията за плавателните съдове са опростени и предоставят повече гъвкавост. В сравнение със сегашния текст (чл. 5) определени условия бяха премахнати (напр.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 4) на износителя се позволява да поиска от митническите органи разрешение да изчислява цената франко завода и стойността на материалите без произход като усреднена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франко завода на продукта е 10 % (чл. 6). </w:t>
      </w:r>
    </w:p>
    <w:p>
      <w:pPr>
        <w:rPr>
          <w:rFonts w:eastAsia="Arial Unicode MS"/>
          <w:noProof/>
        </w:rPr>
      </w:pPr>
      <w:r>
        <w:rPr>
          <w:noProof/>
        </w:rPr>
        <w:t>В предложения текст (чл. 5), за селскостопанските продукти се предвижда допустимо отклонение 15 % от нетното тегло на продукта, а за промишлените продукти – 15 % от продуктовата цена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 7) се запазва диагоналната кумулация за всички продукти.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За продуктите в глави 50—63 от ХС се предвижда двустранна пълна кумулация. За отбелязване е също така, че Съюзът и Ливан ще разполагат с възможността да се договорят за включване в общата пълна кумулация и на продуктите в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 12)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Настоящите правила (чл. 12) позволяват при определени условия някои обработки или преработки да бъдат извършвани извън територията – с изключение на продуктите в глави 50—63 от ХС като текстилните продукти. В предложените правила (чл.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непромяна (чл. 14) се предвижда повече толеранс за движението между договарящите страни на продукти с произход. По този начин би трябвало да се избегнат ситуациите, при които продукти, чийто статус на стоки с произход е безсъмнен,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настоящите правила (чл.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от страна на стопанските субекти, тъй като ще се избегнат грешките, дължащи се на сложните изисквания, и да се улесни управлението от страна на митническите органи. Това не би трябвало да се отрази на капацитета за проверка на доказателствата за произход – който ще остане същият.</w:t>
      </w:r>
    </w:p>
    <w:p>
      <w:pPr>
        <w:rPr>
          <w:rFonts w:eastAsia="Arial Unicode MS"/>
          <w:noProof/>
        </w:rPr>
      </w:pPr>
      <w:r>
        <w:rPr>
          <w:noProof/>
        </w:rPr>
        <w:t>В изменените правила (чл.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приложимите разпоредби.</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t>3.2.</w:t>
      </w:r>
      <w:r>
        <w:tab/>
      </w:r>
      <w:r>
        <w:rPr>
          <w:noProof/>
        </w:rPr>
        <w:t>Правила за списъците</w:t>
      </w:r>
    </w:p>
    <w:p>
      <w:pPr>
        <w:pStyle w:val="ManualHeading3"/>
        <w:rPr>
          <w:rFonts w:eastAsia="Arial Unicode MS"/>
          <w:noProof/>
        </w:rPr>
      </w:pPr>
      <w:r>
        <w:t>3.2.1.</w:t>
      </w:r>
      <w:r>
        <w:tab/>
      </w:r>
      <w:r>
        <w:rPr>
          <w:noProof/>
        </w:rPr>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измененията глави и позиции по ХС са в частност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Взимане под внимание на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в частност при глави 14, 15, 20 (в т.ч. позиция 2008), 23 и 24 по ХС. При алтернативния набор от правила се постига баланс между регионалните и глобалните източници, като например в глави 9 и 12. Правилата са опростени (намаляване на изключенията) и в глави 4, 5, 6, 8, 11 и ex глава 13.</w:t>
      </w:r>
    </w:p>
    <w:p>
      <w:pPr>
        <w:pStyle w:val="ManualHeading3"/>
        <w:rPr>
          <w:rFonts w:eastAsia="Arial Unicode MS"/>
          <w:noProof/>
        </w:rPr>
      </w:pPr>
      <w:r>
        <w:t>3.2.2.</w:t>
      </w:r>
      <w:r>
        <w:tab/>
      </w:r>
      <w:r>
        <w:rPr>
          <w:noProof/>
        </w:rPr>
        <w:t>Промишлени продукти (без текстил)</w:t>
      </w:r>
    </w:p>
    <w:p>
      <w:pPr>
        <w:rPr>
          <w:rFonts w:eastAsia="Arial Unicode MS"/>
          <w:noProof/>
        </w:rPr>
      </w:pPr>
      <w:r>
        <w:rPr>
          <w:noProof/>
        </w:rPr>
        <w:t xml:space="preserve">В компромисното предложение се съдържат значителни изменения в сравнение с настоящите правила: </w:t>
      </w:r>
    </w:p>
    <w:p>
      <w:pPr>
        <w:rPr>
          <w:rFonts w:eastAsia="Arial Unicode MS"/>
          <w:noProof/>
        </w:rPr>
      </w:pPr>
      <w:r>
        <w:rPr>
          <w:noProof/>
        </w:rPr>
        <w:t>— за редица продукти разпоредбите в настоящата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разпоредби, които дерогират от разпоредбите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разпоредбите на настоящата глава на алтернативни разпоредби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изменения правилата за списъците се актуализират и осъвременяват, което на свой ред улеснява в общия случай удовлетворяването на критерия за получаване на статуса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rFonts w:eastAsia="Arial Unicode MS"/>
          <w:noProof/>
        </w:rPr>
      </w:pPr>
      <w:r>
        <w:t>3.2.3.</w:t>
      </w:r>
      <w:r>
        <w:tab/>
      </w:r>
      <w:r>
        <w:rPr>
          <w:noProof/>
        </w:rPr>
        <w:t>Текстилни продукти</w:t>
      </w:r>
    </w:p>
    <w:p>
      <w:pPr>
        <w:rPr>
          <w:rFonts w:eastAsia="Arial Unicode MS"/>
          <w:noProof/>
        </w:rPr>
      </w:pPr>
      <w:r>
        <w:rPr>
          <w:noProof/>
        </w:rPr>
        <w:t>При текстилните продукти и облеклата бяха въведени нови възможности по отношение на пасивното усъвършенстване и допустимите отклонения. За тези изделия, и по-специално за тъканите, бяха въведени и нови придаващи произход препработки – което ще улесни предлагането им. За отбелязване е също така, че пълната двустранна кумулация ще важи и за тези изделия. Тази кумулация ще позволи в производствения процес в зоната на кумулация да се вземе предвид и преработката на текстилните материали (на предачни и тъкачни машини и др.).</w:t>
      </w:r>
    </w:p>
    <w:p>
      <w:pPr>
        <w:rPr>
          <w:rFonts w:eastAsia="Arial Unicode MS"/>
          <w:noProof/>
        </w:rPr>
      </w:pPr>
      <w:r>
        <w:rPr>
          <w:noProof/>
        </w:rPr>
        <w:t>С предложените двустранни квоти за някои облекла и допълнения за облекла ще се позволи внасянето, съгласно облекчените правила, на изделия на стойност от около 17 милиона евро (приблизителна оценка въз основа на средните единични цени на вноса от Ливан през минали периоди). Въздействието върху европейския пазар на такъв ограничен внос в рамките на определените квоти се очаква да бъде незначително.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актовете с правно действие по силата на нормите на международното право, които уреждат съответния орган. То включва и инструментите, които нямат задължителен характер съгласно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Съветът за асоцииране е орган, създаден по дадено споразумение; тук споразумението е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w:t>
      </w:r>
    </w:p>
    <w:p>
      <w:pPr>
        <w:rPr>
          <w:noProof/>
        </w:rPr>
      </w:pPr>
      <w:r>
        <w:rPr>
          <w:noProof/>
        </w:rPr>
        <w:t xml:space="preserve">Актът, който Съветът за асоцииране има за задача да приеме, представлява акт с правно действие. По силата на член 76, параграф 2 от споразумението за асоцииране, предвиденият акт ще има задължителен характер съгласно международното право.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3 и член 207, параграф 4, първа алинея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3 и член 207, параграф 4, първа алинея от ДФЕС, във връзка с член 218, параграф 9 от ДФЕС.</w:t>
      </w:r>
    </w:p>
    <w:p>
      <w:pPr>
        <w:pStyle w:val="ManualHeading1"/>
        <w:rPr>
          <w:noProof/>
        </w:rPr>
      </w:pPr>
      <w:r>
        <w:t>5.</w:t>
      </w:r>
      <w:r>
        <w:tab/>
      </w:r>
      <w:r>
        <w:rPr>
          <w:noProof/>
        </w:rPr>
        <w:t>Отражение върху бюджета</w:t>
      </w:r>
    </w:p>
    <w:p>
      <w:pPr>
        <w:pStyle w:val="CommentText"/>
        <w:rPr>
          <w:rFonts w:eastAsia="Arial Unicode MS"/>
          <w:noProof/>
          <w:sz w:val="24"/>
          <w:szCs w:val="24"/>
          <w:highlight w:val="yellow"/>
        </w:rPr>
      </w:pPr>
      <w:r>
        <w:rPr>
          <w:noProof/>
          <w:sz w:val="24"/>
          <w:szCs w:val="24"/>
        </w:rPr>
        <w:t>Дерогацията за текстилната промишленост в рамките на определени квоти може да има отражение върху митническите приходи, които са собствени ресурси на ЕС. Вероятното отражение обаче е много ограничено поради сравнително ниската стойност на ливанския износ за ЕС в съответните сектори, както и поради факта, че дерогацията по всяка вероятност ще бъде използвана за предстоящия износ, а не за замяна на понастоящем обмитявания износ, който по силата на дерогацията няма да подлежи на мито. Използването на алтернативните правила за произход може също да има отражение, макар че е невъзможно то да бъде измерено количествено.</w:t>
      </w:r>
    </w:p>
    <w:p>
      <w:pPr>
        <w:pStyle w:val="ManualHeading1"/>
        <w:rPr>
          <w:noProof/>
        </w:rPr>
      </w:pPr>
      <w:r>
        <w:t>6.</w:t>
      </w:r>
      <w:r>
        <w:tab/>
      </w:r>
      <w:r>
        <w:rPr>
          <w:noProof/>
        </w:rPr>
        <w:t>Публикуване на предвидения акт</w:t>
      </w:r>
    </w:p>
    <w:p>
      <w:pPr>
        <w:rPr>
          <w:noProof/>
        </w:rPr>
      </w:pPr>
      <w:r>
        <w:rPr>
          <w:noProof/>
        </w:rPr>
        <w:t>Актът на Съвета за асоцииране изменя споразумението за асоцииране</w:t>
      </w:r>
      <w:r>
        <w:t xml:space="preserve">, </w:t>
      </w:r>
      <w:r>
        <w:rPr>
          <w:noProof/>
        </w:rPr>
        <w:t xml:space="preserve"> поради което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2019/0203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позицията, която трябва да се заеме от името на Европейския съюз в Съвета за асоцииране, създаден по силата на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във връзка с изменението на включения в посоченото споразумение протокол 4 относно определянето на понятието „продукти с произход“ и методите на административно сътрудничество  </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2006/356/ЕО на Съвета</w:t>
      </w:r>
      <w:r>
        <w:rPr>
          <w:rStyle w:val="FootnoteReference"/>
          <w:noProof/>
        </w:rPr>
        <w:footnoteReference w:id="4"/>
      </w:r>
      <w:r>
        <w:rPr>
          <w:noProof/>
        </w:rPr>
        <w:t xml:space="preserve"> бе сключено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(„Споразумението“), което влезе в сила на 1 април 2006 г.</w:t>
      </w:r>
    </w:p>
    <w:p>
      <w:pPr>
        <w:pStyle w:val="ManualConsidrant"/>
        <w:rPr>
          <w:noProof/>
        </w:rPr>
      </w:pPr>
      <w:r>
        <w:t>(2)</w:t>
      </w:r>
      <w:r>
        <w:tab/>
      </w:r>
      <w:r>
        <w:rPr>
          <w:noProof/>
        </w:rPr>
        <w:t>В Споразумението е включен протокол 4 относно определението на понятието „продукти с произход“ и методите на административно сътрудничество. По силата на член 38 от посочения протокол, Съветът за асоцииране, създаден по силата на член 74, параграф 1 от споразумението („Съвет за асоцииране“) може да реши да измени неговите разпоредби</w:t>
      </w:r>
      <w:r>
        <w:t>.</w:t>
      </w:r>
    </w:p>
    <w:p>
      <w:pPr>
        <w:pStyle w:val="ManualConsidrant"/>
        <w:rPr>
          <w:noProof/>
        </w:rPr>
      </w:pPr>
      <w:r>
        <w:t>(3)</w:t>
      </w:r>
      <w:r>
        <w:tab/>
      </w:r>
      <w:r>
        <w:rPr>
          <w:noProof/>
        </w:rPr>
        <w:t>Очаква се на следващото си заседание</w:t>
      </w:r>
      <w:r>
        <w:t xml:space="preserve"> </w:t>
      </w:r>
      <w:r>
        <w:rPr>
          <w:noProof/>
        </w:rPr>
        <w:t>Съветът за асоцииране да приеме решение за изменение на протокол 4.</w:t>
      </w:r>
    </w:p>
    <w:p>
      <w:pPr>
        <w:pStyle w:val="ManualConsidrant"/>
        <w:rPr>
          <w:noProof/>
        </w:rPr>
      </w:pPr>
      <w:r>
        <w:t>(4)</w:t>
      </w:r>
      <w:r>
        <w:tab/>
      </w:r>
      <w:r>
        <w:rPr>
          <w:noProof/>
        </w:rPr>
        <w:t>Решението на Съвета за асоцииране ще има задължителен характер за Съюза, поради което е целесъобразно да се определи позицията, която трябва да се заеме от името на Съюза в Съвета за асоцииране.</w:t>
      </w:r>
    </w:p>
    <w:p>
      <w:pPr>
        <w:pStyle w:val="ManualConsidrant"/>
        <w:rPr>
          <w:noProof/>
        </w:rPr>
      </w:pPr>
      <w:r>
        <w:t>(5)</w:t>
      </w:r>
      <w:r>
        <w:tab/>
      </w:r>
      <w:r>
        <w:rPr>
          <w:noProof/>
        </w:rPr>
        <w:t>С Решение 2013/93/ЕС на Съвета бе сключена Регионалната конвенция за паневросредиземноморските преференциални правила за произход  („Конвенцията“)</w:t>
      </w:r>
      <w:r>
        <w:rPr>
          <w:rStyle w:val="FootnoteReference"/>
          <w:noProof/>
        </w:rPr>
        <w:footnoteReference w:id="5"/>
      </w:r>
      <w:r>
        <w:rPr>
          <w:noProof/>
        </w:rPr>
        <w:t>, която за Съюза влезе в сила на 1 май 2012 г. В нея се съдържат правила относно произхода на стоките, които се търгуват по силата на съответните споразумения, сключени между договарящите страни, а самите правила се прилагат, без да се накърняват принципите, заложени в тези споразумения.</w:t>
      </w:r>
    </w:p>
    <w:p>
      <w:pPr>
        <w:pStyle w:val="ManualConsidrant"/>
        <w:rPr>
          <w:noProof/>
        </w:rPr>
      </w:pPr>
      <w:r>
        <w:t>(6)</w:t>
      </w:r>
      <w:r>
        <w:tab/>
      </w:r>
      <w:r>
        <w:rPr>
          <w:noProof/>
        </w:rPr>
        <w:t>В член 6 от Конвенцията се предвижда всяка договаряща страна да предприеме подходящи мерки с оглед на ефективното ѝ прилагане. За тази цел Съветът за асоцииране следва да приеме решение за въвеждане в протокол 4 към Споразумението на препратка към Конвенцията.</w:t>
      </w:r>
    </w:p>
    <w:p>
      <w:pPr>
        <w:pStyle w:val="ManualConsidrant"/>
        <w:rPr>
          <w:noProof/>
        </w:rPr>
      </w:pPr>
      <w:r>
        <w:t>(7)</w:t>
      </w:r>
      <w:r>
        <w:tab/>
      </w:r>
      <w:r>
        <w:rPr>
          <w:noProof/>
        </w:rPr>
        <w:t>Обсъжданията по изменението на Конвенцията доведоха до нов набор от модернизирани и по-гъвкави правила за произход, които ще бъдат включени в Конвенцията. От своя страна, ЕС и Ливан изразиха намерението си да започнат двустранно да прилагат новите правила като алтернатива на действащите възможно най-скоро, още преди окончателно да е приключил процесът по изменянето им.</w:t>
      </w:r>
    </w:p>
    <w:p>
      <w:pPr>
        <w:pStyle w:val="ManualConsidrant"/>
        <w:rPr>
          <w:noProof/>
        </w:rPr>
      </w:pPr>
      <w:r>
        <w:t>(8)</w:t>
      </w:r>
      <w:r>
        <w:tab/>
      </w:r>
      <w:r>
        <w:rPr>
          <w:noProof/>
        </w:rPr>
        <w:t>В светлината на изменението на Конвенцията, Ливан се обърна към Съюза с искане за по-гъвкави правила за произход за някои текстилни продукти, с цел произведените от внесени тъкани облекла да се приемат, че са с произход по силата на Споразумението. Предвид сериозните последици за Ливан от бежанската криза в Сирия и ограниченото развитие на ливанската текстилна промишленост, Съветът, от името на Съюза, смята, че е обосновано да се даде съгласие за облекчаване на правилата за произход за някои текстилни продукти, в рамките на ограничени годишни квоти,</w:t>
      </w: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Съвета за асоцииране, се основава на приложения към настоящото решение проектоакт на Съвета за асоцииране.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143, 30.5.2006 г., стр. 2.</w:t>
      </w:r>
    </w:p>
  </w:footnote>
  <w:footnote w:id="3">
    <w:p>
      <w:pPr>
        <w:pStyle w:val="FootnoteText"/>
      </w:pPr>
      <w:r>
        <w:rPr>
          <w:rStyle w:val="FootnoteReference"/>
        </w:rPr>
        <w:footnoteRef/>
      </w:r>
      <w:r>
        <w:tab/>
        <w:t xml:space="preserve">Решение на Съда на ЕС от 7 октомври 2014 г. по дело Германия/Съвет, C-399/12, ECLI:EU:C:2014:2258, т. 61—64. </w:t>
      </w:r>
    </w:p>
  </w:footnote>
  <w:footnote w:id="4">
    <w:p>
      <w:pPr>
        <w:pStyle w:val="FootnoteText"/>
      </w:pPr>
      <w:r>
        <w:rPr>
          <w:rStyle w:val="FootnoteReference"/>
        </w:rPr>
        <w:footnoteRef/>
      </w:r>
      <w:r>
        <w:tab/>
        <w:t>Решение на Съвета от 14 февруари 2006 г. за сключване на Евро-средиземноморско споразумение за асоцииране между Европейската общност и нейните държави членки, от една страна, и Република Ливан, от друга страна (OJ L 143, 30.5.2006 г., стр. 2).</w:t>
      </w:r>
    </w:p>
  </w:footnote>
  <w:footnote w:id="5">
    <w:p>
      <w:pPr>
        <w:pStyle w:val="FootnoteText"/>
      </w:pPr>
      <w:r>
        <w:rPr>
          <w:rStyle w:val="FootnoteReference"/>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9-17 16:02: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4E1D8B0-CD72-4D37-B127-7D2CD16FBFBC"/>
    <w:docVar w:name="LW_COVERPAGE_TYPE" w:val="1"/>
    <w:docVar w:name="LW_CROSSREFERENCE" w:val="&lt;UNUSED&gt;"/>
    <w:docVar w:name="LW_DocType" w:val="COM"/>
    <w:docVar w:name="LW_EMISSION" w:val="25.9.2019"/>
    <w:docVar w:name="LW_EMISSION_ISODATE" w:val="2019-09-2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3"/>
    <w:docVar w:name="LW_REF.II.NEW.CP_YEAR" w:val="2019"/>
    <w:docVar w:name="LW_REF.INST.NEW" w:val="COM"/>
    <w:docVar w:name="LW_REF.INST.NEW_ADOPTED" w:val="final"/>
    <w:docVar w:name="LW_REF.INST.NEW_TEXT" w:val="(2019) 4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87?\u1088?\u1086?\u1090?\u1086?\u1082?\u1086?\u1083? 4 \u1086?\u1090?\u1085?\u1086?\u1089?\u1085?\u1086? \u1086?\u1087?\u1088?\u1077?\u1076?\u1077?\u1083?\u1103?\u1085?\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BA8A-C6EA-47FD-A12A-DB53C9AE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3507</Words>
  <Characters>19992</Characters>
  <Application>Microsoft Office Word</Application>
  <DocSecurity>0</DocSecurity>
  <Lines>370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2019-09-10T09:37:00Z</dcterms:created>
  <dcterms:modified xsi:type="dcterms:W3CDTF">2019-09-17T14:02:00Z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