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6555787-353C-46BB-9DC3-6517486527B6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pStyle w:val="ManualHeading1"/>
        <w:rPr>
          <w:noProof/>
        </w:rPr>
      </w:pPr>
      <w:r>
        <w:rPr>
          <w:noProof/>
        </w:rPr>
        <w:t>Amendment to the International Convention on the Harmonisation of Frontier Controls of Goods</w:t>
      </w:r>
    </w:p>
    <w:p>
      <w:pPr>
        <w:pStyle w:val="Text1"/>
        <w:rPr>
          <w:b/>
          <w:noProof/>
        </w:rPr>
      </w:pPr>
      <w:r>
        <w:rPr>
          <w:b/>
          <w:noProof/>
        </w:rPr>
        <w:t>Annex 8, Article 7</w:t>
      </w:r>
    </w:p>
    <w:p>
      <w:pPr>
        <w:pStyle w:val="Text1"/>
        <w:rPr>
          <w:i/>
          <w:noProof/>
        </w:rPr>
      </w:pPr>
      <w:r>
        <w:rPr>
          <w:i/>
          <w:noProof/>
        </w:rPr>
        <w:t>For</w:t>
      </w:r>
      <w:r>
        <w:rPr>
          <w:noProof/>
        </w:rPr>
        <w:t xml:space="preserve"> second year </w:t>
      </w:r>
      <w:r>
        <w:rPr>
          <w:i/>
          <w:noProof/>
        </w:rPr>
        <w:t>substitute</w:t>
      </w:r>
      <w:r>
        <w:rPr>
          <w:noProof/>
        </w:rPr>
        <w:t xml:space="preserve"> five years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503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ACA3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1303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BC0D1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3C6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6685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563A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7780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9-17 14:07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6555787-353C-46BB-9DC3-6517486527B6"/>
    <w:docVar w:name="LW_COVERPAGE_TYPE" w:val="1"/>
    <w:docVar w:name="LW_CROSSREFERENCE" w:val="&lt;UNUSED&gt;"/>
    <w:docVar w:name="LW_DocType" w:val="ANNEX"/>
    <w:docVar w:name="LW_EMISSION" w:val="25.9.2019"/>
    <w:docVar w:name="LW_EMISSION_ISODATE" w:val="2019-09-2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position to be taken on behalf of the European Union within the Administrative Committee for the International Convention on the Harmonisation of Frontier Controls of Goods"/>
    <w:docVar w:name="LW_OBJETACTEPRINCIPAL.CP" w:val="on the position to be taken on behalf of the European Union within the Administrative Committee for the International Convention on the Harmonisation of Frontier Controls of Goods"/>
    <w:docVar w:name="LW_PART_NBR" w:val="1"/>
    <w:docVar w:name="LW_PART_NBR_TOTAL" w:val="1"/>
    <w:docVar w:name="LW_REF.INST.NEW" w:val="COM"/>
    <w:docVar w:name="LW_REF.INST.NEW_ADOPTED" w:val="final"/>
    <w:docVar w:name="LW_REF.INST.NEW_TEXT" w:val="(2019) 4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Decision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24</Words>
  <Characters>136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CLAMOT Veronique (TAXUD)</dc:creator>
  <cp:keywords/>
  <dc:description/>
  <cp:lastModifiedBy>WES PDFC Administrator</cp:lastModifiedBy>
  <cp:revision>9</cp:revision>
  <dcterms:created xsi:type="dcterms:W3CDTF">2019-07-23T12:46:00Z</dcterms:created>
  <dcterms:modified xsi:type="dcterms:W3CDTF">2019-09-17T12:07:00Z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