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82F7EFF-5336-48B0-A7B2-223F221CA3FB" style="width:450.75pt;height:477.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NumPar1"/>
        <w:rPr>
          <w:noProof/>
        </w:rPr>
      </w:pPr>
      <w:r>
        <w:t>1.</w:t>
      </w:r>
      <w:r>
        <w:tab/>
      </w:r>
      <w:r>
        <w:rPr>
          <w:noProof/>
        </w:rPr>
        <w:t>КОНТЕКСТ НА ПРЕДЛОЖЕНИЕТО</w:t>
      </w:r>
    </w:p>
    <w:p>
      <w:pPr>
        <w:pStyle w:val="ManualHeading2"/>
        <w:rPr>
          <w:noProof/>
        </w:rPr>
      </w:pPr>
      <w:r>
        <w:rPr>
          <w:noProof/>
          <w:u w:color="000000"/>
          <w:bdr w:val="nil"/>
        </w:rPr>
        <w:t>•</w:t>
      </w:r>
      <w:r>
        <w:rPr>
          <w:noProof/>
          <w:u w:color="000000"/>
          <w:bdr w:val="nil"/>
        </w:rPr>
        <w:tab/>
      </w:r>
      <w:r>
        <w:rPr>
          <w:noProof/>
        </w:rPr>
        <w:t>Основания и цели на предложението</w:t>
      </w:r>
    </w:p>
    <w:p>
      <w:pPr>
        <w:pBdr>
          <w:top w:val="nil"/>
          <w:left w:val="nil"/>
          <w:bottom w:val="nil"/>
          <w:right w:val="nil"/>
          <w:between w:val="nil"/>
          <w:bar w:val="nil"/>
        </w:pBdr>
        <w:spacing w:before="0" w:after="240"/>
        <w:rPr>
          <w:noProof/>
        </w:rPr>
      </w:pPr>
      <w:r>
        <w:rPr>
          <w:noProof/>
        </w:rPr>
        <w:t>За да осигури необходимата правна сигурност и хомогенност на вътрешния пазар, Съвместният комитет на ЕИП следва да включва всички релевантни законодателни актове на ЕС в Споразумението за ЕИП във възможно най-кратък срок след тяхното приемане, както и да дава възможност за участие на членуващите в ЕИП държави от ЕАСТ в дейностите и програмите на ЕС от значение за ЕИП.</w:t>
      </w:r>
    </w:p>
    <w:p>
      <w:pPr>
        <w:pBdr>
          <w:top w:val="nil"/>
          <w:left w:val="nil"/>
          <w:bottom w:val="nil"/>
          <w:right w:val="nil"/>
          <w:between w:val="nil"/>
          <w:bar w:val="nil"/>
        </w:pBdr>
        <w:spacing w:before="0" w:after="240"/>
        <w:rPr>
          <w:noProof/>
        </w:rPr>
      </w:pPr>
      <w:r>
        <w:rPr>
          <w:noProof/>
        </w:rPr>
        <w:t>С проекта на решение на Съвместния комитет на ЕИП (приложен към предложението за решение на Съвета) се цели да се измени Протокол 31 към Споразумението за ЕИП относно „сътрудничеството в специфични области извън четирите свободи“, за да се позволи на членуващите в ЕИП държави от ЕАСТ (в този случай Норвегия и Исландия) да си сътрудничат с ЕС с цел да изпълнят съответните си цели за намаляване на емисиите на парникови газове за 2030 г. и да го направят в рамката на ЕИП.</w:t>
      </w:r>
    </w:p>
    <w:p>
      <w:pPr>
        <w:pStyle w:val="ManualHeading2"/>
        <w:rPr>
          <w:rFonts w:eastAsia="Arial Unicode MS"/>
          <w:noProof/>
          <w:color w:val="000000"/>
          <w:u w:color="000000"/>
          <w:bdr w:val="nil"/>
        </w:rPr>
      </w:pPr>
      <w:r>
        <w:rPr>
          <w:noProof/>
          <w:u w:color="000000"/>
          <w:bdr w:val="nil"/>
        </w:rPr>
        <w:t>•</w:t>
      </w:r>
      <w:r>
        <w:rPr>
          <w:noProof/>
          <w:u w:color="000000"/>
          <w:bdr w:val="nil"/>
        </w:rPr>
        <w:tab/>
      </w:r>
      <w:r>
        <w:rPr>
          <w:noProof/>
        </w:rPr>
        <w:t>Съгласуваност с действащите разпоредби в тази област на политиката</w:t>
      </w:r>
    </w:p>
    <w:p>
      <w:pPr>
        <w:pBdr>
          <w:top w:val="nil"/>
          <w:left w:val="nil"/>
          <w:bottom w:val="nil"/>
          <w:right w:val="nil"/>
          <w:between w:val="nil"/>
          <w:bar w:val="nil"/>
        </w:pBdr>
        <w:spacing w:before="0" w:after="240"/>
        <w:rPr>
          <w:rFonts w:eastAsia="Arial Unicode MS"/>
          <w:noProof/>
        </w:rPr>
      </w:pPr>
      <w:r>
        <w:rPr>
          <w:noProof/>
        </w:rPr>
        <w:t>Приложеният проект на решение на Съвместния комитет е в пълно съответствие с целта на Споразумението за ЕИП да подпомага постоянното и балансирано укрепване на търговските и икономическите отношения между договарящите се страни при еднакви условия на конкуренция и при спазване на същите правила с цел създаване на хомогенно Европейско икономическо пространство.</w:t>
      </w:r>
    </w:p>
    <w:p>
      <w:pPr>
        <w:pStyle w:val="ManualHeading2"/>
        <w:rPr>
          <w:rFonts w:eastAsia="Arial Unicode MS"/>
          <w:noProof/>
        </w:rPr>
      </w:pPr>
      <w:r>
        <w:rPr>
          <w:noProof/>
          <w:u w:color="000000"/>
          <w:bdr w:val="nil"/>
        </w:rPr>
        <w:t>•</w:t>
      </w:r>
      <w:r>
        <w:rPr>
          <w:noProof/>
          <w:u w:color="000000"/>
          <w:bdr w:val="nil"/>
        </w:rPr>
        <w:tab/>
      </w:r>
      <w:r>
        <w:rPr>
          <w:noProof/>
        </w:rPr>
        <w:t>Съгласуваност с други политики на Съюза</w:t>
      </w:r>
    </w:p>
    <w:p>
      <w:pPr>
        <w:pBdr>
          <w:top w:val="nil"/>
          <w:left w:val="nil"/>
          <w:bottom w:val="nil"/>
          <w:right w:val="nil"/>
          <w:between w:val="nil"/>
          <w:bar w:val="nil"/>
        </w:pBdr>
        <w:spacing w:before="0" w:after="240"/>
        <w:rPr>
          <w:rFonts w:eastAsia="Arial Unicode MS"/>
          <w:noProof/>
        </w:rPr>
      </w:pPr>
      <w:r>
        <w:rPr>
          <w:noProof/>
        </w:rPr>
        <w:t>Решението на Съвместния комитет е също така в съответствие с други политики на Съюза, по-специално с оглед на целта да се защити хомогенността на вътрешния пазар на ЕС.</w:t>
      </w:r>
    </w:p>
    <w:p>
      <w:pPr>
        <w:pStyle w:val="ManualNumPar1"/>
        <w:rPr>
          <w:noProof/>
        </w:rPr>
      </w:pPr>
      <w:r>
        <w:t>2.</w:t>
      </w:r>
      <w:r>
        <w:tab/>
      </w:r>
      <w:r>
        <w:rPr>
          <w:noProof/>
        </w:rPr>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u w:color="000000"/>
          <w:bdr w:val="nil"/>
        </w:rPr>
        <w:tab/>
        <w:t>Правно основание</w:t>
      </w:r>
    </w:p>
    <w:p>
      <w:pPr>
        <w:rPr>
          <w:noProof/>
        </w:rPr>
      </w:pPr>
      <w:r>
        <w:rPr>
          <w:noProof/>
        </w:rPr>
        <w:t>Законодателството, което следва да бъде включено в Споразумението за ЕИП, се основава на член 191 от Договора за функционирането на Европейския съюз, във връзка с член 218, параграф 9 от него.</w:t>
      </w:r>
    </w:p>
    <w:p>
      <w:pPr>
        <w:pBdr>
          <w:top w:val="nil"/>
          <w:left w:val="nil"/>
          <w:bottom w:val="nil"/>
          <w:right w:val="nil"/>
          <w:between w:val="nil"/>
          <w:bar w:val="nil"/>
        </w:pBdr>
        <w:spacing w:before="0" w:after="240"/>
        <w:rPr>
          <w:rFonts w:eastAsia="Arial Unicode MS"/>
          <w:noProof/>
        </w:rPr>
      </w:pPr>
      <w:r>
        <w:rPr>
          <w:noProof/>
        </w:rPr>
        <w:t>Съгласно член 1, параграф 3 от Регламент (ЕО) № 2894/94</w:t>
      </w:r>
      <w:r>
        <w:rPr>
          <w:rStyle w:val="FootnoteReference"/>
          <w:noProof/>
        </w:rPr>
        <w:footnoteReference w:id="1"/>
      </w:r>
      <w:r>
        <w:rPr>
          <w:noProof/>
        </w:rPr>
        <w:t xml:space="preserve"> на Съвета относно условията за прилагане на Споразумението за Европейското икономическо пространство Съветът определя въз основа на предложение на Комисията позицията, която трябва да се заеме от името на Съюза по отношение на подобни решения.</w:t>
      </w:r>
    </w:p>
    <w:p>
      <w:pPr>
        <w:pStyle w:val="ManualHeading2"/>
        <w:rPr>
          <w:rFonts w:eastAsia="Arial Unicode MS"/>
          <w:noProof/>
          <w:u w:color="000000"/>
          <w:bdr w:val="nil"/>
        </w:rPr>
      </w:pPr>
      <w:r>
        <w:rPr>
          <w:noProof/>
          <w:u w:color="000000"/>
          <w:bdr w:val="nil"/>
        </w:rPr>
        <w:t>•</w:t>
      </w:r>
      <w:r>
        <w:rPr>
          <w:noProof/>
          <w:u w:color="000000"/>
          <w:bdr w:val="nil"/>
        </w:rPr>
        <w:tab/>
        <w:t xml:space="preserve">Субсидиарност (при неизключителна компетентност) </w:t>
      </w:r>
    </w:p>
    <w:p>
      <w:pPr>
        <w:pBdr>
          <w:top w:val="nil"/>
          <w:left w:val="nil"/>
          <w:bottom w:val="nil"/>
          <w:right w:val="nil"/>
          <w:between w:val="nil"/>
          <w:bar w:val="nil"/>
        </w:pBdr>
        <w:spacing w:before="0" w:after="240"/>
        <w:rPr>
          <w:noProof/>
        </w:rPr>
      </w:pPr>
      <w:r>
        <w:rPr>
          <w:noProof/>
        </w:rPr>
        <w:t xml:space="preserve">Предложението е в съответствие с принципа на субсидиарност по следната причина.  </w:t>
      </w:r>
    </w:p>
    <w:p>
      <w:pPr>
        <w:pBdr>
          <w:top w:val="nil"/>
          <w:left w:val="nil"/>
          <w:bottom w:val="nil"/>
          <w:right w:val="nil"/>
          <w:between w:val="nil"/>
          <w:bar w:val="nil"/>
        </w:pBdr>
        <w:spacing w:before="0" w:after="240"/>
        <w:rPr>
          <w:rFonts w:eastAsia="Arial Unicode MS"/>
          <w:noProof/>
        </w:rPr>
      </w:pPr>
      <w:r>
        <w:rPr>
          <w:noProof/>
        </w:rPr>
        <w:t>Целта на настоящото предложение, а именно да се гарантира хомогенността на вътрешния пазар, не може да бъде постигната в достатъчна степен от държавите членки и следователно може, с оглед на въздействието, да бъде постигната по-добре на равнището на Съюза.</w:t>
      </w:r>
    </w:p>
    <w:p>
      <w:pPr>
        <w:pStyle w:val="ManualHeading2"/>
        <w:rPr>
          <w:rFonts w:eastAsia="Arial Unicode MS"/>
          <w:noProof/>
          <w:u w:color="000000"/>
          <w:bdr w:val="nil"/>
        </w:rPr>
      </w:pPr>
      <w:r>
        <w:rPr>
          <w:noProof/>
          <w:u w:color="000000"/>
          <w:bdr w:val="nil"/>
        </w:rPr>
        <w:lastRenderedPageBreak/>
        <w:t>•</w:t>
      </w:r>
      <w:r>
        <w:rPr>
          <w:noProof/>
          <w:u w:color="000000"/>
          <w:bdr w:val="nil"/>
        </w:rPr>
        <w:tab/>
        <w:t>Пропорционалност</w:t>
      </w:r>
    </w:p>
    <w:p>
      <w:pPr>
        <w:pBdr>
          <w:top w:val="nil"/>
          <w:left w:val="nil"/>
          <w:bottom w:val="nil"/>
          <w:right w:val="nil"/>
          <w:between w:val="nil"/>
          <w:bar w:val="nil"/>
        </w:pBdr>
        <w:spacing w:before="0" w:after="240"/>
        <w:rPr>
          <w:rFonts w:eastAsia="Arial Unicode MS"/>
          <w:noProof/>
        </w:rPr>
      </w:pPr>
      <w:r>
        <w:rPr>
          <w:noProof/>
        </w:rPr>
        <w:t>В съответствие с принципа на пропорционалност настоящото предложение не надхвърля необходимото за постигането на своята цел.</w:t>
      </w:r>
    </w:p>
    <w:p>
      <w:pPr>
        <w:pStyle w:val="ManualHeading2"/>
        <w:rPr>
          <w:rFonts w:eastAsia="Arial Unicode MS"/>
          <w:noProof/>
          <w:u w:color="000000"/>
          <w:bdr w:val="nil"/>
        </w:rPr>
      </w:pPr>
      <w:r>
        <w:rPr>
          <w:noProof/>
          <w:u w:color="000000"/>
          <w:bdr w:val="nil"/>
        </w:rPr>
        <w:t>•</w:t>
      </w:r>
      <w:r>
        <w:rPr>
          <w:noProof/>
          <w:u w:color="000000"/>
          <w:bdr w:val="nil"/>
        </w:rPr>
        <w:tab/>
        <w:t>Избор на инструмент</w:t>
      </w:r>
    </w:p>
    <w:p>
      <w:pPr>
        <w:pBdr>
          <w:top w:val="nil"/>
          <w:left w:val="nil"/>
          <w:bottom w:val="nil"/>
          <w:right w:val="nil"/>
          <w:between w:val="nil"/>
          <w:bar w:val="nil"/>
        </w:pBdr>
        <w:spacing w:before="0" w:after="240"/>
        <w:rPr>
          <w:rFonts w:eastAsia="Arial Unicode MS"/>
          <w:noProof/>
        </w:rPr>
      </w:pPr>
      <w:r>
        <w:rPr>
          <w:noProof/>
        </w:rPr>
        <w:t>В съответствие с член 98 от Споразумението за ЕИП избраният инструмент е решение на Съвместния комитет на ЕИП. Съвместният комитет на ЕИП осигурява ефективното изпълнение и функциониране на Споразумението за ЕИП. За тази цел той взема решения в случаите, предвидени в Споразумението за ЕИП.</w:t>
      </w:r>
    </w:p>
    <w:p>
      <w:pPr>
        <w:pStyle w:val="ManualNumPar1"/>
        <w:rPr>
          <w:noProof/>
        </w:rPr>
      </w:pPr>
      <w:r>
        <w:t>3.</w:t>
      </w:r>
      <w:r>
        <w:tab/>
      </w:r>
      <w:r>
        <w:rPr>
          <w:noProof/>
        </w:rPr>
        <w:t>РЕЗУЛТАТИ ОТ ПОСЛЕДВАЩИТЕ ОЦЕНКИ, КОНСУЛТАЦИИТЕ СЪС ЗАИНТЕРЕСОВАНИТЕ СТРАНИ И ОЦЕНКИТЕ НА ВЪЗДЕЙСТВИЕТО</w:t>
      </w:r>
    </w:p>
    <w:p>
      <w:pPr>
        <w:pBdr>
          <w:top w:val="nil"/>
          <w:left w:val="nil"/>
          <w:bottom w:val="nil"/>
          <w:right w:val="nil"/>
          <w:between w:val="nil"/>
          <w:bar w:val="nil"/>
        </w:pBdr>
        <w:spacing w:before="0" w:after="240"/>
        <w:rPr>
          <w:rFonts w:eastAsia="Arial Unicode MS"/>
          <w:noProof/>
        </w:rPr>
      </w:pPr>
      <w:r>
        <w:rPr>
          <w:noProof/>
        </w:rPr>
        <w:t>Не се прилага.</w:t>
      </w:r>
    </w:p>
    <w:p>
      <w:pPr>
        <w:pStyle w:val="ManualNumPar1"/>
        <w:rPr>
          <w:noProof/>
        </w:rPr>
      </w:pPr>
      <w:r>
        <w:t>4.</w:t>
      </w:r>
      <w:r>
        <w:tab/>
      </w:r>
      <w:r>
        <w:rPr>
          <w:noProof/>
        </w:rPr>
        <w:t>ОТРАЖЕНИЕ ВЪРХУ БЮДЖЕТА</w:t>
      </w:r>
    </w:p>
    <w:p>
      <w:pPr>
        <w:pBdr>
          <w:top w:val="nil"/>
          <w:left w:val="nil"/>
          <w:bottom w:val="nil"/>
          <w:right w:val="nil"/>
          <w:between w:val="nil"/>
          <w:bar w:val="nil"/>
        </w:pBdr>
        <w:spacing w:before="0" w:after="240"/>
        <w:rPr>
          <w:rFonts w:eastAsia="Arial Unicode MS"/>
          <w:noProof/>
        </w:rPr>
      </w:pPr>
      <w:r>
        <w:rPr>
          <w:noProof/>
        </w:rPr>
        <w:t>Предлага се Протокол 31 към Споразумението за ЕИП да бъде изменен, за да се даде възможност на членуващите в ЕИП държави от ЕАСТ да участват в рамката на ЕС. Не е предвидено отражение върху бюджета.</w:t>
      </w:r>
    </w:p>
    <w:p>
      <w:pPr>
        <w:pStyle w:val="ManualNumPar1"/>
        <w:rPr>
          <w:noProof/>
        </w:rPr>
      </w:pPr>
      <w:r>
        <w:t>5.</w:t>
      </w:r>
      <w:r>
        <w:tab/>
      </w:r>
      <w:r>
        <w:rPr>
          <w:noProof/>
        </w:rPr>
        <w:t>ДРУГИ ЕЛЕМЕНТИ</w:t>
      </w:r>
    </w:p>
    <w:p>
      <w:pPr>
        <w:pStyle w:val="ManualHeading2"/>
        <w:rPr>
          <w:rFonts w:eastAsia="Arial Unicode MS"/>
          <w:noProof/>
          <w:u w:color="000000"/>
          <w:bdr w:val="nil"/>
        </w:rPr>
      </w:pPr>
      <w:r>
        <w:rPr>
          <w:noProof/>
          <w:u w:color="000000"/>
          <w:bdr w:val="nil"/>
        </w:rPr>
        <w:tab/>
        <w:t>Подробно разяснение на специфичните разпоредби на предложението</w:t>
      </w:r>
    </w:p>
    <w:p>
      <w:pPr>
        <w:pStyle w:val="ManualNumPar2"/>
        <w:rPr>
          <w:noProof/>
        </w:rPr>
      </w:pPr>
      <w:r>
        <w:t>5.1.</w:t>
      </w:r>
      <w:r>
        <w:tab/>
      </w:r>
      <w:r>
        <w:rPr>
          <w:noProof/>
        </w:rPr>
        <w:t>Включване в Протокол 31</w:t>
      </w:r>
    </w:p>
    <w:p>
      <w:pPr>
        <w:pStyle w:val="BodyTextIndent"/>
        <w:ind w:left="0"/>
        <w:jc w:val="both"/>
        <w:rPr>
          <w:noProof/>
        </w:rPr>
      </w:pPr>
      <w:r>
        <w:rPr>
          <w:noProof/>
        </w:rPr>
        <w:t xml:space="preserve">Директива 2003/87/ЕО е включена в приложение XX към Споразумението за ЕИП, а Директива 2018/410/ЕС за изменение ще бъде включена в приложението към отделно решение на Съвместния комитет.  </w:t>
      </w:r>
    </w:p>
    <w:p>
      <w:pPr>
        <w:pStyle w:val="BodyTextIndent"/>
        <w:ind w:left="0"/>
        <w:jc w:val="both"/>
        <w:rPr>
          <w:noProof/>
        </w:rPr>
      </w:pPr>
      <w:r>
        <w:rPr>
          <w:noProof/>
        </w:rPr>
        <w:t xml:space="preserve">С регламенти (ЕС) 2018/841 и 2018/842 се определят допустимите нива на емисиите на всяка държава. С тях също така се регулира и достъпът на държавите до механизми за гъвкавост във връзка със спазването на съществените им задължения и се определя начинът за отчитане на емисиите на парникови газове, както и поглъщанията на парникови газове от земеползването, промените в земеползването и горското стопанство. В тях не са предвидени средства за постигане на определените в тях цели, нито са създадени права или задължения за икономически участници. </w:t>
      </w:r>
    </w:p>
    <w:p>
      <w:pPr>
        <w:pStyle w:val="BodyTextIndent"/>
        <w:ind w:left="0"/>
        <w:jc w:val="both"/>
        <w:rPr>
          <w:noProof/>
        </w:rPr>
      </w:pPr>
      <w:r>
        <w:rPr>
          <w:noProof/>
        </w:rPr>
        <w:t>Исландия и Норвегия планират да изпълнят съответните си цели за намаляване на емисиите на парникови газове за 2030 г., като прилагат и ефективно изпълняват в рамките на Споразумението за ЕИП регламенти (ЕС) 2018/841 и 2018/842, както и Директива 2003/87. В съответствие с част VI от Споразумението за ЕИП, включително член 78 от Споразумението за ЕИП, в Протокол 31 към Споразумението за ЕИП е предвиден подходящият контекст за такова сътрудничество между Съюза и държавите ЕИП извън четирите свободи.</w:t>
      </w:r>
    </w:p>
    <w:p>
      <w:pPr>
        <w:pStyle w:val="BodyTextIndent"/>
        <w:ind w:left="0"/>
        <w:jc w:val="both"/>
        <w:rPr>
          <w:noProof/>
        </w:rPr>
      </w:pPr>
      <w:r>
        <w:rPr>
          <w:noProof/>
        </w:rPr>
        <w:t xml:space="preserve">С включването на регламенти (ЕС) 2018/841 и 2018/842 в правото на ЕИП чрез изменение на Протокол 31 към Споразумението за ЕИП се създават същият тип правни задължения, както с включването в приложение към Споразумението за ЕИП. Спазването на актовете и разпоредбите, включени в Протокол 31, може да се наблюдава и привежда в изпълнение от Надзорния орган на ЕАСТ и от Съда на ЕАСТ в същата степен, както ако те са включени в приложение, стига договарящите се страни да се съгласят на това. Следователно се предлага да се приложи част VII от </w:t>
      </w:r>
      <w:r>
        <w:rPr>
          <w:noProof/>
        </w:rPr>
        <w:lastRenderedPageBreak/>
        <w:t>Споразумението за ЕИП, т.е. обикновените процедури за надзор и уреждане на спорове от Споразумението за ЕИП.</w:t>
      </w:r>
    </w:p>
    <w:p>
      <w:pPr>
        <w:pStyle w:val="BodyTextIndent"/>
        <w:ind w:left="0"/>
        <w:jc w:val="both"/>
        <w:rPr>
          <w:noProof/>
        </w:rPr>
      </w:pPr>
      <w:r>
        <w:rPr>
          <w:noProof/>
        </w:rPr>
        <w:t xml:space="preserve">Не се създава обаче задължение за включване на последващи актове. Това разграничение е важно за Исландия и Норвегия, понеже настоящото решение за сътрудничество попада извън областите, които договарящите се страни по Споразумението за ЕИП имат задължението да включват в достиженията на правото на ЕИП. </w:t>
      </w:r>
    </w:p>
    <w:p>
      <w:pPr>
        <w:pStyle w:val="BodyTextIndent"/>
        <w:ind w:left="0"/>
        <w:jc w:val="both"/>
        <w:rPr>
          <w:noProof/>
        </w:rPr>
      </w:pPr>
      <w:r>
        <w:rPr>
          <w:noProof/>
        </w:rPr>
        <w:t>Включените актове и разпоредби не се прилагат по отношение на Лихтенщайн.</w:t>
      </w:r>
    </w:p>
    <w:p>
      <w:pPr>
        <w:pStyle w:val="ManualNumPar2"/>
        <w:rPr>
          <w:noProof/>
        </w:rPr>
      </w:pPr>
      <w:r>
        <w:t>5.2.</w:t>
      </w:r>
      <w:r>
        <w:tab/>
      </w:r>
      <w:r>
        <w:rPr>
          <w:noProof/>
        </w:rPr>
        <w:t>Обосновки и предложени решения — Регламент 2018/841</w:t>
      </w:r>
    </w:p>
    <w:p>
      <w:pPr>
        <w:rPr>
          <w:noProof/>
          <w:u w:val="single"/>
        </w:rPr>
      </w:pPr>
      <w:r>
        <w:rPr>
          <w:noProof/>
          <w:u w:val="single"/>
        </w:rPr>
        <w:t>Член 6, параграф 2 — период на преобразуване:</w:t>
      </w:r>
    </w:p>
    <w:p>
      <w:pPr>
        <w:rPr>
          <w:i/>
          <w:noProof/>
        </w:rPr>
      </w:pPr>
      <w:r>
        <w:rPr>
          <w:i/>
          <w:noProof/>
        </w:rPr>
        <w:t xml:space="preserve">Обосновка: </w:t>
      </w:r>
    </w:p>
    <w:p>
      <w:pPr>
        <w:ind w:left="720"/>
        <w:rPr>
          <w:noProof/>
        </w:rPr>
      </w:pPr>
      <w:r>
        <w:rPr>
          <w:noProof/>
        </w:rPr>
        <w:t>За Исландия системно се използва 50-годишен период на преобразуване за отчитане във връзка със залесени площи съгласно Рамковата конвенция на Организацията на обединените нации по изменение на климата (РКООНИК), който е надлежно обоснован и се преразглежда въз основа на ръководствата на Междуправителствения комитет по изменение на климата (МКИК).</w:t>
      </w:r>
    </w:p>
    <w:p>
      <w:pPr>
        <w:rPr>
          <w:noProof/>
          <w:u w:val="single"/>
        </w:rPr>
      </w:pPr>
      <w:r>
        <w:rPr>
          <w:noProof/>
          <w:u w:val="single"/>
        </w:rPr>
        <w:t>Член 8, параграф 7 — процедура и срокове за националните отчетни планове за горите:</w:t>
      </w:r>
    </w:p>
    <w:p>
      <w:pPr>
        <w:rPr>
          <w:i/>
          <w:noProof/>
        </w:rPr>
      </w:pPr>
      <w:r>
        <w:rPr>
          <w:i/>
          <w:noProof/>
        </w:rPr>
        <w:t xml:space="preserve">Обосновка: </w:t>
      </w:r>
    </w:p>
    <w:p>
      <w:pPr>
        <w:ind w:left="720"/>
        <w:rPr>
          <w:noProof/>
        </w:rPr>
      </w:pPr>
      <w:r>
        <w:rPr>
          <w:noProof/>
        </w:rPr>
        <w:t xml:space="preserve">Като следствие от включването на член 8, параграфи 7 и 8 от Регламента за земеползването, промените в земеползването и горското стопанство (ЗПЗГС) и общите адаптации на прилагането на част VII и Протокол 1 към Споразумението за ЕИП, държавите от ЕАСТ представят предложените референтни нива и номинират експерти в Надзорния орган на ЕАСТ, но едва след влизане в сила на решението на Съвместния комитет. От това и от предложената обща адаптация относно консултациите с експерти следва, че Европейската комисия и Надзорният орган на ЕАСТ се консултират с номинираните експерти по същия начин, по който Комисията се консултира с експерти от държавите — членки на Европейския съюз. </w:t>
      </w:r>
    </w:p>
    <w:p>
      <w:pPr>
        <w:ind w:left="720"/>
        <w:rPr>
          <w:noProof/>
        </w:rPr>
      </w:pPr>
      <w:r>
        <w:rPr>
          <w:noProof/>
        </w:rPr>
        <w:t xml:space="preserve">Надзорният орган на ЕАСТ и Европейската комисия си сътрудничат, обменят информация и се консултират помежду си в съответствие с член 109 и Протокол 1 към Споразумението за ЕИП. Ако е необходимо, въз основа на техническите оценки и всякакви технически препоръки, произтичащи от тази процедура, държавите от ЕАСТ съобщават своите преразгледани предложени референтни нива за горите на Надзорния орган на ЕАСТ. Референтните нива за горите на държавите от ЕАСТ, произтичащи от тази процедура, ще бъдат определени от Надзорния орган на ЕАСТ и включени в Протокол 31 към Споразумението за ЕИП чрез решение на Съвместния комитет като адаптации на делегираните актове на Комисията съгласно член 8, параграф 8 от Регламента за ЗПЗГС. Тъй като до влизане в сила на това решение на Съвместния комитет тази процедура няма да започне официално и понеже процедурата съгласно член 8, параграфи 6—7 отнема няколко месеца, срокът по член 8, параграф 7 за преразгледаните предложени референтни нива трябва да се адаптира, за да се гарантира достатъчно време и за държавите от ЕАСТ, и за Надзорния орган на ЕАСТ да завършат, в сътрудничество с Европейската комисия, тази процедура също и във връзка с референтните нива за горите за държавите от ЕАСТ. </w:t>
      </w:r>
    </w:p>
    <w:p>
      <w:pPr>
        <w:ind w:left="720"/>
        <w:rPr>
          <w:noProof/>
        </w:rPr>
      </w:pPr>
      <w:r>
        <w:rPr>
          <w:noProof/>
        </w:rPr>
        <w:lastRenderedPageBreak/>
        <w:t>Задължението на Надзорния орган на ЕАСТ да публикува предложените референтни нива за горите, съобщени от държавите от ЕАСТ, не произтича изрично от задълженията съгласно член 109 и Протокол 1 към Споразумението за ЕИП и следователно е изрично посочено в предложената адаптация.</w:t>
      </w:r>
    </w:p>
    <w:p>
      <w:pPr>
        <w:rPr>
          <w:noProof/>
          <w:u w:val="single"/>
        </w:rPr>
      </w:pPr>
      <w:r>
        <w:rPr>
          <w:noProof/>
          <w:u w:val="single"/>
        </w:rPr>
        <w:t>Член 13, параграф 2, буква а) — позоваване на Регламент (ЕС) № 525/2013:</w:t>
      </w:r>
    </w:p>
    <w:p>
      <w:pPr>
        <w:rPr>
          <w:i/>
          <w:noProof/>
        </w:rPr>
      </w:pPr>
      <w:r>
        <w:rPr>
          <w:i/>
          <w:noProof/>
        </w:rPr>
        <w:t xml:space="preserve">Обосновка: </w:t>
      </w:r>
    </w:p>
    <w:p>
      <w:pPr>
        <w:pStyle w:val="BodyTextIndent"/>
        <w:ind w:left="720"/>
        <w:jc w:val="both"/>
        <w:rPr>
          <w:noProof/>
        </w:rPr>
      </w:pPr>
      <w:r>
        <w:rPr>
          <w:noProof/>
        </w:rPr>
        <w:t>Съгласно член 13, параграф 2, буква а) от Регламент (ЕС) № 2018/841 държавите — членки на ЕС, са задължени да включват в своите стратегии, подадени в съответствие с член 4 от Регламент (ЕС) № 525/2013, текущи или планирани специфични мерки за гарантиране на съхранението или, ако е целесъобразно, увеличаването на поглътителите и резервоарите от гори, за да участват във възможността за гъвкавост по отношение на управлявани горски площи съгласно същия член. Тъй като решението на Съвместния комитет е свързано само с целите за намаляване на емисиите за 2030 г., член 4 от Регламент (ЕС) № 525/2013 няма да се прилага за държавите от ЕАСТ. За да се гарантира, че държавите от ЕАСТ участват във възможността за гъвкавост за управлявани горски площи при равни условия с тези за държавите членки, с предложената адаптация се въвежда изискването държавите от ЕАСТ да представят конкретни стратегии за своето земеползване, промяна в земеползването и горско стопанство.</w:t>
      </w:r>
    </w:p>
    <w:p>
      <w:pPr>
        <w:pStyle w:val="Point0"/>
        <w:ind w:left="0" w:firstLine="0"/>
        <w:rPr>
          <w:noProof/>
          <w:u w:val="single"/>
        </w:rPr>
      </w:pPr>
      <w:r>
        <w:rPr>
          <w:noProof/>
          <w:u w:val="single"/>
        </w:rPr>
        <w:t>Член 15, параграф 2 — Информация за Надзорния орган на ЕАСТ от централния администратор:</w:t>
      </w:r>
    </w:p>
    <w:p>
      <w:pPr>
        <w:rPr>
          <w:i/>
          <w:noProof/>
        </w:rPr>
      </w:pPr>
      <w:r>
        <w:rPr>
          <w:i/>
          <w:noProof/>
        </w:rPr>
        <w:t xml:space="preserve">Обосновка: </w:t>
      </w:r>
    </w:p>
    <w:p>
      <w:pPr>
        <w:ind w:left="709"/>
        <w:rPr>
          <w:noProof/>
        </w:rPr>
      </w:pPr>
      <w:r>
        <w:rPr>
          <w:noProof/>
        </w:rPr>
        <w:t>С предложената адаптация се изяснява ролята на Надзорния орган на ЕАСТ във връзка с Централния администратор в съответствие с Регламента за регистъра на Съюза (Регламент (ЕС) № 389/2013 на Комисията), както е включен и адаптиран за целите на ЕИП в точка 21ана от приложение XX към Споразумението за ЕИП. От тези адаптации следва, че що се отнася до отчетите от компетентността на държава от ЕАСТ, Надзорният орган на ЕАСТ взема участие. Предложената адаптация е и в съответствие с ролята на Надзорния орган на ЕАСТ съгласно общите адаптации в настоящото решение на Съвместния комитет относно прилагането на част VII и протокол 1 към Споразумението за ЕИП.</w:t>
      </w:r>
    </w:p>
    <w:p>
      <w:pPr>
        <w:rPr>
          <w:noProof/>
          <w:u w:val="single"/>
        </w:rPr>
      </w:pPr>
      <w:r>
        <w:rPr>
          <w:noProof/>
          <w:u w:val="single"/>
        </w:rPr>
        <w:t xml:space="preserve">Приложения II, III, IV и VII — таблици: </w:t>
      </w:r>
    </w:p>
    <w:p>
      <w:pPr>
        <w:rPr>
          <w:i/>
          <w:noProof/>
        </w:rPr>
      </w:pPr>
      <w:r>
        <w:rPr>
          <w:i/>
          <w:noProof/>
        </w:rPr>
        <w:t xml:space="preserve">Обосновка: </w:t>
      </w:r>
    </w:p>
    <w:p>
      <w:pPr>
        <w:ind w:left="567"/>
        <w:rPr>
          <w:noProof/>
        </w:rPr>
      </w:pPr>
      <w:r>
        <w:rPr>
          <w:noProof/>
        </w:rPr>
        <w:t>В приложения II, III и VII следва да се включи съответната информация относно Исландия и Норвегия.</w:t>
      </w:r>
    </w:p>
    <w:p>
      <w:pPr>
        <w:ind w:left="567"/>
        <w:rPr>
          <w:noProof/>
        </w:rPr>
      </w:pPr>
      <w:r>
        <w:rPr>
          <w:noProof/>
        </w:rPr>
        <w:t xml:space="preserve">Съгласно раздел А, буква ж) към приложение IV трябва да има съгласуваност между референтните нива за горите и прогнозите, докладвани по Регламент (ЕС) № 525/2013. Тъй като Регламент (ЕС) № 525/2013 не е включен в Споразумението за ЕИП, Исландия и Норвегия не са били задължени да отчитат прогнози в съответствие с Регламент (ЕС) № 525/2013. Прогнози обаче са докладвани на Европейската агенция за околната среда на доброволни начала и, що се отнася до Исландия, също и в съответствие с двустранното споразумение между Исландия и Европейския съюз и неговите държави членки относно участието на Исландия в съвместното изпълнение на ангажиментите на Европейския съюз, неговите държави членки и Исландия за втория период на поети задължения от Протокола </w:t>
      </w:r>
      <w:r>
        <w:rPr>
          <w:noProof/>
        </w:rPr>
        <w:lastRenderedPageBreak/>
        <w:t>от Киото към Рамковата конвенция на Организацията на обединените нации по изменение на климата</w:t>
      </w:r>
      <w:r>
        <w:rPr>
          <w:rStyle w:val="FootnoteReference"/>
          <w:rFonts w:eastAsiaTheme="majorEastAsia"/>
          <w:noProof/>
        </w:rPr>
        <w:footnoteReference w:id="2"/>
      </w:r>
      <w:r>
        <w:rPr>
          <w:noProof/>
        </w:rPr>
        <w:t>. Това се пояснява в предложената адаптация на приложението.</w:t>
      </w:r>
    </w:p>
    <w:p>
      <w:pPr>
        <w:ind w:left="567"/>
        <w:rPr>
          <w:noProof/>
        </w:rPr>
      </w:pPr>
      <w:r>
        <w:rPr>
          <w:noProof/>
        </w:rPr>
        <w:t xml:space="preserve">За периода 2026—2030г. не е необходима сходна адаптация, понеже Норвегия и Исландия ще докладват прогнози съгласно член 18 от Регламент (ЕС) 2018/1999. </w:t>
      </w:r>
    </w:p>
    <w:p>
      <w:pPr>
        <w:pStyle w:val="ManualNumPar2"/>
        <w:rPr>
          <w:noProof/>
        </w:rPr>
      </w:pPr>
      <w:r>
        <w:t>5.3.</w:t>
      </w:r>
      <w:r>
        <w:tab/>
      </w:r>
      <w:r>
        <w:rPr>
          <w:noProof/>
        </w:rPr>
        <w:t>Обосновки и предложени решения — Регламент 2018/842</w:t>
      </w:r>
    </w:p>
    <w:p>
      <w:pPr>
        <w:rPr>
          <w:noProof/>
          <w:u w:val="single"/>
        </w:rPr>
      </w:pPr>
      <w:r>
        <w:rPr>
          <w:noProof/>
          <w:u w:val="single"/>
        </w:rPr>
        <w:t>Член 4, параграф 3 — определяне на базовата 2005 година с цел изчисляване на крайната точка за 2030 г. от траекторията по Регламента за разпределяне на усилията (РРУ) в разпределени количества на емисиите в абсолютно изражение:</w:t>
      </w:r>
    </w:p>
    <w:p>
      <w:pPr>
        <w:rPr>
          <w:i/>
          <w:noProof/>
        </w:rPr>
      </w:pPr>
      <w:r>
        <w:rPr>
          <w:i/>
          <w:noProof/>
        </w:rPr>
        <w:t xml:space="preserve">Обосновка: </w:t>
      </w:r>
    </w:p>
    <w:p>
      <w:pPr>
        <w:ind w:left="567"/>
        <w:rPr>
          <w:noProof/>
        </w:rPr>
      </w:pPr>
      <w:r>
        <w:rPr>
          <w:noProof/>
        </w:rPr>
        <w:t>Намалението на емисиите на парникови газове към 2030 г. следва да се определи спрямо равнището на преразгледаните емисии на парникови газове за 2005 г., обхванати от Регламент 2018/842, с изключение на парниковите газове от дейностите, изброени в приложение I към Директива 2003/87/ЕО (схемата за търговия с емисии на Европейския съюз, СТЕ) и на проверените емисии от инсталации, които са били в експлоатация през 2005 г. и са били включени в СТЕ на ЕС едва след 2005 г. Съгласно съображение (18) от РРУ възприетият в Решение № 406/2009/ЕО подход следва да бъде запазен, за което ще бъдат необходими като принос годишно разпределените количества емисии за 2020 г. Норвегия и Исландия не разполагат с такъв подход и следователно техните годишно разпределени количества емисии за 2030 г. не могат да се изчислят по същата методика, както тази за държавите — членки на ЕС. Следователно член 4, параграф 3 следва да се адаптира, за се изясни методиката, която ще се използва за определяне на емисиите от базовата 2005 година за Норвегия и Исландия, като се вземат предвид стойностите на СТЕ, които вече са включени в Споразумението. По този начин също ще се опрости включването на актовете за изпълнение, с които се изчисляват и определят годишно разпределени количества емисии за 2021—2030 г.</w:t>
      </w:r>
    </w:p>
    <w:p>
      <w:pPr>
        <w:ind w:left="567"/>
        <w:rPr>
          <w:noProof/>
        </w:rPr>
      </w:pPr>
      <w:r>
        <w:rPr>
          <w:noProof/>
        </w:rPr>
        <w:t>Решение №152/2012 на Съвместният комитет на ЕИП относно СТЕ на ЕС съдържа стойностите на държавите от ЕАСТ за стационарните емисии по СТЕ за 2005 г. в обхвата на СТЕ, считано към 2013 г. Тези числа могат да се използват за изчисляване на емисиите за 2005 г. от секторите, обхванати от Директивата за СТЕ, доколкото са от значение за Регламента за разпределяне на усилията.</w:t>
      </w:r>
    </w:p>
    <w:p>
      <w:pPr>
        <w:ind w:left="567"/>
        <w:rPr>
          <w:noProof/>
        </w:rPr>
      </w:pPr>
      <w:r>
        <w:rPr>
          <w:noProof/>
        </w:rPr>
        <w:t>По отношение на държавите от ЕАСТ числата на СТЕ за 2005 г., които трябва да се вземат под внимание с цел определяне на годишно разпределените количества емисии за 2030 година съгласно член 4, параграф 3, са посочени в допълнение, което ще бъде добавено след приложение IV.</w:t>
      </w:r>
    </w:p>
    <w:p>
      <w:pPr>
        <w:rPr>
          <w:noProof/>
          <w:u w:val="single"/>
        </w:rPr>
      </w:pPr>
      <w:r>
        <w:rPr>
          <w:noProof/>
          <w:u w:val="single"/>
        </w:rPr>
        <w:t>Член 6, параграф 1 — брой квоти, които ще бъдат отменени с цел постигане на съответствие с РРУ:</w:t>
      </w:r>
    </w:p>
    <w:p>
      <w:pPr>
        <w:rPr>
          <w:i/>
          <w:noProof/>
        </w:rPr>
      </w:pPr>
      <w:r>
        <w:rPr>
          <w:i/>
          <w:noProof/>
        </w:rPr>
        <w:t xml:space="preserve">Обосновка: </w:t>
      </w:r>
    </w:p>
    <w:p>
      <w:pPr>
        <w:ind w:left="567"/>
        <w:rPr>
          <w:noProof/>
        </w:rPr>
      </w:pPr>
      <w:r>
        <w:rPr>
          <w:noProof/>
        </w:rPr>
        <w:t>В член 6, параграф 1 е определена максимална отмяна на най-много 100 милиона квоти по СТЕ на ЕС, които се вземат предвид като съвкупност за целите на съответствието съгласно РРУ. Следва да се добавят максималните числа за Исландия и Норвегия, вж. предложена адаптация vi).</w:t>
      </w:r>
    </w:p>
    <w:p>
      <w:pPr>
        <w:pStyle w:val="Point0"/>
        <w:ind w:left="0" w:firstLine="0"/>
        <w:rPr>
          <w:noProof/>
          <w:u w:val="single"/>
        </w:rPr>
      </w:pPr>
      <w:r>
        <w:rPr>
          <w:noProof/>
          <w:u w:val="single"/>
        </w:rPr>
        <w:lastRenderedPageBreak/>
        <w:t>Член 12, параграф 2 — Информация за Надзорния орган на ЕАСТ от централния администратор:</w:t>
      </w:r>
    </w:p>
    <w:p>
      <w:pPr>
        <w:rPr>
          <w:i/>
          <w:noProof/>
        </w:rPr>
      </w:pPr>
      <w:r>
        <w:rPr>
          <w:i/>
          <w:noProof/>
        </w:rPr>
        <w:t xml:space="preserve">Обосновка: </w:t>
      </w:r>
    </w:p>
    <w:p>
      <w:pPr>
        <w:ind w:left="720"/>
        <w:rPr>
          <w:noProof/>
        </w:rPr>
      </w:pPr>
      <w:r>
        <w:rPr>
          <w:noProof/>
        </w:rPr>
        <w:t>С предложената адаптация се изяснява ролята на Надзорния орган на ЕАСТ във връзка с Централния администратор в съответствие с Регламента за регистъра на Съюза (Регламент (ЕС) № 389/2013 на Комисията), както е включен и адаптиран за целите на ЕИП в точка 21ана от приложение XX към Споразумението за ЕИП. От тези адаптации следва, че що се отнася до отчетите от компетентността на държава от ЕАСТ, Надзорният орган на ЕАСТ взема участие. Предложената адаптация е и в съответствие с ролята на Надзорния орган на ЕАСТ съгласно общите адаптации в настоящото решение на Съвместния комитет относно прилагането на част VII и протокол 1 към Споразумението за ЕИП.</w:t>
      </w:r>
    </w:p>
    <w:p>
      <w:pPr>
        <w:rPr>
          <w:noProof/>
          <w:u w:val="single"/>
        </w:rPr>
      </w:pPr>
      <w:r>
        <w:rPr>
          <w:noProof/>
          <w:u w:val="single"/>
        </w:rPr>
        <w:t>Приложения I, II и III:</w:t>
      </w:r>
    </w:p>
    <w:p>
      <w:pPr>
        <w:rPr>
          <w:i/>
          <w:noProof/>
        </w:rPr>
      </w:pPr>
      <w:r>
        <w:rPr>
          <w:i/>
          <w:noProof/>
        </w:rPr>
        <w:t xml:space="preserve">Обосновка: </w:t>
      </w:r>
    </w:p>
    <w:p>
      <w:pPr>
        <w:ind w:left="567"/>
        <w:rPr>
          <w:noProof/>
        </w:rPr>
      </w:pPr>
      <w:r>
        <w:rPr>
          <w:noProof/>
        </w:rPr>
        <w:t>В приложения I, II и III следва да бъде включена съответната информация относно Исландия и Норвегия. Това е въз основа на принципа на равно третиране с държавите — членки на ЕС, и е в съответствие с обосновката на Комисията, изложена в предложението за РРУ (COM(2016) 482 final, стр. 3), и със стоящата в основата оценка на въздействието.</w:t>
      </w:r>
    </w:p>
    <w:p>
      <w:pPr>
        <w:pStyle w:val="ManualNumPar2"/>
        <w:rPr>
          <w:noProof/>
        </w:rPr>
      </w:pPr>
      <w:r>
        <w:t>5.4.</w:t>
      </w:r>
      <w:r>
        <w:tab/>
      </w:r>
      <w:r>
        <w:rPr>
          <w:noProof/>
        </w:rPr>
        <w:t>Обосновки и предложени решения — Регламент (ЕС) 2018/1999</w:t>
      </w:r>
    </w:p>
    <w:p>
      <w:pPr>
        <w:rPr>
          <w:noProof/>
          <w:u w:val="single"/>
        </w:rPr>
      </w:pPr>
      <w:r>
        <w:rPr>
          <w:noProof/>
          <w:u w:val="single"/>
        </w:rPr>
        <w:t>Адаптации i)—ii) — Съответни членове и тяхното прилагане:</w:t>
      </w:r>
    </w:p>
    <w:p>
      <w:pPr>
        <w:rPr>
          <w:i/>
          <w:noProof/>
        </w:rPr>
      </w:pPr>
      <w:r>
        <w:rPr>
          <w:i/>
          <w:noProof/>
        </w:rPr>
        <w:t xml:space="preserve">Обосновка: </w:t>
      </w:r>
    </w:p>
    <w:p>
      <w:pPr>
        <w:ind w:left="567"/>
        <w:rPr>
          <w:noProof/>
        </w:rPr>
      </w:pPr>
      <w:r>
        <w:rPr>
          <w:noProof/>
        </w:rPr>
        <w:t xml:space="preserve">С Регламент (ЕС) 2018/1999 е въведен механизъм за управление, с който се гарантира постигането на целите за 2030 г. и на дългосрочните общи цели и конкретни цели на Енергийния съюз в съответствие с Парижкото споразумение относно изменението на климата. Регламент (ЕС) 2018/1999 е част от пакета „Чиста енергия за всички европейци“. Значението за ЕИП на Регламент (ЕС) 2018/1999 ще се оцени в съответствие със стандартните процедури на ЕИП. Това ще се извърши като част от оценката на целия пакет „Чиста енергия за всички европейци“. </w:t>
      </w:r>
    </w:p>
    <w:p>
      <w:pPr>
        <w:ind w:left="567"/>
        <w:rPr>
          <w:noProof/>
        </w:rPr>
      </w:pPr>
      <w:r>
        <w:rPr>
          <w:noProof/>
        </w:rPr>
        <w:t xml:space="preserve">Регламент (ЕС) 2018/1999 включва изискванията за планиране и докладване, които обхващат ангажиментите по Регламент (ЕС) 2018/841 и Регламент (ЕС) 2018/842. Тези изисквания заменят, наред с другото, Регламент (ЕС) № 525/2013, който не е включен в Споразумението за ЕИП. </w:t>
      </w:r>
    </w:p>
    <w:p>
      <w:pPr>
        <w:ind w:left="567"/>
        <w:rPr>
          <w:noProof/>
        </w:rPr>
      </w:pPr>
      <w:r>
        <w:rPr>
          <w:noProof/>
        </w:rPr>
        <w:t xml:space="preserve">Обхватът на решението на Съвместния комитет е ограничен до законодателството от значение за прилагането на съответните цели за 2030 г. за намаляване на емисиите на Исландия и Норвегия. Регламент (ЕС) 2018/1999 включва разпоредби, свързани с </w:t>
      </w:r>
      <w:r>
        <w:rPr>
          <w:i/>
          <w:noProof/>
        </w:rPr>
        <w:t>интегрираните национални планове в областта на енергетиката и климата</w:t>
      </w:r>
      <w:r>
        <w:rPr>
          <w:noProof/>
        </w:rPr>
        <w:t xml:space="preserve"> и </w:t>
      </w:r>
      <w:r>
        <w:rPr>
          <w:i/>
          <w:noProof/>
        </w:rPr>
        <w:t>интегрираните доклади за напредъка в областта на енергетиката и климата.</w:t>
      </w:r>
      <w:r>
        <w:rPr>
          <w:noProof/>
        </w:rPr>
        <w:t xml:space="preserve"> Тези разпоредби надхвърлят обхвата на решението на Съвместния комитет, понеже включват също и планиране и докладване на конкретните цели по отношение на енергетиката и други общи цели в петте измерения на Европейския съюз. Следователно тези разпоредби не са включени в решението на Съвместния комитет. </w:t>
      </w:r>
    </w:p>
    <w:p>
      <w:pPr>
        <w:ind w:left="567"/>
        <w:rPr>
          <w:noProof/>
        </w:rPr>
      </w:pPr>
      <w:r>
        <w:rPr>
          <w:noProof/>
        </w:rPr>
        <w:lastRenderedPageBreak/>
        <w:t xml:space="preserve">Исландия и Норвегия обаче доброволно поемат задължението да разработят национални планове за определяне на политиките и мерките с цел изпълнение на задълженията, определени в Регламент (ЕС) 2018/841 и Регламент (ЕС) 2018/842, и включени в Протокол 31 чрез решението на Съвместния комитет. Плановете ще бъдат споделени до 31.12.2019 г. с държавите — членки на ЕС, с Комисията и с Надзорния орган на ЕАСТ. Това се посочва от Исландия и Норвегия в </w:t>
      </w:r>
      <w:r>
        <w:rPr>
          <w:i/>
          <w:noProof/>
        </w:rPr>
        <w:t>декларацията относно националните планове, свързани с Решение относно Съвместния комитет на ЕИП № [настоящото решение]</w:t>
      </w:r>
      <w:r>
        <w:rPr>
          <w:noProof/>
        </w:rPr>
        <w:t>.</w:t>
      </w:r>
    </w:p>
    <w:p>
      <w:pPr>
        <w:pStyle w:val="BodyTextIndent"/>
        <w:ind w:left="567"/>
        <w:jc w:val="both"/>
        <w:rPr>
          <w:noProof/>
        </w:rPr>
      </w:pPr>
      <w:r>
        <w:rPr>
          <w:noProof/>
        </w:rPr>
        <w:t>За да се въведе система за прозрачно и постоянно наблюдение, докладване и спазване на задълженията, поети чрез решението на Съвместния комитет, се предлага да се включат разпоредбите от Регламент (ЕС) 2018/1999, които са от съществено значение за прилагането на регламенти (ЕС) 2018/841 и 2018/842. Това включване не засяга оценката относно значението за ЕИП на Регламент (ЕС) 2018/1999. Основните разпоредби от Регламент (ЕС) 2018/1999 трябва да бъдат включени по разбираем и правилен от правна гледна точка начин. Предложено е това да стане по начин, сходен на този, използван за включване в Протокол 47 към Споразумението за разпоредби относно търговията с вино от актове на ЕС относно обща организация на пазарите на селскостопански продукти. Това означава да се изброят приложимите членове от Регламент (ЕС) 2018/1999. За някои разпоредби ще са необходими известни адаптации, за да попаднат в обхвата на решението на Съвместния комитет, докато други ще бъдат включени без адаптации.</w:t>
      </w:r>
    </w:p>
    <w:p>
      <w:pPr>
        <w:pStyle w:val="BodyTextIndent"/>
        <w:ind w:left="567"/>
        <w:jc w:val="both"/>
        <w:rPr>
          <w:noProof/>
        </w:rPr>
      </w:pPr>
      <w:r>
        <w:rPr>
          <w:noProof/>
        </w:rPr>
        <w:t xml:space="preserve">С включените членове ще се гарантира пълно докладване относно инвентаризациите на парниковите газове, политиките и мерките относно парниковите газове и относно прогнозите. </w:t>
      </w:r>
    </w:p>
    <w:p>
      <w:pPr>
        <w:pStyle w:val="BodyTextIndent"/>
        <w:ind w:left="567"/>
        <w:jc w:val="both"/>
        <w:rPr>
          <w:noProof/>
        </w:rPr>
      </w:pPr>
      <w:r>
        <w:rPr>
          <w:noProof/>
        </w:rPr>
        <w:t>Освен това, за да се гарантира спазване на изискванията, са включени важни членове за извършване на цялостни прегледи в съответствие с регламенти (ЕС) 2018/841 и 2018/842.</w:t>
      </w:r>
    </w:p>
    <w:p>
      <w:pPr>
        <w:pStyle w:val="Articletext"/>
        <w:ind w:left="567"/>
        <w:rPr>
          <w:noProof/>
        </w:rPr>
      </w:pPr>
      <w:r>
        <w:rPr>
          <w:noProof/>
        </w:rPr>
        <w:t>Член 2 включва списък с определенията, които се прилагат за Регламент (ЕС) 2018/1999. Включените определения са тези, които са от значение за прилагането на регламенти (ЕС) 2018/841 и 2018/842. Някои от включените определения също се отнасят до въпроси, които попадат извън обхвата на решението. С адаптацията се ограничава прилагането на определенията до обхвата на настоящото решение на Съвместния комитет.</w:t>
      </w:r>
    </w:p>
    <w:p>
      <w:pPr>
        <w:rPr>
          <w:noProof/>
          <w:u w:val="single"/>
        </w:rPr>
      </w:pPr>
      <w:r>
        <w:rPr>
          <w:noProof/>
          <w:u w:val="single"/>
        </w:rPr>
        <w:t xml:space="preserve">Член 26, параграф 4 — данни от инвентаризациите на парниковите газове: </w:t>
      </w:r>
    </w:p>
    <w:p>
      <w:pPr>
        <w:rPr>
          <w:i/>
          <w:noProof/>
        </w:rPr>
      </w:pPr>
      <w:r>
        <w:rPr>
          <w:i/>
          <w:noProof/>
        </w:rPr>
        <w:t xml:space="preserve">Обосновка: </w:t>
      </w:r>
    </w:p>
    <w:p>
      <w:pPr>
        <w:pStyle w:val="Articletext"/>
        <w:ind w:left="567"/>
        <w:rPr>
          <w:noProof/>
        </w:rPr>
      </w:pPr>
      <w:r>
        <w:rPr>
          <w:noProof/>
        </w:rPr>
        <w:t xml:space="preserve">В член 26, параграф 4 е въведено задължението държавите членки да представят на РКООНИК национален доклад за инвентаризация. Представянето на такива доклади е задължение по линия на РКООНИК. Исландия и Норвегия са независими страни по РКООНИК. Съгласно съответните си ангажименти по линия на РКООНИК те ще представят национални доклади за инвентаризация. </w:t>
      </w:r>
    </w:p>
    <w:p>
      <w:pPr>
        <w:pStyle w:val="Articletext"/>
        <w:ind w:left="567"/>
        <w:rPr>
          <w:noProof/>
        </w:rPr>
      </w:pPr>
      <w:r>
        <w:rPr>
          <w:noProof/>
        </w:rPr>
        <w:t>Тъй като окончателните данни от инвентаризациите на парниковите газове, докладвани на РКООНИК до 15 април всяка година, са от съществено значение за спазването на регламенти (ЕС) 2018/841 и 2018/842, с адаптацията се гарантира, че Исландия и Норвегия ще представят на Надзорния орган на ЕАСТ копие от докладваните данни на същата дата, както и държавите членки.</w:t>
      </w:r>
    </w:p>
    <w:p>
      <w:pPr>
        <w:rPr>
          <w:noProof/>
          <w:u w:val="single"/>
        </w:rPr>
      </w:pPr>
      <w:r>
        <w:rPr>
          <w:noProof/>
          <w:u w:val="single"/>
        </w:rPr>
        <w:t>Член 41 — сътрудничество между държавите членки и Европейския съюз:</w:t>
      </w:r>
    </w:p>
    <w:p>
      <w:pPr>
        <w:rPr>
          <w:i/>
          <w:noProof/>
        </w:rPr>
      </w:pPr>
      <w:r>
        <w:rPr>
          <w:i/>
          <w:noProof/>
        </w:rPr>
        <w:lastRenderedPageBreak/>
        <w:t xml:space="preserve">Обосновка: </w:t>
      </w:r>
    </w:p>
    <w:p>
      <w:pPr>
        <w:pStyle w:val="Articletext"/>
        <w:ind w:left="567"/>
        <w:rPr>
          <w:noProof/>
        </w:rPr>
      </w:pPr>
      <w:r>
        <w:rPr>
          <w:noProof/>
        </w:rPr>
        <w:t>С член 41 се регулира сътрудничеството между държавите членки и Съюза във връзка с пълния обхват на задълженията, обхванати от Регламент (ЕС) 2018/1999. С адаптацията се гарантира, че това сътрудничество е ограничено до обхвата на решението на Съвместния комитет.</w:t>
      </w:r>
    </w:p>
    <w:p>
      <w:pPr>
        <w:pStyle w:val="BodyTextIndent"/>
        <w:ind w:left="0"/>
        <w:jc w:val="both"/>
        <w:rPr>
          <w:noProof/>
          <w:u w:val="single"/>
        </w:rPr>
      </w:pPr>
      <w:r>
        <w:rPr>
          <w:noProof/>
          <w:u w:val="single"/>
        </w:rPr>
        <w:t>Член 42 — подпомагане от Европейската агенция за околната среда:</w:t>
      </w:r>
    </w:p>
    <w:p>
      <w:pPr>
        <w:rPr>
          <w:i/>
          <w:noProof/>
        </w:rPr>
      </w:pPr>
      <w:r>
        <w:rPr>
          <w:i/>
          <w:noProof/>
        </w:rPr>
        <w:t xml:space="preserve">Обосновка: </w:t>
      </w:r>
    </w:p>
    <w:p>
      <w:pPr>
        <w:pStyle w:val="Articletext"/>
        <w:ind w:left="567"/>
        <w:rPr>
          <w:noProof/>
        </w:rPr>
      </w:pPr>
      <w:r>
        <w:rPr>
          <w:noProof/>
        </w:rPr>
        <w:t>В член 42 е предвидено, че Европейската агенция за околната среда подпомага Комисията в нейната работа във връзка с членове 15—21, 26, 28—29, 37—39 и 41. С адаптацията се гарантира, че това подпомагане е ограничено до обхвата на решението на Съвместния комитет.</w:t>
      </w:r>
    </w:p>
    <w:p>
      <w:pPr>
        <w:pStyle w:val="ManualNumPar2"/>
        <w:rPr>
          <w:noProof/>
        </w:rPr>
      </w:pPr>
      <w:r>
        <w:t>5.5.</w:t>
      </w:r>
      <w:r>
        <w:tab/>
      </w:r>
      <w:r>
        <w:rPr>
          <w:noProof/>
        </w:rPr>
        <w:t>Обосновки и предложени решения — Регламент (ЕС) № 525/2013</w:t>
      </w:r>
    </w:p>
    <w:p>
      <w:pPr>
        <w:rPr>
          <w:noProof/>
          <w:u w:val="single"/>
        </w:rPr>
      </w:pPr>
      <w:r>
        <w:rPr>
          <w:noProof/>
          <w:u w:val="single"/>
        </w:rPr>
        <w:t>Член 7 и член 19, параграфи 1 и 3 — данни от инвентаризацията и цялостен преглед:</w:t>
      </w:r>
    </w:p>
    <w:p>
      <w:pPr>
        <w:rPr>
          <w:i/>
          <w:noProof/>
        </w:rPr>
      </w:pPr>
      <w:r>
        <w:rPr>
          <w:i/>
          <w:noProof/>
        </w:rPr>
        <w:t xml:space="preserve">Обосновка: </w:t>
      </w:r>
    </w:p>
    <w:p>
      <w:pPr>
        <w:pStyle w:val="BodyTextIndent"/>
        <w:ind w:left="567"/>
        <w:jc w:val="both"/>
        <w:rPr>
          <w:noProof/>
        </w:rPr>
      </w:pPr>
      <w:r>
        <w:rPr>
          <w:noProof/>
        </w:rPr>
        <w:t xml:space="preserve">За извършването на цялостния преглед съгласно член 4, параграф 3 от Регламент (ЕС) 2018/842 през 2020 г. е необходимо да се включат части от двата члена от Регламент (ЕС) № 525/2013. Считано от 1 януари 2021 г., Регламент (ЕС) 2018/1999 ще отмени Регламент (ЕС) № 525/2013, затова и задълженията за докладване съгласно Регламент (ЕО) 2018/1999 няма да се прилагат за Исландия и Норвегия преди 2021 г. Следователно е необходимо части от двата члена от Регламент (ЕС) № 525/2013 да се включат, за да се създаде задължение за предоставяне на необходимите данни от инвентаризацията и да се извърши цялостният преглед през 2020 г. </w:t>
      </w:r>
    </w:p>
    <w:p>
      <w:pPr>
        <w:pStyle w:val="BodyTextIndent"/>
        <w:ind w:left="567"/>
        <w:jc w:val="both"/>
        <w:rPr>
          <w:noProof/>
        </w:rPr>
      </w:pPr>
      <w:r>
        <w:rPr>
          <w:noProof/>
        </w:rPr>
        <w:t>Необходимите членове са включени в решението на Съвместния комитет чрез списък, в който са посочени приложимите членове. Приложими са само тези части от членовете, които са свързани с прилагането на Регламент (ЕС) 2018/842. Исландия и Норвегия ще имат задължението да предоставят съответните данни за цялостния преглед, посочен в член 4, параграф 3 от Регламент (ЕС) 2018/842 за 2020 г. В допълнение към това с включването на член 19, параграфи 1 и 3 ще се гарантира, че цялостният преглед ще се извърши в съответствие с процедурите, посочени в тези параграфи.</w:t>
      </w:r>
    </w:p>
    <w:p>
      <w:pPr>
        <w:pStyle w:val="Articletext"/>
        <w:ind w:left="567"/>
        <w:rPr>
          <w:rFonts w:eastAsia="Times New Roman"/>
          <w:noProof/>
          <w:color w:val="auto"/>
        </w:rPr>
      </w:pPr>
      <w:r>
        <w:rPr>
          <w:noProof/>
        </w:rPr>
        <w:t>Разпоредбите се прилагат само доколкото са свързани с прилагането на Регламент (ЕС) 2018/842.</w:t>
      </w:r>
    </w:p>
    <w:p>
      <w:pPr>
        <w:pStyle w:val="ManualNumPar2"/>
        <w:rPr>
          <w:noProof/>
        </w:rPr>
      </w:pPr>
      <w:r>
        <w:t>5.6.</w:t>
      </w:r>
      <w:r>
        <w:tab/>
      </w:r>
      <w:r>
        <w:rPr>
          <w:noProof/>
        </w:rPr>
        <w:t>Обосновки и предложени решения — Регламент за изпълнение № 749/2014</w:t>
      </w:r>
    </w:p>
    <w:p>
      <w:pPr>
        <w:rPr>
          <w:noProof/>
          <w:u w:val="single"/>
        </w:rPr>
      </w:pPr>
      <w:r>
        <w:rPr>
          <w:noProof/>
          <w:u w:val="single"/>
        </w:rPr>
        <w:t>Членове 3—5, 7—10, 12—14, 16, 29, 32—34, 36—37 и приложения I—VIII, таблица 2 от приложение XVI:</w:t>
      </w:r>
    </w:p>
    <w:p>
      <w:pPr>
        <w:rPr>
          <w:i/>
          <w:noProof/>
        </w:rPr>
      </w:pPr>
      <w:r>
        <w:rPr>
          <w:i/>
          <w:noProof/>
        </w:rPr>
        <w:t xml:space="preserve">Обосновка: </w:t>
      </w:r>
    </w:p>
    <w:p>
      <w:pPr>
        <w:pStyle w:val="BodyTextIndent"/>
        <w:ind w:left="567"/>
        <w:jc w:val="both"/>
        <w:rPr>
          <w:noProof/>
        </w:rPr>
      </w:pPr>
      <w:r>
        <w:rPr>
          <w:noProof/>
        </w:rPr>
        <w:t xml:space="preserve">Понеже член 7 и член 19, параграфи 1 и 3 от Регламент (ЕС) № 525/2013 са включени с цел извършване на цялостния преглед в съответствие с член 4, параграф 3 от Регламент (ЕС) 2018/842, е необходимо също да се включат членовете за изпълнение от Регламент за изпълнение № 749/2014 относно структурата, формата, процедурите за предоставяне и прегледа на информация, докладвана от държавите членки съгласно разпоредбите на Регламент (ЕС) № 525/2013. </w:t>
      </w:r>
    </w:p>
    <w:p>
      <w:pPr>
        <w:pStyle w:val="BodyTextIndent"/>
        <w:ind w:left="567"/>
        <w:jc w:val="both"/>
        <w:rPr>
          <w:noProof/>
        </w:rPr>
      </w:pPr>
      <w:r>
        <w:rPr>
          <w:noProof/>
        </w:rPr>
        <w:lastRenderedPageBreak/>
        <w:t>Разпоредбите се прилагат само доколкото са свързани с прилагането на Регламент (ЕС) 2018/842.</w:t>
      </w:r>
    </w:p>
    <w:p>
      <w:pPr>
        <w:pStyle w:val="ManualNumPar2"/>
        <w:rPr>
          <w:noProof/>
        </w:rPr>
      </w:pPr>
      <w:r>
        <w:t>5.7.</w:t>
      </w:r>
      <w:r>
        <w:tab/>
      </w:r>
      <w:r>
        <w:rPr>
          <w:noProof/>
        </w:rPr>
        <w:t>Обосновка и предложени решения — Общи адаптации (прилагане на част VII и Протокол 1 към Споразумението за ЕИП, позовавания на актове на ЕС, участие на Комитета, консултация с експерти, подпомагане от Европейската агенция за околната среда и неприложимост за Лихтенщайн)</w:t>
      </w:r>
    </w:p>
    <w:p>
      <w:pPr>
        <w:rPr>
          <w:i/>
          <w:noProof/>
        </w:rPr>
      </w:pPr>
      <w:r>
        <w:rPr>
          <w:i/>
          <w:noProof/>
        </w:rPr>
        <w:t xml:space="preserve">Обосновка: </w:t>
      </w:r>
    </w:p>
    <w:p>
      <w:pPr>
        <w:pStyle w:val="BodyTextIndent"/>
        <w:ind w:left="567"/>
        <w:jc w:val="both"/>
        <w:rPr>
          <w:noProof/>
        </w:rPr>
      </w:pPr>
      <w:r>
        <w:rPr>
          <w:noProof/>
        </w:rPr>
        <w:t xml:space="preserve">Както следва от член 79, параграф 3, че част VII Институционални разпоредби от Споразумението за ЕИП се прилага единствено към част VI и Протокол 31 към Споразумението за ЕИП, когато това е специално предвидено, и тъй като специфично е предвидено единствено прилагането на разпоредбите относно вземането на решения (срв. член 98), се предлага адаптация б), за да се гарантира прилагането на част VII и по този начин се гарантира наблюдението и привеждането в изпълнение от Надзорния орган на ЕАСТ и Съда на ЕАСТ, както е обяснено по-горе във връзка с включването в Протокол 31. </w:t>
      </w:r>
    </w:p>
    <w:p>
      <w:pPr>
        <w:pStyle w:val="BodyTextIndent"/>
        <w:ind w:left="567"/>
        <w:jc w:val="both"/>
        <w:rPr>
          <w:noProof/>
        </w:rPr>
      </w:pPr>
      <w:r>
        <w:rPr>
          <w:noProof/>
        </w:rPr>
        <w:t>Понеже Протокол 1 относно хоризонталните адаптации към Споразумението на ЕИП отначало се прилага единствено към разпоредбите на актовете, посочени в приложенията към Споразумението за ЕИП, се предлага адаптация в), с която той да стане приложим и към разпоредбите на актовете, посочени в Протокол 31, чрез включването им чрез решението на Съвместния комитет.</w:t>
      </w:r>
    </w:p>
    <w:p>
      <w:pPr>
        <w:pStyle w:val="BodyTextIndent"/>
        <w:ind w:left="567"/>
        <w:jc w:val="both"/>
        <w:rPr>
          <w:noProof/>
        </w:rPr>
      </w:pPr>
      <w:r>
        <w:rPr>
          <w:noProof/>
        </w:rPr>
        <w:t>Разпоредбите на актовете, включени в Протокол 31 чрез решението на Съвместния комитет, се отнасят и до европейското законодателство, актовете, правилата, политиките и мерките или тези на Съюза, които не са част от Споразумението за ЕИП. Предлага се адаптация г), за да се поясни, че те се прилагат единствено в такава степен и форма, в каквито са включени в Споразумението.</w:t>
      </w:r>
    </w:p>
    <w:p>
      <w:pPr>
        <w:pStyle w:val="BodyTextIndent"/>
        <w:ind w:left="567"/>
        <w:jc w:val="both"/>
        <w:rPr>
          <w:noProof/>
        </w:rPr>
      </w:pPr>
      <w:r>
        <w:rPr>
          <w:noProof/>
        </w:rPr>
        <w:t>За да бъде успешно сътрудничеството, предвидено в решението на Съвместния комитет, са необходими участие на държавите от ЕАСТ в Комитета по изменението на климата и консултиране с експерти от държавите от ЕАСТ на същата основа, на която се консултират експерти от държавите — членки на ЕС.. Например, както е обяснено по-горе във връзка с предложената адаптация на член 8, параграф 7 от Регламент (ЕС) 2018/841 (ЗПЗГС), що се отнася до въвеждането на национални отчетни планове за горите и референтни нива за горите, е необходимо консултиране с експерти от държавите от ЕАСТ, за да се гарантират необходимите принос, консултации и сътрудничество и по този начин единно изпълнение и прилагане на разпоредбите на актовете, включени в Протокол 31 чрез настоящото решение на Съвместния комитет. С предложените адаптации д) и е) се гарантират посочените участие и консултиране също и в тази връзка.</w:t>
      </w:r>
    </w:p>
    <w:p>
      <w:pPr>
        <w:pStyle w:val="BodyTextIndent"/>
        <w:ind w:left="567"/>
        <w:jc w:val="both"/>
        <w:rPr>
          <w:noProof/>
        </w:rPr>
      </w:pPr>
      <w:r>
        <w:rPr>
          <w:noProof/>
        </w:rPr>
        <w:t>Тъй като ще бъдат приложими разпоредбите на част VII от Споразумението за ЕИП, Надзорният орган на ЕАСТ ще наблюдава изпълнението на задълженията на Исландия и Норвегия съгласно решението на Съвместния комитет. С предложената адаптация ж) се гарантира, че Европейската агенция за околната среда подпомага Надзорния орган на ЕАСТ в работата му с цел спазване на задълженията съгласно решението, като например провеждане на цялостен преглед и осигуряване на качеството на информацията, докладвана от Исландия и Норвегия.</w:t>
      </w:r>
    </w:p>
    <w:p>
      <w:pPr>
        <w:pStyle w:val="BodyTextIndent"/>
        <w:ind w:left="567"/>
        <w:jc w:val="both"/>
        <w:rPr>
          <w:noProof/>
        </w:rPr>
      </w:pPr>
      <w:r>
        <w:rPr>
          <w:noProof/>
        </w:rPr>
        <w:lastRenderedPageBreak/>
        <w:t>Тъй като единствено Исландия и Норвегия ще участват в разширеното сътрудничество, предвидено в решението на Съвместния комитет, с предложената адаптация з) се предвижда то да не се прилага за Лихтенщайн.</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2019/0205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 xml:space="preserve">относно позицията, която да се заеме от името на Европейския съюз, </w:t>
      </w:r>
      <w:r>
        <w:rPr>
          <w:noProof/>
        </w:rPr>
        <w:br/>
        <w:t>в рамките на Съвместния комитет на ЕИП във връзка с изменение на Протокол 31 към Споразумението за ЕИП относно сътрудничеството в специфични области извън четирите свободи</w:t>
      </w:r>
      <w:r>
        <w:rPr>
          <w:noProof/>
        </w:rPr>
        <w:br/>
      </w:r>
      <w:r>
        <w:rPr>
          <w:noProof/>
        </w:rPr>
        <w:br/>
        <w:t>[Разширено сътрудничество по въпросите на климата между ЕС — Исландия — Норвегия]</w:t>
      </w:r>
      <w:r>
        <w:rPr>
          <w:noProof/>
        </w:rPr>
        <w:br/>
      </w:r>
    </w:p>
    <w:p>
      <w:pPr>
        <w:pStyle w:val="IntrtEEE"/>
        <w:rPr>
          <w:noProof/>
        </w:rPr>
      </w:pPr>
      <w:r>
        <w:rPr>
          <w:noProof/>
        </w:rPr>
        <w:t>(текст от значение за ЕИП)</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191 във връзка с член 218, параграф 9 от него,</w:t>
      </w:r>
    </w:p>
    <w:p>
      <w:pPr>
        <w:rPr>
          <w:noProof/>
        </w:rPr>
      </w:pPr>
      <w:r>
        <w:rPr>
          <w:noProof/>
        </w:rPr>
        <w:t>като взе предвид Регламент (ЕО) № 2894/94 на Съвета от 28 ноември 1994 г. относно условията за прилагане на Споразумението за Европейското икономическо пространство, и по-специално член 1,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за Европейското икономическо пространство</w:t>
      </w:r>
      <w:r>
        <w:rPr>
          <w:rStyle w:val="FootnoteReference"/>
          <w:noProof/>
        </w:rPr>
        <w:footnoteReference w:id="3"/>
      </w:r>
      <w:r>
        <w:rPr>
          <w:noProof/>
        </w:rPr>
        <w:t xml:space="preserve"> („Споразумението за ЕИП“) влезе в сила на 1 януари 1994 г.</w:t>
      </w:r>
    </w:p>
    <w:p>
      <w:pPr>
        <w:pStyle w:val="ManualConsidrant"/>
        <w:rPr>
          <w:noProof/>
        </w:rPr>
      </w:pPr>
      <w:r>
        <w:t>(2)</w:t>
      </w:r>
      <w:r>
        <w:tab/>
      </w:r>
      <w:r>
        <w:rPr>
          <w:noProof/>
        </w:rPr>
        <w:t>Съгласно член 98 от Споразумението за ЕИП Съвместният комитет на ЕИП може да реши да измени, inter alia, Протокол 31 към Споразумението за ЕИП.</w:t>
      </w:r>
    </w:p>
    <w:p>
      <w:pPr>
        <w:pStyle w:val="ManualConsidrant"/>
        <w:rPr>
          <w:noProof/>
        </w:rPr>
      </w:pPr>
      <w:r>
        <w:t>(3)</w:t>
      </w:r>
      <w:r>
        <w:tab/>
      </w:r>
      <w:r>
        <w:rPr>
          <w:noProof/>
        </w:rPr>
        <w:t>Протокол 31 към Споразумението за ЕИП съдържа специфични разпоредби относно сътрудничеството в специфични области извън четирите свободи.</w:t>
      </w:r>
    </w:p>
    <w:p>
      <w:pPr>
        <w:pStyle w:val="ManualConsidrant"/>
        <w:rPr>
          <w:noProof/>
        </w:rPr>
      </w:pPr>
      <w:r>
        <w:t>(4)</w:t>
      </w:r>
      <w:r>
        <w:tab/>
      </w:r>
      <w:r>
        <w:rPr>
          <w:noProof/>
        </w:rPr>
        <w:t>Целесъобразно е да се разшири сътрудничеството между договарящите се страни по Споразумението за ЕАП в действията на Съюза, така че да се включат Регламент (ЕС) 2018/841 и Регламент (ЕС) 2018/842 и свързаните разпоредби на Регламент (ЕС) 2018/1999, Регламент (ЕС) № 525/2013 и Регламент за изпълнение (ЕС) № 794/2014.</w:t>
      </w:r>
    </w:p>
    <w:p>
      <w:pPr>
        <w:pStyle w:val="ManualConsidrant"/>
        <w:rPr>
          <w:noProof/>
        </w:rPr>
      </w:pPr>
      <w:r>
        <w:t>(5)</w:t>
      </w:r>
      <w:r>
        <w:tab/>
      </w:r>
      <w:r>
        <w:rPr>
          <w:noProof/>
        </w:rPr>
        <w:t>Поради това Протокол 31 към Споразумението за ЕИП следва бъде изменен, за да се даде възможност за това разширено сътрудничество.</w:t>
      </w:r>
    </w:p>
    <w:p>
      <w:pPr>
        <w:pStyle w:val="ManualConsidrant"/>
        <w:rPr>
          <w:noProof/>
        </w:rPr>
      </w:pPr>
      <w:r>
        <w:t>(6)</w:t>
      </w:r>
      <w:r>
        <w:tab/>
      </w:r>
      <w:r>
        <w:rPr>
          <w:noProof/>
        </w:rPr>
        <w:t>С оглед на това позицията на Съюза в рамките на Съвместния комитет на ЕИП следва да се основава на приложения проект на решение,</w:t>
      </w:r>
    </w:p>
    <w:p>
      <w:pPr>
        <w:pStyle w:val="Formuledadoption"/>
        <w:rPr>
          <w:noProof/>
        </w:rPr>
      </w:pPr>
      <w:r>
        <w:rPr>
          <w:noProof/>
        </w:rPr>
        <w:lastRenderedPageBreak/>
        <w:t xml:space="preserve">ПРИЕ НАСТОЯЩОТО РЕШЕНИЕ: </w:t>
      </w:r>
    </w:p>
    <w:p>
      <w:pPr>
        <w:pStyle w:val="Titrearticle"/>
        <w:rPr>
          <w:noProof/>
        </w:rPr>
      </w:pPr>
      <w:r>
        <w:rPr>
          <w:noProof/>
        </w:rPr>
        <w:t>Член 1</w:t>
      </w:r>
    </w:p>
    <w:p>
      <w:pPr>
        <w:rPr>
          <w:noProof/>
        </w:rPr>
      </w:pPr>
      <w:r>
        <w:rPr>
          <w:noProof/>
        </w:rPr>
        <w:t>Позицията, която трябва да се заеме от името на Съюза в рамките на Съвместния комитет на ЕИП във връзка с предложеното изменение на Протокол 31 към Споразумението за ЕИП относно сътрудничеството в специфични области извън четирите свободи, се основава на проекта на решение на Съвместния комитет на ЕИП, приложен към настоящото решение.</w:t>
      </w:r>
    </w:p>
    <w:p>
      <w:pPr>
        <w:pStyle w:val="Titrearticle"/>
        <w:rPr>
          <w:noProof/>
        </w:rPr>
      </w:pPr>
      <w:r>
        <w:rPr>
          <w:noProof/>
        </w:rPr>
        <w:t>Член 2</w:t>
      </w:r>
    </w:p>
    <w:p>
      <w:pPr>
        <w:keepLines/>
        <w:rPr>
          <w:noProof/>
        </w:rPr>
      </w:pPr>
      <w:r>
        <w:rPr>
          <w:noProof/>
        </w:rPr>
        <w:t>Настоящото решение влиза в сила на датата на приемането му.</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305, 30.11.1994 г., стр. 6—8.</w:t>
      </w:r>
    </w:p>
  </w:footnote>
  <w:footnote w:id="2">
    <w:p>
      <w:pPr>
        <w:pStyle w:val="FootnoteText"/>
      </w:pPr>
      <w:r>
        <w:rPr>
          <w:rStyle w:val="FootnoteReference"/>
          <w:rFonts w:eastAsiaTheme="majorEastAsia"/>
        </w:rPr>
        <w:footnoteRef/>
      </w:r>
      <w:r>
        <w:tab/>
        <w:t>OB L 207, 4.8.2015 г., стр. 1.</w:t>
      </w:r>
    </w:p>
  </w:footnote>
  <w:footnote w:id="3">
    <w:p>
      <w:pPr>
        <w:pStyle w:val="FootnoteText"/>
      </w:pPr>
      <w:r>
        <w:rPr>
          <w:rStyle w:val="FootnoteReference"/>
        </w:rPr>
        <w:footnoteRef/>
      </w:r>
      <w:r>
        <w:tab/>
        <w:t xml:space="preserve">ОВ L 1, 3.1.1994 г., стр. 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6D2BF7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3CA76E6"/>
    <w:lvl w:ilvl="0">
      <w:start w:val="1"/>
      <w:numFmt w:val="decimal"/>
      <w:pStyle w:val="ListNumber3"/>
      <w:lvlText w:val="%1."/>
      <w:lvlJc w:val="left"/>
      <w:pPr>
        <w:tabs>
          <w:tab w:val="num" w:pos="926"/>
        </w:tabs>
        <w:ind w:left="926" w:hanging="360"/>
      </w:pPr>
    </w:lvl>
  </w:abstractNum>
  <w:abstractNum w:abstractNumId="2">
    <w:nsid w:val="FFFFFF7F"/>
    <w:multiLevelType w:val="singleLevel"/>
    <w:tmpl w:val="351CD09A"/>
    <w:lvl w:ilvl="0">
      <w:start w:val="1"/>
      <w:numFmt w:val="decimal"/>
      <w:pStyle w:val="ListNumber2"/>
      <w:lvlText w:val="%1."/>
      <w:lvlJc w:val="left"/>
      <w:pPr>
        <w:tabs>
          <w:tab w:val="num" w:pos="643"/>
        </w:tabs>
        <w:ind w:left="643" w:hanging="360"/>
      </w:pPr>
    </w:lvl>
  </w:abstractNum>
  <w:abstractNum w:abstractNumId="3">
    <w:nsid w:val="FFFFFF81"/>
    <w:multiLevelType w:val="singleLevel"/>
    <w:tmpl w:val="BBB8FDC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FC8061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88466E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EF0E428"/>
    <w:lvl w:ilvl="0">
      <w:start w:val="1"/>
      <w:numFmt w:val="decimal"/>
      <w:pStyle w:val="ListNumber"/>
      <w:lvlText w:val="%1."/>
      <w:lvlJc w:val="left"/>
      <w:pPr>
        <w:tabs>
          <w:tab w:val="num" w:pos="360"/>
        </w:tabs>
        <w:ind w:left="360" w:hanging="360"/>
      </w:pPr>
    </w:lvl>
  </w:abstractNum>
  <w:abstractNum w:abstractNumId="7">
    <w:nsid w:val="FFFFFF89"/>
    <w:multiLevelType w:val="singleLevel"/>
    <w:tmpl w:val="BC5218C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24 08:51:1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47"/>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27"/>
    <w:docVar w:name="DQCStatus" w:val="Green"/>
    <w:docVar w:name="DQCVersion" w:val="3"/>
    <w:docVar w:name="DQCWithWarnings" w:val="0"/>
    <w:docVar w:name="LW_CORRIGENDUM" w:val="&lt;UNUSED&gt;"/>
    <w:docVar w:name="LW_COVERPAGE_EXISTS" w:val="True"/>
    <w:docVar w:name="LW_COVERPAGE_GUID" w:val="F82F7EFF-5336-48B0-A7B2-223F221CA3FB"/>
    <w:docVar w:name="LW_COVERPAGE_TYPE" w:val="1"/>
    <w:docVar w:name="LW_CROSSREFERENCE" w:val="&lt;UNUSED&gt;"/>
    <w:docVar w:name="LW_DocType" w:val="COM"/>
    <w:docVar w:name="LW_EMISSION" w:val="27.9.2019"/>
    <w:docVar w:name="LW_EMISSION_ISODATE" w:val="2019-09-27"/>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05"/>
    <w:docVar w:name="LW_REF.II.NEW.CP_YEAR" w:val="2019"/>
    <w:docVar w:name="LW_REF.INST.NEW" w:val="COM"/>
    <w:docVar w:name="LW_REF.INST.NEW_ADOPTED" w:val="final"/>
    <w:docVar w:name="LW_REF.INST.NEW_TEXT" w:val="(2019) 4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89?\u1077? \u1079?\u1072?\u1077?\u1084?\u1077? \u1086?\u1090? \u1080?\u1084?\u1077?\u1090?\u1086? \u1085?\u1072? \u1045?\u1074?\u1088?\u1086?\u1087?\u1077?\u1081?\u1089?\u1082?\u1080?\u1103? \u1089?\u1098?\u1102?\u1079?, _x000b_\u1074? \u1088?\u1072?\u1084?\u1082?\u1080?\u1090?\u1077? \u1085?\u1072? \u1057?\u1098?\u1074?\u1084?\u1077?\u1089?\u1090?\u1085?\u1080?\u1103? \u1082?\u1086?\u1084?\u1080?\u1090?\u1077?\u1090? \u1085?\u1072? \u1045?\u1048?\u1055? \u1074?\u1098?\u1074? \u1074?\u1088?\u1098?\u1079?\u1082?\u1072? \u1089? \u1080?\u1079?\u1084?\u1077?\u1085?\u1077?\u1085?\u1080?\u1077? \u1085?\u1072? \u1055?\u1088?\u1086?\u1090?\u1086?\u1082?\u1086?\u1083? 31 \u1082?\u1098?\u1084? \u1057?\u1087?\u1086?\u1088?\u1072?\u1079?\u1091?\u1084?\u1077?\u1085?\u1080?\u1077?\u1090?\u1086? \u1079?\u1072? \u1045?\u1048?\u1055? \u1086?\u1090?\u1085?\u1086?\u1089?\u1085?\u1086? \u1089?\u1098?\u1090?\u1088?\u1091?\u1076?\u1085?\u1080?\u1095?\u1077?\u1089?\u1090?\u1074?\u1086?\u1090?\u1086? \u1074? \u1089?\u1087?\u1077?\u1094?\u1080?\u1092?\u1080?\u1095?\u1085?\u1080? \u1086?\u1073?\u1083?\u1072?\u1089?\u1090?\u1080? \u1080?\u1079?\u1074?\u1098?\u1085? \u1095?\u1077?\u1090?\u1080?\u1088?\u1080?\u1090?\u1077? \u1089?\u1074?\u1086?\u1073?\u1086?\u1076?\u1080?_x000b__x000b_[\u1056?\u1072?\u1079?\u1096?\u1080?\u1088?\u1077?\u1085?\u1086? \u1089?\u1098?\u1090?\u1088?\u1091?\u1076?\u1085?\u1080?\u1095?\u1077?\u1089?\u1090?\u1074?\u1086? \u1087?\u1086? \u1074?\u1098?\u1087?\u1088?\u1086?\u1089?\u1080?\u1090?\u1077? \u1085?\u1072? \u1082?\u1083?\u1080?\u1084?\u1072?\u1090?\u1072? \u1084?\u1077?\u1078?\u1076?\u1091? \u1045?\u1057? \u8212? \u1048?\u1089?\u1083?\u1072?\u1085?\u1076?\u1080?\u1103? \u8212? \u1053?\u1086?\u1088?\u1074?\u1077?\u1075?\u1080?\u1103?]_x000b_"/>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BodyTextIndent">
    <w:name w:val="Body Text Indent"/>
    <w:basedOn w:val="Normal"/>
    <w:link w:val="BodyTextIndentChar"/>
    <w:pPr>
      <w:spacing w:before="0"/>
      <w:ind w:left="283"/>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rPr>
  </w:style>
  <w:style w:type="character" w:customStyle="1" w:styleId="Point0Char">
    <w:name w:val="Point 0 Char"/>
    <w:basedOn w:val="DefaultParagraphFont"/>
    <w:locked/>
    <w:rPr>
      <w:rFonts w:ascii="Times New Roman" w:hAnsi="Times New Roman" w:cs="Times New Roman"/>
      <w:sz w:val="24"/>
      <w:lang w:val="bg-BG"/>
    </w:rPr>
  </w:style>
  <w:style w:type="character" w:customStyle="1" w:styleId="ArticletextChar">
    <w:name w:val="Article text Char"/>
    <w:basedOn w:val="DefaultParagraphFont"/>
    <w:link w:val="Articletext"/>
    <w:locked/>
    <w:rPr>
      <w:rFonts w:ascii="Times New Roman" w:hAnsi="Times New Roman" w:cs="Times New Roman"/>
      <w:color w:val="000000" w:themeColor="text1"/>
      <w:sz w:val="24"/>
      <w:szCs w:val="24"/>
    </w:rPr>
  </w:style>
  <w:style w:type="paragraph" w:customStyle="1" w:styleId="Articletext">
    <w:name w:val="Article text"/>
    <w:basedOn w:val="Normal"/>
    <w:link w:val="ArticletextChar"/>
    <w:qFormat/>
    <w:pPr>
      <w:tabs>
        <w:tab w:val="left" w:pos="709"/>
      </w:tabs>
    </w:pPr>
    <w:rPr>
      <w:color w:val="000000" w:themeColor="text1"/>
      <w:szCs w:val="24"/>
    </w:rPr>
  </w:style>
  <w:style w:type="paragraph" w:customStyle="1" w:styleId="t">
    <w:name w:val="t"/>
    <w:basedOn w:val="Normal"/>
    <w:pPr>
      <w:spacing w:before="0" w:after="0"/>
      <w:ind w:left="567" w:hanging="567"/>
      <w:jc w:val="center"/>
    </w:pPr>
    <w:rPr>
      <w:rFonts w:eastAsia="Times New Roman"/>
      <w:b/>
      <w:szCs w:val="2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BodyTextIndent">
    <w:name w:val="Body Text Indent"/>
    <w:basedOn w:val="Normal"/>
    <w:link w:val="BodyTextIndentChar"/>
    <w:pPr>
      <w:spacing w:before="0"/>
      <w:ind w:left="283"/>
      <w:jc w:val="left"/>
    </w:pPr>
    <w:rPr>
      <w:rFonts w:eastAsia="Times New Roman"/>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rPr>
  </w:style>
  <w:style w:type="character" w:customStyle="1" w:styleId="Point0Char">
    <w:name w:val="Point 0 Char"/>
    <w:basedOn w:val="DefaultParagraphFont"/>
    <w:locked/>
    <w:rPr>
      <w:rFonts w:ascii="Times New Roman" w:hAnsi="Times New Roman" w:cs="Times New Roman"/>
      <w:sz w:val="24"/>
      <w:lang w:val="bg-BG"/>
    </w:rPr>
  </w:style>
  <w:style w:type="character" w:customStyle="1" w:styleId="ArticletextChar">
    <w:name w:val="Article text Char"/>
    <w:basedOn w:val="DefaultParagraphFont"/>
    <w:link w:val="Articletext"/>
    <w:locked/>
    <w:rPr>
      <w:rFonts w:ascii="Times New Roman" w:hAnsi="Times New Roman" w:cs="Times New Roman"/>
      <w:color w:val="000000" w:themeColor="text1"/>
      <w:sz w:val="24"/>
      <w:szCs w:val="24"/>
    </w:rPr>
  </w:style>
  <w:style w:type="paragraph" w:customStyle="1" w:styleId="Articletext">
    <w:name w:val="Article text"/>
    <w:basedOn w:val="Normal"/>
    <w:link w:val="ArticletextChar"/>
    <w:qFormat/>
    <w:pPr>
      <w:tabs>
        <w:tab w:val="left" w:pos="709"/>
      </w:tabs>
    </w:pPr>
    <w:rPr>
      <w:color w:val="000000" w:themeColor="text1"/>
      <w:szCs w:val="24"/>
    </w:rPr>
  </w:style>
  <w:style w:type="paragraph" w:customStyle="1" w:styleId="t">
    <w:name w:val="t"/>
    <w:basedOn w:val="Normal"/>
    <w:pPr>
      <w:spacing w:before="0" w:after="0"/>
      <w:ind w:left="567" w:hanging="567"/>
      <w:jc w:val="center"/>
    </w:pPr>
    <w:rPr>
      <w:rFonts w:eastAsia="Times New Roman"/>
      <w:b/>
      <w:szCs w:val="20"/>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250731">
      <w:bodyDiv w:val="1"/>
      <w:marLeft w:val="0"/>
      <w:marRight w:val="0"/>
      <w:marTop w:val="0"/>
      <w:marBottom w:val="0"/>
      <w:divBdr>
        <w:top w:val="none" w:sz="0" w:space="0" w:color="auto"/>
        <w:left w:val="none" w:sz="0" w:space="0" w:color="auto"/>
        <w:bottom w:val="none" w:sz="0" w:space="0" w:color="auto"/>
        <w:right w:val="none" w:sz="0" w:space="0" w:color="auto"/>
      </w:divBdr>
    </w:div>
    <w:div w:id="180947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0868D-7DF7-4D0E-BB74-BDCD265E6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13</Pages>
  <Words>4358</Words>
  <Characters>24019</Characters>
  <Application>Microsoft Office Word</Application>
  <DocSecurity>0</DocSecurity>
  <Lines>453</Lines>
  <Paragraphs>155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dcterms:created xsi:type="dcterms:W3CDTF">2019-08-30T13:23:00Z</dcterms:created>
  <dcterms:modified xsi:type="dcterms:W3CDTF">2019-09-24T06:51:00Z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