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25F81391-BA63-4D47-8B9C-9D4244FE9E15" style="width:450.75pt;height:444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noProof/>
        </w:rPr>
      </w:pPr>
      <w:bookmarkStart w:id="1" w:name="_GoBack"/>
      <w:bookmarkEnd w:id="1"/>
    </w:p>
    <w:sdt>
      <w:sdtP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id w:val="-10164665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>
          <w:pPr>
            <w:pStyle w:val="TOCHeading"/>
            <w:rPr>
              <w:noProof/>
            </w:rPr>
          </w:pPr>
          <w:r>
            <w:rPr>
              <w:noProof/>
            </w:rPr>
            <w:t>Съдържание</w:t>
          </w:r>
        </w:p>
        <w:p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TOC \o "1-3" \h \z \u </w:instrText>
          </w:r>
          <w:r>
            <w:rPr>
              <w:noProof/>
            </w:rPr>
            <w:fldChar w:fldCharType="separate"/>
          </w:r>
          <w:hyperlink w:anchor="_Toc20145476" w:history="1">
            <w:r>
              <w:rPr>
                <w:rStyle w:val="Hyperlink"/>
                <w:rFonts w:ascii="Times New Roman" w:eastAsia="Times New Roman" w:hAnsi="Times New Roman" w:cs="Times New Roman"/>
                <w:b/>
                <w:smallCaps/>
                <w:noProof/>
              </w:rPr>
              <w:t>1.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smallCaps/>
                <w:noProof/>
              </w:rPr>
              <w:t>Директива 2000/36/EO на Европейския парламент и на Съвета от 23 юни 2000 г. относно какаовите и шоколадовите продукти, предназначени за консумация от човека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20145477" w:history="1">
            <w:r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1.1.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noProof/>
              </w:rPr>
              <w:t>Въведение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20145478" w:history="1">
            <w:r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1.2.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noProof/>
              </w:rPr>
              <w:t>Правно основание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20145479" w:history="1">
            <w:r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1.3.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noProof/>
              </w:rPr>
              <w:t>Упражняване на делегирането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20145480" w:history="1">
            <w:r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1.4.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noProof/>
              </w:rPr>
              <w:t>Заключения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20145481" w:history="1">
            <w:r>
              <w:rPr>
                <w:rStyle w:val="Hyperlink"/>
                <w:rFonts w:ascii="Times New Roman" w:eastAsia="Times New Roman" w:hAnsi="Times New Roman" w:cs="Times New Roman"/>
                <w:b/>
                <w:smallCaps/>
                <w:noProof/>
              </w:rPr>
              <w:t>2.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smallCaps/>
                <w:noProof/>
              </w:rPr>
              <w:t>Директива 2001/110/ЕО на Съвета от 20 декември 2001 г. относно меда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20145482" w:history="1">
            <w:r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2.1.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noProof/>
              </w:rPr>
              <w:t>Въведение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20145483" w:history="1">
            <w:r>
              <w:rPr>
                <w:rStyle w:val="Hyperlink"/>
                <w:rFonts w:ascii="Times New Roman" w:hAnsi="Times New Roman"/>
                <w:b/>
                <w:noProof/>
              </w:rPr>
              <w:t>2.2.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noProof/>
              </w:rPr>
              <w:t>Правно основание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20145484" w:history="1">
            <w:r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2.3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noProof/>
              </w:rPr>
              <w:t>Упражняване на делегирането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20145485" w:history="1">
            <w:r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2.4.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noProof/>
              </w:rPr>
              <w:t>Заключения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20145486" w:history="1">
            <w:r>
              <w:rPr>
                <w:rStyle w:val="Hyperlink"/>
                <w:rFonts w:ascii="Times New Roman" w:eastAsia="Times New Roman" w:hAnsi="Times New Roman" w:cs="Times New Roman"/>
                <w:b/>
                <w:smallCaps/>
                <w:noProof/>
              </w:rPr>
              <w:t>3.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smallCaps/>
                <w:noProof/>
              </w:rPr>
              <w:t>Директива 2001/111/ЕО на Съвета от 20 декември 2001 г. относно някои захари, предназначени за консумация от човека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20145487" w:history="1">
            <w:r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3.1.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noProof/>
              </w:rPr>
              <w:t>Въведение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20145488" w:history="1">
            <w:r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3.2.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noProof/>
              </w:rPr>
              <w:t>Правно основание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20145489" w:history="1">
            <w:r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3.3.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noProof/>
              </w:rPr>
              <w:t>Упражняване на делегирането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20145490" w:history="1">
            <w:r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3.4.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noProof/>
              </w:rPr>
              <w:t>Заключения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20145491" w:history="1">
            <w:r>
              <w:rPr>
                <w:rStyle w:val="Hyperlink"/>
                <w:rFonts w:ascii="Times New Roman" w:eastAsia="Times New Roman" w:hAnsi="Times New Roman" w:cs="Times New Roman"/>
                <w:b/>
                <w:smallCaps/>
                <w:noProof/>
              </w:rPr>
              <w:t>4.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smallCaps/>
                <w:noProof/>
              </w:rPr>
              <w:t>Директива 2001/112/ЕО на Съвета от 20 декември 2001 г. относно соковете от плодове и някои сходни продукти, предназначени за консумация от човека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20145492" w:history="1">
            <w:r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4.1.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noProof/>
              </w:rPr>
              <w:t>Въведение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20145493" w:history="1">
            <w:r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4.2.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noProof/>
              </w:rPr>
              <w:t>Правно основание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20145494" w:history="1">
            <w:r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4.3.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noProof/>
              </w:rPr>
              <w:t>Упражняване на делегирането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20145495" w:history="1">
            <w:r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4.4.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noProof/>
              </w:rPr>
              <w:t>Заключения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20145496" w:history="1">
            <w:r>
              <w:rPr>
                <w:rStyle w:val="Hyperlink"/>
                <w:rFonts w:ascii="Times New Roman" w:eastAsia="Times New Roman" w:hAnsi="Times New Roman" w:cs="Times New Roman"/>
                <w:b/>
                <w:smallCaps/>
                <w:noProof/>
              </w:rPr>
              <w:t>5.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smallCaps/>
                <w:noProof/>
              </w:rPr>
              <w:t>Директива 2001/113/ЕО на Съвета от 20 декември 2001 г. относно плодови конфитюри, желета и мармалади и подсладено пюре от кестени, предназначени за консумация от човека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20145497" w:history="1">
            <w:r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5.1.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noProof/>
              </w:rPr>
              <w:t>Въведение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20145498" w:history="1">
            <w:r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5.2.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noProof/>
              </w:rPr>
              <w:t>Правно основание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20145499" w:history="1">
            <w:r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5.3.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noProof/>
              </w:rPr>
              <w:t>Упражняване на делегирането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20145500" w:history="1">
            <w:r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5.4.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noProof/>
              </w:rPr>
              <w:t>Заключения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_Toc20145500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>
      <w:pPr>
        <w:keepNext/>
        <w:numPr>
          <w:ilvl w:val="0"/>
          <w:numId w:val="1"/>
        </w:numPr>
        <w:tabs>
          <w:tab w:val="left" w:pos="510"/>
        </w:tabs>
        <w:spacing w:before="480" w:after="120" w:line="264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</w:pPr>
      <w:bookmarkStart w:id="2" w:name="_Toc20145476"/>
      <w:r>
        <w:rPr>
          <w:rFonts w:ascii="Times New Roman" w:hAnsi="Times New Roman"/>
          <w:b/>
          <w:smallCaps/>
          <w:noProof/>
        </w:rPr>
        <w:t>Директива 2000/36/EO на Европейския парламент и на Съвета от 23 юни 2000 г. относно какаовите и шоколадовите продукти, предназначени за консумация от човека</w:t>
      </w:r>
      <w:bookmarkEnd w:id="2"/>
    </w:p>
    <w:p>
      <w:pPr>
        <w:keepNext/>
        <w:numPr>
          <w:ilvl w:val="1"/>
          <w:numId w:val="1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3" w:name="_Toc20145477"/>
      <w:r>
        <w:rPr>
          <w:rFonts w:ascii="Times New Roman" w:hAnsi="Times New Roman"/>
          <w:b/>
          <w:noProof/>
        </w:rPr>
        <w:t>Въведение</w:t>
      </w:r>
      <w:bookmarkEnd w:id="3"/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Директива 2000/36/ЕО на Европейския парламент и на Съвета</w:t>
      </w:r>
      <w:r>
        <w:rPr>
          <w:rFonts w:ascii="Times New Roman" w:hAnsi="Times New Roman" w:cs="Times New Roman"/>
          <w:noProof/>
          <w:vertAlign w:val="superscript"/>
        </w:rPr>
        <w:footnoteReference w:id="1"/>
      </w:r>
      <w:r>
        <w:rPr>
          <w:rFonts w:ascii="Times New Roman" w:hAnsi="Times New Roman"/>
          <w:noProof/>
        </w:rPr>
        <w:t xml:space="preserve"> установява определения и общи правила по отношение на състава, производствените спецификации, опаковането и етикетирането на продукти от какао и шоколад. </w:t>
      </w: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С член 5 от директивата на Комисията се предоставя правомощието да приема делегирани актове за изменение на приложение I, раздели В и Г за целите на отчитането на техническия прогрес и промените в съответните международни стандарти. </w:t>
      </w:r>
    </w:p>
    <w:p>
      <w:pPr>
        <w:keepNext/>
        <w:numPr>
          <w:ilvl w:val="1"/>
          <w:numId w:val="1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4" w:name="_Toc20145478"/>
      <w:r>
        <w:rPr>
          <w:rFonts w:ascii="Times New Roman" w:hAnsi="Times New Roman"/>
          <w:b/>
          <w:noProof/>
        </w:rPr>
        <w:t>Правно основание</w:t>
      </w:r>
      <w:bookmarkEnd w:id="4"/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Докладът се изисква съгласно член 6, параграф 2. Съгласно тази разпоредба правомощието да приема делегирани актове, посочено в член 5, се предоставя на Комисията за срок от пет години, считано от 18 ноември 2013 г. Комисията изготвя доклад относно делегирането на правомощия не по-късно от девет месеца преди изтичането на петгодишния срок. Делегирането на правомощия се продължава мълчаливо за срокове с еднаква продължителност, освен ако Европейският парламент или Съветът не възразят срещу подобно продължаване не по-късно от три месеца преди изтичането на всеки срок.</w:t>
      </w:r>
    </w:p>
    <w:p>
      <w:pPr>
        <w:keepNext/>
        <w:numPr>
          <w:ilvl w:val="1"/>
          <w:numId w:val="1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5" w:name="_Toc20145479"/>
      <w:r>
        <w:rPr>
          <w:rFonts w:ascii="Times New Roman" w:hAnsi="Times New Roman"/>
          <w:b/>
          <w:noProof/>
        </w:rPr>
        <w:t>Упражняване на делегирането</w:t>
      </w:r>
      <w:bookmarkEnd w:id="5"/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Комисията не е приела делегирани актове съгласно член 5, тъй като не е установила необходимост от изменение на приложение I, раздели В и Г. Комисията не възнамерява да използва това правомощия в близко бъдеще, но не може да се изключи възможността да възникне необходимост от неговото използване.</w:t>
      </w:r>
      <w:r>
        <w:rPr>
          <w:noProof/>
        </w:rPr>
        <w:t xml:space="preserve"> </w:t>
      </w:r>
    </w:p>
    <w:p>
      <w:pPr>
        <w:keepNext/>
        <w:numPr>
          <w:ilvl w:val="1"/>
          <w:numId w:val="1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6" w:name="_Toc20145480"/>
      <w:r>
        <w:rPr>
          <w:rFonts w:ascii="Times New Roman" w:hAnsi="Times New Roman"/>
          <w:b/>
          <w:noProof/>
        </w:rPr>
        <w:t>Заключения</w:t>
      </w:r>
      <w:bookmarkEnd w:id="6"/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Предоставените правомощия не са използвани поради липса на правно задължение или необходимост от тяхното използване.</w:t>
      </w:r>
      <w:r>
        <w:rPr>
          <w:noProof/>
        </w:rPr>
        <w:t xml:space="preserve"> </w:t>
      </w:r>
      <w:r>
        <w:rPr>
          <w:rFonts w:ascii="Times New Roman" w:hAnsi="Times New Roman"/>
          <w:noProof/>
        </w:rPr>
        <w:t>Не може обаче да се изключи необходимостта от използването на тези правомощия в бъдеще.</w:t>
      </w:r>
    </w:p>
    <w:p>
      <w:pPr>
        <w:keepNext/>
        <w:numPr>
          <w:ilvl w:val="0"/>
          <w:numId w:val="1"/>
        </w:numPr>
        <w:tabs>
          <w:tab w:val="left" w:pos="510"/>
        </w:tabs>
        <w:spacing w:before="480" w:after="120" w:line="264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</w:pPr>
      <w:bookmarkStart w:id="7" w:name="_Toc20145481"/>
      <w:r>
        <w:rPr>
          <w:rFonts w:ascii="Times New Roman" w:hAnsi="Times New Roman"/>
          <w:b/>
          <w:smallCaps/>
          <w:noProof/>
        </w:rPr>
        <w:lastRenderedPageBreak/>
        <w:t>Директива 2001/110/ЕО на Съвета от 20 декември 2001 г. относно меда</w:t>
      </w:r>
      <w:bookmarkEnd w:id="7"/>
    </w:p>
    <w:p>
      <w:pPr>
        <w:keepNext/>
        <w:numPr>
          <w:ilvl w:val="1"/>
          <w:numId w:val="1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8" w:name="_Toc20145482"/>
      <w:r>
        <w:rPr>
          <w:rFonts w:ascii="Times New Roman" w:hAnsi="Times New Roman"/>
          <w:b/>
          <w:noProof/>
        </w:rPr>
        <w:t>Въведение</w:t>
      </w:r>
      <w:bookmarkEnd w:id="8"/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Директива 2001/110/ЕО на Съвета</w:t>
      </w:r>
      <w:r>
        <w:rPr>
          <w:rFonts w:ascii="Times New Roman" w:hAnsi="Times New Roman" w:cs="Times New Roman"/>
          <w:noProof/>
          <w:vertAlign w:val="superscript"/>
        </w:rPr>
        <w:footnoteReference w:id="2"/>
      </w:r>
      <w:r>
        <w:rPr>
          <w:rFonts w:ascii="Times New Roman" w:hAnsi="Times New Roman"/>
          <w:noProof/>
        </w:rPr>
        <w:t xml:space="preserve"> установява определения и общи правила за състава и основното съдържание на етикетите на меда.</w:t>
      </w: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За целите на гарантиране на лоялни търговски практики и на защита на интересите на потребителите и за да се даде възможност за установяване на съответните методи за анализ, с член 4, параграф 2 на Комисията се предоставя правомощието да приема делегирани актове в съответствие с член 6 за допълване на директивата чрез определяне на количествените параметри, свързани със следното:</w:t>
      </w:r>
    </w:p>
    <w:p>
      <w:pPr>
        <w:tabs>
          <w:tab w:val="left" w:pos="510"/>
          <w:tab w:val="left" w:pos="1021"/>
        </w:tabs>
        <w:spacing w:after="120" w:line="240" w:lineRule="auto"/>
        <w:ind w:left="510" w:hanging="51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a) </w:t>
      </w:r>
      <w:r>
        <w:rPr>
          <w:rFonts w:ascii="Times New Roman" w:hAnsi="Times New Roman"/>
          <w:noProof/>
        </w:rPr>
        <w:tab/>
        <w:t>критерий за „основно“ по отношение на цветния или растителния произход на меда съобразно посоченото в член 2, параграф 2, буква б), първо тире; както и</w:t>
      </w:r>
    </w:p>
    <w:p>
      <w:pPr>
        <w:tabs>
          <w:tab w:val="left" w:pos="510"/>
          <w:tab w:val="left" w:pos="1021"/>
        </w:tabs>
        <w:spacing w:after="120" w:line="240" w:lineRule="auto"/>
        <w:ind w:left="510" w:hanging="51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б) </w:t>
      </w:r>
      <w:r>
        <w:rPr>
          <w:rFonts w:ascii="Times New Roman" w:hAnsi="Times New Roman"/>
          <w:noProof/>
        </w:rPr>
        <w:tab/>
        <w:t>минималното съдържание на полен във филтрирания мед след отстраняване на чуждите неорганични или органични примеси, посочени в приложение I, точка 2, буква б), подточка viii).</w:t>
      </w:r>
    </w:p>
    <w:p>
      <w:pPr>
        <w:keepNext/>
        <w:tabs>
          <w:tab w:val="left" w:pos="737"/>
        </w:tabs>
        <w:spacing w:before="420" w:after="120" w:line="264" w:lineRule="auto"/>
        <w:ind w:left="595" w:hanging="595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9" w:name="_Toc20145483"/>
      <w:r>
        <w:rPr>
          <w:rFonts w:ascii="Times New Roman" w:hAnsi="Times New Roman"/>
          <w:b/>
          <w:noProof/>
        </w:rPr>
        <w:t>2.2.</w:t>
      </w:r>
      <w:r>
        <w:rPr>
          <w:rFonts w:ascii="Times New Roman" w:hAnsi="Times New Roman"/>
          <w:b/>
          <w:noProof/>
        </w:rPr>
        <w:tab/>
        <w:t>Правно основание</w:t>
      </w:r>
      <w:bookmarkEnd w:id="9"/>
      <w:r>
        <w:rPr>
          <w:rFonts w:ascii="Times New Roman" w:hAnsi="Times New Roman"/>
          <w:b/>
          <w:noProof/>
        </w:rPr>
        <w:t xml:space="preserve"> </w:t>
      </w: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Докладът се изисква съгласно член 6, параграф 2. Съгласно тази разпоредба правомощието да приема делегирани актове, посочено в член 4, параграф 2, се предоставя на Комисията за срок от пет години, считано от 23 юни 2014 г. Комисията изготвя доклад относно делегирането на правомощия не по-късно от девет месеца преди изтичането на петгодишния срок. Делегирането на правомощия се продължава мълчаливо за срокове с еднаква продължителност, освен ако Европейският парламент или Съветът не възразят срещу подобно продължаване не по-късно от три месеца преди изтичането на всеки срок.</w:t>
      </w:r>
    </w:p>
    <w:p>
      <w:pPr>
        <w:keepNext/>
        <w:numPr>
          <w:ilvl w:val="1"/>
          <w:numId w:val="46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 xml:space="preserve">   </w:t>
      </w:r>
      <w:bookmarkStart w:id="10" w:name="_Toc20145484"/>
      <w:r>
        <w:rPr>
          <w:rFonts w:ascii="Times New Roman" w:hAnsi="Times New Roman"/>
          <w:b/>
          <w:noProof/>
        </w:rPr>
        <w:t>Упражняване на делегирането</w:t>
      </w:r>
      <w:bookmarkEnd w:id="10"/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Комисията не е приела делегирани актове съгласно член 4, параграф 2, тъй като не е установила такава необходимост. Комисията не възнамерява да използва това правомощия в близко бъдеще, но не може да се изключи възможността да възникне необходимост от неговото използване.</w:t>
      </w:r>
      <w:r>
        <w:rPr>
          <w:noProof/>
        </w:rPr>
        <w:t xml:space="preserve"> </w:t>
      </w:r>
    </w:p>
    <w:p>
      <w:pPr>
        <w:keepNext/>
        <w:numPr>
          <w:ilvl w:val="1"/>
          <w:numId w:val="4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0"/>
        </w:rPr>
      </w:pPr>
      <w:bookmarkStart w:id="11" w:name="_Toc20145485"/>
      <w:r>
        <w:rPr>
          <w:rFonts w:ascii="Times New Roman" w:hAnsi="Times New Roman"/>
          <w:b/>
          <w:noProof/>
          <w:sz w:val="26"/>
          <w:szCs w:val="20"/>
        </w:rPr>
        <w:t>Заключения</w:t>
      </w:r>
      <w:bookmarkEnd w:id="11"/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Предоставените правомощия не са използвани поради липса на правно задължение или необходимост от тяхното използване.</w:t>
      </w:r>
      <w:r>
        <w:rPr>
          <w:noProof/>
        </w:rPr>
        <w:t xml:space="preserve"> </w:t>
      </w:r>
      <w:r>
        <w:rPr>
          <w:rFonts w:ascii="Times New Roman" w:hAnsi="Times New Roman"/>
          <w:noProof/>
        </w:rPr>
        <w:t>Не може обаче да се изключи необходимостта от използването на тези правомощия в бъдеще.</w:t>
      </w:r>
    </w:p>
    <w:p>
      <w:pPr>
        <w:keepNext/>
        <w:numPr>
          <w:ilvl w:val="0"/>
          <w:numId w:val="1"/>
        </w:numPr>
        <w:tabs>
          <w:tab w:val="left" w:pos="510"/>
        </w:tabs>
        <w:spacing w:before="480" w:after="120" w:line="264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</w:pPr>
      <w:bookmarkStart w:id="12" w:name="_Toc20145486"/>
      <w:r>
        <w:rPr>
          <w:rFonts w:ascii="Times New Roman" w:hAnsi="Times New Roman"/>
          <w:b/>
          <w:smallCaps/>
          <w:noProof/>
        </w:rPr>
        <w:lastRenderedPageBreak/>
        <w:t>Директива 2001/111/ЕО на Съвета от 20 декември 2001 г. относно някои захари, предназначени за консумация от човека</w:t>
      </w:r>
      <w:bookmarkEnd w:id="12"/>
    </w:p>
    <w:p>
      <w:pPr>
        <w:keepNext/>
        <w:numPr>
          <w:ilvl w:val="1"/>
          <w:numId w:val="2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13" w:name="_Toc20145487"/>
      <w:r>
        <w:rPr>
          <w:rFonts w:ascii="Times New Roman" w:hAnsi="Times New Roman"/>
          <w:b/>
          <w:noProof/>
        </w:rPr>
        <w:t>Въведение</w:t>
      </w:r>
      <w:bookmarkEnd w:id="13"/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Директива 2001/111/ЕО на Съвета</w:t>
      </w:r>
      <w:r>
        <w:rPr>
          <w:rFonts w:ascii="Times New Roman" w:hAnsi="Times New Roman" w:cs="Times New Roman"/>
          <w:noProof/>
          <w:vertAlign w:val="superscript"/>
        </w:rPr>
        <w:footnoteReference w:id="3"/>
      </w:r>
      <w:r>
        <w:rPr>
          <w:rFonts w:ascii="Times New Roman" w:hAnsi="Times New Roman"/>
          <w:noProof/>
        </w:rPr>
        <w:t xml:space="preserve"> определя правилата за производствените и пазарните условия относно някои захари, предназначени за консумация от човека.</w:t>
      </w: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С член 4 на Комисията се предоставя правомощието да приема делегирани актове за изменение на част Б от приложението за целите на отчитането на техническия прогрес и промените в съответните международни стандарти.</w:t>
      </w:r>
    </w:p>
    <w:p>
      <w:pPr>
        <w:keepNext/>
        <w:numPr>
          <w:ilvl w:val="1"/>
          <w:numId w:val="1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14" w:name="_Toc20145488"/>
      <w:r>
        <w:rPr>
          <w:rFonts w:ascii="Times New Roman" w:hAnsi="Times New Roman"/>
          <w:b/>
          <w:noProof/>
        </w:rPr>
        <w:t>Правно основание</w:t>
      </w:r>
      <w:bookmarkEnd w:id="14"/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Докладът се изисква съгласно член 5, параграф 2. Съгласно тази разпоредба правомощието да приема делегирани актове, посочено в член 5, се предоставя на Комисията за срок от пет години, считано от 18 ноември 2013 г. Комисията изготвя доклад относно делегирането на правомощия не по-късно от девет месеца преди изтичането на петгодишния срок. Делегирането на правомощия се продължава мълчаливо за срокове с еднаква продължителност, освен ако Европейският парламент или Съветът не възразят срещу подобно продължаване не по-късно от три месеца преди изтичането на всеки срок.</w:t>
      </w:r>
    </w:p>
    <w:p>
      <w:pPr>
        <w:keepNext/>
        <w:numPr>
          <w:ilvl w:val="1"/>
          <w:numId w:val="1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15" w:name="_Toc20145489"/>
      <w:r>
        <w:rPr>
          <w:rFonts w:ascii="Times New Roman" w:hAnsi="Times New Roman"/>
          <w:b/>
          <w:noProof/>
        </w:rPr>
        <w:t>Упражняване на делегирането</w:t>
      </w:r>
      <w:bookmarkEnd w:id="15"/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Комисията не е приела делегирани актове съгласно член 5, тъй като не е установила необходимост от изменение на част Б от приложението. Комисията не възнамерява да използва това правомощия в близко бъдеще, но не може да се изключи възможността да възникне необходимост от неговото използване.</w:t>
      </w:r>
    </w:p>
    <w:p>
      <w:pPr>
        <w:keepNext/>
        <w:numPr>
          <w:ilvl w:val="1"/>
          <w:numId w:val="1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16" w:name="_Toc20145490"/>
      <w:r>
        <w:rPr>
          <w:rFonts w:ascii="Times New Roman" w:hAnsi="Times New Roman"/>
          <w:b/>
          <w:noProof/>
        </w:rPr>
        <w:t>Заключения</w:t>
      </w:r>
      <w:bookmarkEnd w:id="16"/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Предоставените правомощия не са използвани поради липса на правно задължение или необходимост от тяхното използване.</w:t>
      </w:r>
      <w:r>
        <w:rPr>
          <w:noProof/>
        </w:rPr>
        <w:t xml:space="preserve"> </w:t>
      </w:r>
      <w:r>
        <w:rPr>
          <w:rFonts w:ascii="Times New Roman" w:hAnsi="Times New Roman"/>
          <w:noProof/>
        </w:rPr>
        <w:t>Не може обаче да се изключи необходимостта от използването на тези правомощия в бъдеще.</w:t>
      </w:r>
    </w:p>
    <w:p>
      <w:pPr>
        <w:keepNext/>
        <w:numPr>
          <w:ilvl w:val="0"/>
          <w:numId w:val="1"/>
        </w:numPr>
        <w:tabs>
          <w:tab w:val="left" w:pos="510"/>
        </w:tabs>
        <w:spacing w:before="480" w:after="120" w:line="264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</w:pPr>
      <w:bookmarkStart w:id="17" w:name="_Toc20145491"/>
      <w:r>
        <w:rPr>
          <w:rFonts w:ascii="Times New Roman" w:hAnsi="Times New Roman"/>
          <w:b/>
          <w:smallCaps/>
          <w:noProof/>
        </w:rPr>
        <w:t>Директива 2001/112/ЕО на Съвета от 20 декември 2001 г. относно соковете от плодове и някои сходни продукти, предназначени за консумация от човека</w:t>
      </w:r>
      <w:bookmarkEnd w:id="17"/>
    </w:p>
    <w:p>
      <w:pPr>
        <w:keepNext/>
        <w:numPr>
          <w:ilvl w:val="1"/>
          <w:numId w:val="1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18" w:name="_Toc20145492"/>
      <w:r>
        <w:rPr>
          <w:rFonts w:ascii="Times New Roman" w:hAnsi="Times New Roman"/>
          <w:b/>
          <w:noProof/>
        </w:rPr>
        <w:t>Въведение</w:t>
      </w:r>
      <w:bookmarkEnd w:id="18"/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Директива 2001/112/ЕО на Съвета</w:t>
      </w:r>
      <w:r>
        <w:rPr>
          <w:rFonts w:ascii="Times New Roman" w:hAnsi="Times New Roman" w:cs="Times New Roman"/>
          <w:noProof/>
          <w:vertAlign w:val="superscript"/>
        </w:rPr>
        <w:footnoteReference w:id="4"/>
      </w:r>
      <w:r>
        <w:rPr>
          <w:rFonts w:ascii="Times New Roman" w:hAnsi="Times New Roman"/>
          <w:noProof/>
        </w:rPr>
        <w:t xml:space="preserve"> установява общи правила относно състава, използването на запазените наименования, производствените характеристики и етикетирането на соковете от плодове и някои сходни продукти.</w:t>
      </w: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С член 7 на Комисията се предоставя правомощието да приема делегирани актове, за да изменя приложенията към посочената директива, с изключение на част I от приложение I и на приложение II, с цел привеждането им в съответствие с развитието на съответни международни стандарти и отчитане на техническия прогрес.</w:t>
      </w:r>
    </w:p>
    <w:p>
      <w:pPr>
        <w:keepNext/>
        <w:numPr>
          <w:ilvl w:val="1"/>
          <w:numId w:val="1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19" w:name="_Toc20145493"/>
      <w:r>
        <w:rPr>
          <w:rFonts w:ascii="Times New Roman" w:hAnsi="Times New Roman"/>
          <w:b/>
          <w:noProof/>
        </w:rPr>
        <w:t>Правно основание</w:t>
      </w:r>
      <w:bookmarkEnd w:id="19"/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Докладът се изисква съгласно член 7а, параграф 2. Съгласно тази разпоредба правомощието да приема делегирани актове, посочено в член 7, се предоставя на Комисията за срок от пет години, считано от 28 октомври 2013 г. Комисията изготвя доклад относно делегирането на правомощия не по-късно от девет месеца преди изтичането на петгодишния срок. Делегирането на правомощия се продължава мълчаливо за срокове с еднаква продължителност, освен ако Европейският парламент или Съветът не възразят срещу подобно продължаване не по-късно от три месеца преди изтичането на всеки срок.</w:t>
      </w:r>
    </w:p>
    <w:p>
      <w:pPr>
        <w:keepNext/>
        <w:numPr>
          <w:ilvl w:val="1"/>
          <w:numId w:val="1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20" w:name="_Toc20145494"/>
      <w:r>
        <w:rPr>
          <w:rFonts w:ascii="Times New Roman" w:hAnsi="Times New Roman"/>
          <w:b/>
          <w:noProof/>
        </w:rPr>
        <w:t>Упражняване на делегирането</w:t>
      </w:r>
      <w:bookmarkEnd w:id="20"/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Комисията е приела един делегиран акт въз основа на член 7 с цел отчитане на техническия прогрес: </w:t>
      </w:r>
      <w:r>
        <w:rPr>
          <w:rFonts w:ascii="Times New Roman" w:hAnsi="Times New Roman"/>
          <w:b/>
          <w:noProof/>
        </w:rPr>
        <w:t>Делегиран регламент (ЕС) № 1040/2014 на Комисията</w:t>
      </w:r>
      <w:r>
        <w:rPr>
          <w:rFonts w:ascii="Times New Roman" w:hAnsi="Times New Roman" w:cs="Times New Roman"/>
          <w:noProof/>
          <w:vertAlign w:val="superscript"/>
        </w:rPr>
        <w:footnoteReference w:id="5"/>
      </w:r>
      <w:r>
        <w:rPr>
          <w:rFonts w:ascii="Times New Roman" w:hAnsi="Times New Roman"/>
          <w:noProof/>
        </w:rPr>
        <w:t>. Този делегиран акт измени</w:t>
      </w:r>
      <w:r>
        <w:rPr>
          <w:rFonts w:ascii="Times New Roman" w:hAnsi="Times New Roman"/>
          <w:noProof/>
          <w:color w:val="444444"/>
        </w:rPr>
        <w:t xml:space="preserve"> </w:t>
      </w:r>
      <w:r>
        <w:rPr>
          <w:rFonts w:ascii="Times New Roman" w:hAnsi="Times New Roman"/>
          <w:noProof/>
        </w:rPr>
        <w:t>част II, точка 3 от приложение I, която урежда разрешените обработки и вещества, с цел да разреши използването на растителни протеини, извлечени от пшеница, грах или картофи, за избистряне на сокове.</w:t>
      </w: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В съответствие с Общото споразумение относно делегираните актове</w:t>
      </w:r>
      <w:r>
        <w:rPr>
          <w:rStyle w:val="FootnoteReference"/>
          <w:rFonts w:ascii="Times New Roman" w:hAnsi="Times New Roman" w:cs="Times New Roman"/>
          <w:noProof/>
        </w:rPr>
        <w:footnoteReference w:id="6"/>
      </w:r>
      <w:r>
        <w:rPr>
          <w:rFonts w:ascii="Times New Roman" w:hAnsi="Times New Roman"/>
          <w:noProof/>
        </w:rPr>
        <w:t xml:space="preserve"> са проведени консултации с експерти от държавите членки в рамките на експертната група за селскостопанските пазари, по-специално относно аспектите, попадащи в полето на Общия регламент за ООП. Комисията прие Делегиран регламент (ЕС) № 1040/2014 на 25 юли 2014 г. и уведоми за него Европейския парламент и Съвета. Нито Европейският парламент, нито Съветът предявиха възражения срещу делегирания регламент. След изтичането на двумесечния срок Делегиран регламент (ЕС) № 1040/2014 на Комисията бе публикуван в </w:t>
      </w:r>
      <w:r>
        <w:rPr>
          <w:rFonts w:ascii="Times New Roman" w:hAnsi="Times New Roman"/>
          <w:i/>
          <w:noProof/>
        </w:rPr>
        <w:t>Официален вестник на Европейския съюз</w:t>
      </w:r>
      <w:r>
        <w:rPr>
          <w:rFonts w:ascii="Times New Roman" w:hAnsi="Times New Roman"/>
          <w:noProof/>
        </w:rPr>
        <w:t>, серия L, брой 288 от 2 октомври 2014 г. и влезе в сила на 5 октомври 2014 г.</w:t>
      </w: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Понастоящем Комисията не възнамерява да използва тези правомощия, освен ако в бъдеще техническият прогрес не наложи това.</w:t>
      </w:r>
    </w:p>
    <w:p>
      <w:pPr>
        <w:keepNext/>
        <w:numPr>
          <w:ilvl w:val="1"/>
          <w:numId w:val="1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21" w:name="_Toc20145495"/>
      <w:r>
        <w:rPr>
          <w:rFonts w:ascii="Times New Roman" w:hAnsi="Times New Roman"/>
          <w:b/>
          <w:noProof/>
        </w:rPr>
        <w:t>Заключения</w:t>
      </w:r>
      <w:bookmarkEnd w:id="21"/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Комисията е упражнила правилно делегираните ѝ правомощия.</w:t>
      </w:r>
      <w:r>
        <w:rPr>
          <w:noProof/>
        </w:rPr>
        <w:t xml:space="preserve"> </w:t>
      </w:r>
      <w:r>
        <w:rPr>
          <w:rFonts w:ascii="Times New Roman" w:hAnsi="Times New Roman"/>
          <w:noProof/>
        </w:rPr>
        <w:t>Не може да се изключи необходимостта от използването на тези правомощия в бъдеще.</w:t>
      </w:r>
    </w:p>
    <w:p>
      <w:pPr>
        <w:keepNext/>
        <w:numPr>
          <w:ilvl w:val="0"/>
          <w:numId w:val="1"/>
        </w:numPr>
        <w:tabs>
          <w:tab w:val="left" w:pos="510"/>
        </w:tabs>
        <w:spacing w:before="480" w:after="120" w:line="264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</w:pPr>
      <w:bookmarkStart w:id="22" w:name="_Toc20145496"/>
      <w:r>
        <w:rPr>
          <w:rFonts w:ascii="Times New Roman" w:hAnsi="Times New Roman"/>
          <w:b/>
          <w:smallCaps/>
          <w:noProof/>
        </w:rPr>
        <w:t>Директива 2001/113/ЕО на Съвета от 20 декември 2001 г. относно плодови конфитюри, желета и мармалади и подсладено пюре от кестени, предназначени за консумация от човека</w:t>
      </w:r>
      <w:bookmarkEnd w:id="22"/>
    </w:p>
    <w:p>
      <w:pPr>
        <w:keepNext/>
        <w:numPr>
          <w:ilvl w:val="1"/>
          <w:numId w:val="1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23" w:name="_Toc20145497"/>
      <w:r>
        <w:rPr>
          <w:rFonts w:ascii="Times New Roman" w:hAnsi="Times New Roman"/>
          <w:b/>
          <w:noProof/>
        </w:rPr>
        <w:t>Въведение</w:t>
      </w:r>
      <w:bookmarkEnd w:id="23"/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Директива 2001/113/ЕО на Съвета</w:t>
      </w:r>
      <w:r>
        <w:rPr>
          <w:rFonts w:ascii="Times New Roman" w:hAnsi="Times New Roman" w:cs="Times New Roman"/>
          <w:noProof/>
          <w:vertAlign w:val="superscript"/>
        </w:rPr>
        <w:footnoteReference w:id="7"/>
      </w:r>
      <w:r>
        <w:rPr>
          <w:rFonts w:ascii="Times New Roman" w:hAnsi="Times New Roman"/>
          <w:noProof/>
        </w:rPr>
        <w:t xml:space="preserve"> установява определения и общи правила, уреждащи състава, производствените спецификации и етикетирането на плодови конфитюри, желета и мармалади и подсладено пюре от кестени. </w:t>
      </w: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С член 5 на Комисията се предоставя правомощието да приема делегирани актове за изменение на приложение II и на приложение III, част Б за целите на отчитането на техническия прогрес и промените в съответните международни стандарти. </w:t>
      </w:r>
    </w:p>
    <w:p>
      <w:pPr>
        <w:keepNext/>
        <w:numPr>
          <w:ilvl w:val="1"/>
          <w:numId w:val="1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24" w:name="_Toc20145498"/>
      <w:r>
        <w:rPr>
          <w:rFonts w:ascii="Times New Roman" w:hAnsi="Times New Roman"/>
          <w:b/>
          <w:noProof/>
        </w:rPr>
        <w:t>Правно основание</w:t>
      </w:r>
      <w:bookmarkEnd w:id="24"/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Докладът се изисква съгласно член 6, параграф 2. Съгласно тази разпоредба правомощието да приема делегирани актове, посочено в член 5, се предоставя на Комисията за срок от пет години, считано от 18 ноември 2013 г. Комисията изготвя доклад относно делегирането на правомощия не по-късно от девет месеца преди изтичането на петгодишния срок. Делегирането на правомощия се продължава мълчаливо за срокове с еднаква продължителност, освен ако Европейският парламент или Съветът не възразят срещу подобно продължаване не по-късно от три месеца преди изтичането на всеки срок.</w:t>
      </w:r>
    </w:p>
    <w:p>
      <w:pPr>
        <w:keepNext/>
        <w:numPr>
          <w:ilvl w:val="1"/>
          <w:numId w:val="1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25" w:name="_Toc20145499"/>
      <w:r>
        <w:rPr>
          <w:rFonts w:ascii="Times New Roman" w:hAnsi="Times New Roman"/>
          <w:b/>
          <w:noProof/>
        </w:rPr>
        <w:t>Упражняване на делегирането</w:t>
      </w:r>
      <w:bookmarkEnd w:id="25"/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Комисията не е приела делегирани актове съгласно член 5, тъй като не е установила необходимост от изменение на приложение II или на част Б от приложение III. Комисията не възнамерява да използва това правомощия в близко бъдеще, но не може да се изключи възможността да възникне необходимост от неговото използване.</w:t>
      </w:r>
      <w:r>
        <w:rPr>
          <w:noProof/>
        </w:rPr>
        <w:t xml:space="preserve"> </w:t>
      </w:r>
    </w:p>
    <w:p>
      <w:pPr>
        <w:keepNext/>
        <w:numPr>
          <w:ilvl w:val="1"/>
          <w:numId w:val="1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26" w:name="_Toc20145500"/>
      <w:r>
        <w:rPr>
          <w:rFonts w:ascii="Times New Roman" w:hAnsi="Times New Roman"/>
          <w:b/>
          <w:noProof/>
        </w:rPr>
        <w:t>Заключения</w:t>
      </w:r>
      <w:bookmarkEnd w:id="26"/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Предоставените правомощия не са използвани поради липса на правно задължение или необходимост от тяхното използване.</w:t>
      </w:r>
      <w:r>
        <w:rPr>
          <w:noProof/>
        </w:rPr>
        <w:t xml:space="preserve"> </w:t>
      </w:r>
      <w:r>
        <w:rPr>
          <w:rFonts w:ascii="Times New Roman" w:hAnsi="Times New Roman"/>
          <w:noProof/>
        </w:rPr>
        <w:t>Не може обаче да се изключи необходимостта от използването на тези правомощия в бъдеще.</w:t>
      </w: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Комисията приканва Европейския парламент и Съвета да вземат под внимание настоящия доклад.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17" w:right="1417" w:bottom="1417" w:left="1417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94403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1"/>
      </w:pPr>
      <w:r>
        <w:rPr>
          <w:rStyle w:val="FootnoteReference"/>
        </w:rPr>
        <w:footnoteRef/>
      </w:r>
      <w:r>
        <w:t xml:space="preserve"> </w:t>
      </w:r>
      <w:r>
        <w:tab/>
        <w:t>Директива 2000/36/EO на Европейския парламент и на Съвета от 23 юни 2000 г. относно какаовите и шоколадовите продукти, предназначени за консумация от човека (ОВ L 197, 3.8.2000 г., стр. 19)</w:t>
      </w:r>
    </w:p>
  </w:footnote>
  <w:footnote w:id="2">
    <w:p>
      <w:pPr>
        <w:pStyle w:val="Footnote1"/>
      </w:pPr>
      <w:r>
        <w:rPr>
          <w:rStyle w:val="FootnoteReference"/>
        </w:rPr>
        <w:footnoteRef/>
      </w:r>
      <w:r>
        <w:t xml:space="preserve"> </w:t>
      </w:r>
      <w:r>
        <w:tab/>
        <w:t>Директива 2001/110/ЕО на Съвета от 20 декември 2001 г. относно меда (ОВ L 10, 12.1.2002 г., стр. 47).</w:t>
      </w:r>
    </w:p>
  </w:footnote>
  <w:footnote w:id="3">
    <w:p>
      <w:pPr>
        <w:pStyle w:val="Footnote1"/>
        <w:spacing w:after="0"/>
      </w:pPr>
      <w:r>
        <w:rPr>
          <w:rStyle w:val="FootnoteReference"/>
        </w:rPr>
        <w:footnoteRef/>
      </w:r>
      <w:r>
        <w:t xml:space="preserve"> </w:t>
      </w:r>
      <w:r>
        <w:tab/>
        <w:t>Директива 2001/111/ЕО на Съвета от 20 декември 2001 г. относно някои захари, предназначени за консумация от човека (ОВ L 10, 12.1.2002 г., стр. 53).</w:t>
      </w:r>
    </w:p>
  </w:footnote>
  <w:footnote w:id="4">
    <w:p>
      <w:pPr>
        <w:pStyle w:val="Footnote1"/>
      </w:pPr>
      <w:r>
        <w:rPr>
          <w:rStyle w:val="FootnoteReference"/>
        </w:rPr>
        <w:footnoteRef/>
      </w:r>
      <w:r>
        <w:t xml:space="preserve"> </w:t>
      </w:r>
      <w:r>
        <w:tab/>
        <w:t>Директива 2001/112/ЕО на Съвета от 20 декември 2001 г. относно соковете от плодове и някои сходни продукти, предназначени за консумация от човека (ОВ L 010, 12.1.2002 г., стр. 58).</w:t>
      </w:r>
    </w:p>
  </w:footnote>
  <w:footnote w:id="5">
    <w:p>
      <w:pPr>
        <w:pStyle w:val="Footnote1"/>
      </w:pPr>
      <w:r>
        <w:rPr>
          <w:rStyle w:val="FootnoteReference"/>
        </w:rPr>
        <w:footnoteRef/>
      </w:r>
      <w:r>
        <w:t xml:space="preserve"> </w:t>
      </w:r>
      <w:r>
        <w:tab/>
        <w:t>Делегиран регламент (ЕС) № 1040/2014 на Комисията от 25 юли 2014 г. за изменение на Директива 2001/112/ЕО на Съвета относно соковете от плодове и някои сходни продукти, предназначени за консумация от човека, с цел адаптиране на приложение I към техническия прогрес (ОВ L 288, 2.10.2014 г., стр. 1.).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Общо споразумение относно делегираните актове от 2011 г. (непубликувано).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Директива 2001/113/ЕО на Съвета от 20 декември 2001 г. относно плодови конфитюри, желета и мармалади и подсладено пюре от кестени, предназначени за консумация от човека (ОВ L 10, 12.1.2002 г., стр. 67).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AC6"/>
    <w:multiLevelType w:val="multilevel"/>
    <w:tmpl w:val="FF2AA9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7225C5"/>
    <w:multiLevelType w:val="multilevel"/>
    <w:tmpl w:val="707CD0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0B41A3"/>
    <w:multiLevelType w:val="hybridMultilevel"/>
    <w:tmpl w:val="FE46510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53E58"/>
    <w:multiLevelType w:val="hybridMultilevel"/>
    <w:tmpl w:val="0DDE5CA6"/>
    <w:lvl w:ilvl="0" w:tplc="06321D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07DA8"/>
    <w:multiLevelType w:val="hybridMultilevel"/>
    <w:tmpl w:val="39304FF4"/>
    <w:lvl w:ilvl="0" w:tplc="895E5EE0">
      <w:start w:val="1"/>
      <w:numFmt w:val="lowerRoman"/>
      <w:lvlText w:val="(%1)"/>
      <w:lvlJc w:val="left"/>
      <w:pPr>
        <w:ind w:left="106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70350CD"/>
    <w:multiLevelType w:val="hybridMultilevel"/>
    <w:tmpl w:val="69208A2C"/>
    <w:lvl w:ilvl="0" w:tplc="15F0DA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B1D1E"/>
    <w:multiLevelType w:val="hybridMultilevel"/>
    <w:tmpl w:val="97EE051E"/>
    <w:lvl w:ilvl="0" w:tplc="5C1884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B1C5C"/>
    <w:multiLevelType w:val="hybridMultilevel"/>
    <w:tmpl w:val="B78041F0"/>
    <w:lvl w:ilvl="0" w:tplc="EFEE19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D1A6C"/>
    <w:multiLevelType w:val="hybridMultilevel"/>
    <w:tmpl w:val="4D10B944"/>
    <w:lvl w:ilvl="0" w:tplc="D17894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84E11"/>
    <w:multiLevelType w:val="hybridMultilevel"/>
    <w:tmpl w:val="04D25B18"/>
    <w:lvl w:ilvl="0" w:tplc="0D8621C2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137BD"/>
    <w:multiLevelType w:val="hybridMultilevel"/>
    <w:tmpl w:val="362CB0A8"/>
    <w:lvl w:ilvl="0" w:tplc="D408F55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64574"/>
    <w:multiLevelType w:val="hybridMultilevel"/>
    <w:tmpl w:val="7116CE70"/>
    <w:lvl w:ilvl="0" w:tplc="B73851C2">
      <w:start w:val="1"/>
      <w:numFmt w:val="lowerLetter"/>
      <w:pStyle w:val="Listparagraph2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2A6E81"/>
    <w:multiLevelType w:val="hybridMultilevel"/>
    <w:tmpl w:val="3160A75A"/>
    <w:lvl w:ilvl="0" w:tplc="080C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DD3630"/>
    <w:multiLevelType w:val="hybridMultilevel"/>
    <w:tmpl w:val="793674A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B5D0C"/>
    <w:multiLevelType w:val="hybridMultilevel"/>
    <w:tmpl w:val="C960FCF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E7A42"/>
    <w:multiLevelType w:val="hybridMultilevel"/>
    <w:tmpl w:val="20A603A0"/>
    <w:lvl w:ilvl="0" w:tplc="4DEE244E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762BB"/>
    <w:multiLevelType w:val="hybridMultilevel"/>
    <w:tmpl w:val="1D42E50C"/>
    <w:lvl w:ilvl="0" w:tplc="056C4778">
      <w:start w:val="1"/>
      <w:numFmt w:val="upperLetter"/>
      <w:lvlText w:val="(%1)"/>
      <w:lvlJc w:val="left"/>
      <w:pPr>
        <w:ind w:left="2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00" w:hanging="360"/>
      </w:pPr>
    </w:lvl>
    <w:lvl w:ilvl="2" w:tplc="0809001B" w:tentative="1">
      <w:start w:val="1"/>
      <w:numFmt w:val="lowerRoman"/>
      <w:lvlText w:val="%3."/>
      <w:lvlJc w:val="right"/>
      <w:pPr>
        <w:ind w:left="3520" w:hanging="180"/>
      </w:pPr>
    </w:lvl>
    <w:lvl w:ilvl="3" w:tplc="0809000F" w:tentative="1">
      <w:start w:val="1"/>
      <w:numFmt w:val="decimal"/>
      <w:lvlText w:val="%4."/>
      <w:lvlJc w:val="left"/>
      <w:pPr>
        <w:ind w:left="4240" w:hanging="360"/>
      </w:pPr>
    </w:lvl>
    <w:lvl w:ilvl="4" w:tplc="08090019" w:tentative="1">
      <w:start w:val="1"/>
      <w:numFmt w:val="lowerLetter"/>
      <w:lvlText w:val="%5."/>
      <w:lvlJc w:val="left"/>
      <w:pPr>
        <w:ind w:left="4960" w:hanging="360"/>
      </w:pPr>
    </w:lvl>
    <w:lvl w:ilvl="5" w:tplc="0809001B" w:tentative="1">
      <w:start w:val="1"/>
      <w:numFmt w:val="lowerRoman"/>
      <w:lvlText w:val="%6."/>
      <w:lvlJc w:val="right"/>
      <w:pPr>
        <w:ind w:left="5680" w:hanging="180"/>
      </w:pPr>
    </w:lvl>
    <w:lvl w:ilvl="6" w:tplc="0809000F" w:tentative="1">
      <w:start w:val="1"/>
      <w:numFmt w:val="decimal"/>
      <w:lvlText w:val="%7."/>
      <w:lvlJc w:val="left"/>
      <w:pPr>
        <w:ind w:left="6400" w:hanging="360"/>
      </w:pPr>
    </w:lvl>
    <w:lvl w:ilvl="7" w:tplc="08090019" w:tentative="1">
      <w:start w:val="1"/>
      <w:numFmt w:val="lowerLetter"/>
      <w:lvlText w:val="%8."/>
      <w:lvlJc w:val="left"/>
      <w:pPr>
        <w:ind w:left="7120" w:hanging="360"/>
      </w:pPr>
    </w:lvl>
    <w:lvl w:ilvl="8" w:tplc="08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7">
    <w:nsid w:val="7C65145E"/>
    <w:multiLevelType w:val="multilevel"/>
    <w:tmpl w:val="D3944FC2"/>
    <w:lvl w:ilvl="0">
      <w:start w:val="1"/>
      <w:numFmt w:val="decimal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firstLine="0"/>
      </w:pPr>
      <w:rPr>
        <w:rFonts w:hint="default"/>
      </w:rPr>
    </w:lvl>
  </w:abstractNum>
  <w:abstractNum w:abstractNumId="18">
    <w:nsid w:val="7DAC792C"/>
    <w:multiLevelType w:val="multilevel"/>
    <w:tmpl w:val="707CD0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7"/>
    <w:lvlOverride w:ilvl="0">
      <w:startOverride w:val="3"/>
    </w:lvlOverride>
    <w:lvlOverride w:ilvl="1">
      <w:startOverride w:val="1"/>
    </w:lvlOverride>
  </w:num>
  <w:num w:numId="3">
    <w:abstractNumId w:val="9"/>
  </w:num>
  <w:num w:numId="4">
    <w:abstractNumId w:val="17"/>
    <w:lvlOverride w:ilvl="0">
      <w:startOverride w:val="2"/>
    </w:lvlOverride>
    <w:lvlOverride w:ilvl="1">
      <w:startOverride w:val="4"/>
    </w:lvlOverride>
  </w:num>
  <w:num w:numId="5">
    <w:abstractNumId w:val="12"/>
  </w:num>
  <w:num w:numId="6">
    <w:abstractNumId w:val="10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</w:num>
  <w:num w:numId="32">
    <w:abstractNumId w:val="16"/>
    <w:lvlOverride w:ilvl="0">
      <w:lvl w:ilvl="0" w:tplc="056C4778">
        <w:start w:val="1"/>
        <w:numFmt w:val="upperLetter"/>
        <w:lvlText w:val="(%1)"/>
        <w:lvlJc w:val="left"/>
        <w:pPr>
          <w:ind w:left="1021" w:hanging="681"/>
        </w:pPr>
        <w:rPr>
          <w:rFonts w:hint="default"/>
        </w:rPr>
      </w:lvl>
    </w:lvlOverride>
    <w:lvlOverride w:ilvl="1">
      <w:lvl w:ilvl="1" w:tplc="08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4"/>
  </w:num>
  <w:num w:numId="34">
    <w:abstractNumId w:val="14"/>
  </w:num>
  <w:num w:numId="35">
    <w:abstractNumId w:val="2"/>
  </w:num>
  <w:num w:numId="36">
    <w:abstractNumId w:val="5"/>
  </w:num>
  <w:num w:numId="37">
    <w:abstractNumId w:val="15"/>
  </w:num>
  <w:num w:numId="38">
    <w:abstractNumId w:val="8"/>
  </w:num>
  <w:num w:numId="39">
    <w:abstractNumId w:val="3"/>
  </w:num>
  <w:num w:numId="40">
    <w:abstractNumId w:val="7"/>
  </w:num>
  <w:num w:numId="41">
    <w:abstractNumId w:val="13"/>
  </w:num>
  <w:num w:numId="42">
    <w:abstractNumId w:val="6"/>
  </w:num>
  <w:num w:numId="43">
    <w:abstractNumId w:val="0"/>
  </w:num>
  <w:num w:numId="44">
    <w:abstractNumId w:val="1"/>
  </w:num>
  <w:num w:numId="45">
    <w:abstractNumId w:val="17"/>
  </w:num>
  <w:num w:numId="46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510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25F81391-BA63-4D47-8B9C-9D4244FE9E15"/>
    <w:docVar w:name="LW_COVERPAGE_TYPE" w:val="1"/>
    <w:docVar w:name="LW_CROSSREFERENCE" w:val="&lt;UNUSED&gt;"/>
    <w:docVar w:name="LW_DocType" w:val="NORMAL"/>
    <w:docVar w:name="LW_EMISSION" w:val="27.9.2019"/>
    <w:docVar w:name="LW_EMISSION_ISODATE" w:val="2019-09-27"/>
    <w:docVar w:name="LW_EMISSION_LOCATION" w:val="BRX"/>
    <w:docVar w:name="LW_EMISSION_PREFIX" w:val="Брюксел, "/>
    <w:docVar w:name="LW_EMISSION_SUFFIX" w:val=" \u1075?."/>
    <w:docVar w:name="LW_ID_DOCTYPE_NONLW" w:val="CP-00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9) 43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FMT:Bold&gt;\u1086?\u1090?\u1085?\u1086?\u1089?\u1085?\u1086? \u1091?\u1087?\u1088?\u1072?\u1078?\u1085?\u1103?\u1074?\u1072?\u1085?\u1077?\u1090?\u1086? \u1085?\u1072? \u1087?\u1088?\u1072?\u1074?\u1086?\u1084?\u1086?\u1097?\u1080?\u1077?\u1090?\u1086? \u1079?\u1072? \u1087?\u1088?\u1080?\u1077?\u1084?\u1072?\u1085?\u1077? \u1085?\u1072? \u1076?\u1077?\u1083?\u1077?\u1075?\u1080?\u1088?\u1072?\u1085?\u1080? \u1072?\u1082?\u1090?\u1086?\u1074?\u1077?, \u1087?\u1088?\u1077?\u1076?\u1086?\u1089?\u1090?\u1072?\u1074?\u1077?\u1085?\u1086? \u1085?\u1072? \u1050?\u1086?\u1084?\u1080?\u1089?\u1080?\u1103?\u1090?\u1072? \u1087?\u1086? \u1089?\u1080?\u1083?\u1072?\u1090?\u1072? \u1085?\u1072? \u1044?\u1080?\u1088?\u1077?\u1082?\u1090?\u1080?\u1074?\u1072? 2000/36/\u1045?\u1054? \u1085?\u1072? \u1045?\u1074?\u1088?\u1086?\u1087?\u1077?\u1081?\u1089?\u1082?\u1080?\u1103? \u1087?\u1072?\u1088?\u1083?\u1072?\u1084?\u1077?\u1085?\u1090? \u1080? \u1085?\u1072? \u1057?\u1098?\u1074?\u1077?\u1090?\u1072? \u1086?\u1090? 23 \u1102?\u1085?\u1080? 2000 \u1075?. \u1086?\u1090?\u1085?\u1086?\u1089?\u1085?\u1086? \u1082?\u1072?\u1082?\u1072?\u1086?\u1074?\u1080?\u1090?\u1077? \u1080? \u1096?\u1086?\u1082?\u1086?\u1083?\u1072?\u1076?\u1086?\u1074?\u1080?\u1090?\u1077? \u1087?\u1088?\u1086?\u1076?\u1091?\u1082?\u1090?\u1080?, \u1087?\u1088?\u1077?\u1076?\u1085?\u1072?\u1079?\u1085?\u1072?\u1095?\u1077?\u1085?\u1080? \u1079?\u1072? \u1082?\u1086?\u1085?\u1089?\u1091?\u1084?\u1072?\u1094?\u1080?\u1103? \u1086?\u1090? \u1095?\u1086?\u1074?\u1077?\u1082?\u1072?, \u1044?\u1080?\u1088?\u1077?\u1082?\u1090?\u1080?\u1074?\u1072? 2001/110/\u1045?\u1054? \u1085?\u1072? \u1057?\u1098?\u1074?\u1077?\u1090?\u1072? \u1086?\u1090? 20 \u1076?\u1077?\u1082?\u1077?\u1084?\u1074?\u1088?\u1080? 2001 \u1075?. \u1086?\u1090?\u1085?\u1086?\u1089?\u1085?\u1086? \u1084?\u1077?\u1076?\u1072?, \u1044?\u1080?\u1088?\u1077?\u1082?\u1090?\u1080?\u1074?\u1072? 2001/111/\u1045?\u1054? \u1085?\u1072? \u1057?\u1098?\u1074?\u1077?\u1090?\u1072? \u1086?\u1090? 20 \u1076?\u1077?\u1082?\u1077?\u1084?\u1074?\u1088?\u1080? 2001 \u1075?. \u1086?\u1090?\u1085?\u1086?\u1089?\u1085?\u1086? \u1085?\u1103?\u1082?\u1086?\u1080? \u1079?\u1072?\u1093?\u1072?\u1088?\u1080?, \u1087?\u1088?\u1077?\u1076?\u1085?\u1072?\u1079?\u1085?\u1072?\u1095?\u1077?\u1085?\u1080? \u1079?\u1072? \u1082?\u1086?\u1085?\u1089?\u1091?\u1084?\u1072?\u1094?\u1080?\u1103? \u1086?\u1090? \u1095?\u1086?\u1074?\u1077?\u1082?\u1072?, \u1044?\u1080?\u1088?\u1077?\u1082?\u1090?\u1080?\u1074?\u1072? 2001/112/\u1045?\u1054? \u1085?\u1072? \u1057?\u1098?\u1074?\u1077?\u1090?\u1072? \u1086?\u1090? 20 \u1076?\u1077?\u1082?\u1077?\u1084?\u1074?\u1088?\u1080? 2001 \u1075?. \u1086?\u1090?\u1085?\u1086?\u1089?\u1085?\u1086? \u1089?\u1086?\u1082?\u1086?\u1074?\u1077?\u1090?\u1077? \u1086?\u1090? \u1087?\u1083?\u1086?\u1076?\u1086?\u1074?\u1077? \u1080? \u1085?\u1103?\u1082?\u1086?\u1080? \u1089?\u1093?\u1086?\u1076?\u1085?\u1080? \u1087?\u1088?\u1086?\u1076?\u1091?\u1082?\u1090?\u1080?, \u1087?\u1088?\u1077?\u1076?\u1085?\u1072?\u1079?\u1085?\u1072?\u1095?\u1077?\u1085?\u1080? \u1079?\u1072? \u1082?\u1086?\u1085?\u1089?\u1091?\u1084?\u1072?\u1094?\u1080?\u1103? \u1086?\u1090? \u1095?\u1086?\u1074?\u1077?\u1082?\u1072?, \u1044?\u1080?\u1088?\u1077?\u1082?\u1090?\u1080?\u1074?\u1072? 2001/113/\u1045?\u1054? \u1085?\u1072? \u1057?\u1098?\u1074?\u1077?\u1090?\u1072? \u1086?\u1090? 20 \u1076?\u1077?\u1082?\u1077?\u1084?\u1074?\u1088?\u1080? 2001 \u1075?. \u1086?\u1090?\u1085?\u1086?\u1089?\u1085?\u1086? \u1087?\u1083?\u1086?\u1076?\u1086?\u1074?\u1080? \u1082?\u1086?\u1085?\u1092?\u1080?\u1090?\u1102?\u1088?\u1080?, \u1078?\u1077?\u1083?\u1077?\u1090?\u1072? \u1080? \u1084?\u1072?\u1088?\u1084?\u1072?\u1083?\u1072?\u1076?\u1080? \u1080? \u1087?\u1086?\u1076?\u1089?\u1083?\u1072?\u1076?\u1077?\u1085?\u1086? \u1087?\u1102?\u1088?\u1077? \u1086?\u1090? \u1082?\u1077?\u1089?\u1090?\u1077?\u1085?\u1080?, \u1087?\u1088?\u1077?\u1076?\u1085?\u1072?\u1079?\u1085?\u1072?\u1095?\u1077?\u1085?\u1080? \u1079?\u1072? \u1082?\u1086?\u1085?\u1089?\u1091?\u1084?\u1072?\u1094?\u1080?\u1103? \u1086?\u1090? \u1095?\u1086?\u1074?\u1077?\u1082?\u1072?&lt;/FMT&gt;_x000b_"/>
    <w:docVar w:name="LW_TYPE.DOC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0" w:unhideWhenUsed="0" w:qFormat="1"/>
    <w:lsdException w:name="heading 2" w:uiPriority="90" w:qFormat="1"/>
    <w:lsdException w:name="heading 3" w:uiPriority="90" w:qFormat="1"/>
    <w:lsdException w:name="heading 4" w:uiPriority="9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0"/>
    <w:qFormat/>
    <w:pPr>
      <w:keepNext/>
      <w:numPr>
        <w:numId w:val="1"/>
      </w:numPr>
      <w:tabs>
        <w:tab w:val="left" w:pos="510"/>
      </w:tabs>
      <w:spacing w:before="480" w:after="120" w:line="264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0"/>
    <w:qFormat/>
    <w:pPr>
      <w:keepNext/>
      <w:numPr>
        <w:ilvl w:val="1"/>
        <w:numId w:val="1"/>
      </w:numPr>
      <w:tabs>
        <w:tab w:val="left" w:pos="737"/>
      </w:tabs>
      <w:spacing w:before="420" w:after="120" w:line="264" w:lineRule="auto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uiPriority w:val="90"/>
    <w:qFormat/>
    <w:pPr>
      <w:keepNext/>
      <w:numPr>
        <w:ilvl w:val="2"/>
        <w:numId w:val="1"/>
      </w:numPr>
      <w:tabs>
        <w:tab w:val="left" w:pos="935"/>
      </w:tabs>
      <w:spacing w:before="360" w:after="120" w:line="264" w:lineRule="auto"/>
      <w:jc w:val="both"/>
      <w:outlineLvl w:val="2"/>
    </w:pPr>
    <w:rPr>
      <w:rFonts w:ascii="Times New Roman" w:eastAsia="Times New Roman" w:hAnsi="Times New Roman" w:cs="Times New Roman"/>
      <w:b/>
      <w:sz w:val="26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0"/>
    <w:qFormat/>
    <w:pPr>
      <w:keepNext/>
      <w:numPr>
        <w:ilvl w:val="3"/>
        <w:numId w:val="1"/>
      </w:numPr>
      <w:tabs>
        <w:tab w:val="left" w:pos="1049"/>
      </w:tabs>
      <w:spacing w:before="360" w:after="120" w:line="264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eastAsia="en-GB"/>
    </w:rPr>
  </w:style>
  <w:style w:type="paragraph" w:styleId="Heading5">
    <w:name w:val="heading 5"/>
    <w:basedOn w:val="Normal"/>
    <w:next w:val="Normal"/>
    <w:link w:val="Heading5Char"/>
    <w:semiHidden/>
    <w:pPr>
      <w:keepNext/>
      <w:numPr>
        <w:ilvl w:val="4"/>
        <w:numId w:val="1"/>
      </w:numPr>
      <w:spacing w:after="120" w:line="264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6">
    <w:name w:val="heading 6"/>
    <w:basedOn w:val="Normal"/>
    <w:next w:val="Normal"/>
    <w:link w:val="Heading6Char"/>
    <w:semiHidden/>
    <w:pPr>
      <w:keepNext/>
      <w:numPr>
        <w:ilvl w:val="5"/>
        <w:numId w:val="1"/>
      </w:numPr>
      <w:spacing w:after="120" w:line="264" w:lineRule="auto"/>
      <w:jc w:val="both"/>
      <w:outlineLvl w:val="5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7">
    <w:name w:val="heading 7"/>
    <w:basedOn w:val="Normal"/>
    <w:next w:val="Normal"/>
    <w:link w:val="Heading7Char"/>
    <w:semiHidden/>
    <w:pPr>
      <w:keepNext/>
      <w:numPr>
        <w:ilvl w:val="6"/>
        <w:numId w:val="1"/>
      </w:numPr>
      <w:spacing w:after="120" w:line="264" w:lineRule="auto"/>
      <w:jc w:val="both"/>
      <w:outlineLvl w:val="6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8">
    <w:name w:val="heading 8"/>
    <w:basedOn w:val="Normal"/>
    <w:next w:val="Normal"/>
    <w:link w:val="Heading8Char"/>
    <w:semiHidden/>
    <w:pPr>
      <w:keepNext/>
      <w:numPr>
        <w:ilvl w:val="7"/>
        <w:numId w:val="1"/>
      </w:numPr>
      <w:spacing w:after="120" w:line="264" w:lineRule="auto"/>
      <w:jc w:val="both"/>
      <w:outlineLvl w:val="7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9">
    <w:name w:val="heading 9"/>
    <w:basedOn w:val="Normal"/>
    <w:next w:val="Normal"/>
    <w:link w:val="Heading9Char"/>
    <w:semiHidden/>
    <w:pPr>
      <w:keepNext/>
      <w:numPr>
        <w:ilvl w:val="8"/>
        <w:numId w:val="1"/>
      </w:numPr>
      <w:spacing w:after="120" w:line="264" w:lineRule="auto"/>
      <w:jc w:val="both"/>
      <w:outlineLvl w:val="8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2C8F6C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0"/>
    <w:rPr>
      <w:rFonts w:ascii="Times New Roman" w:eastAsia="Times New Roman" w:hAnsi="Times New Roman" w:cs="Times New Roman"/>
      <w:b/>
      <w:smallCaps/>
      <w:sz w:val="24"/>
      <w:szCs w:val="24"/>
      <w:lang w:val="bg-BG" w:eastAsia="en-GB"/>
    </w:rPr>
  </w:style>
  <w:style w:type="character" w:customStyle="1" w:styleId="Heading2Char">
    <w:name w:val="Heading 2 Char"/>
    <w:basedOn w:val="DefaultParagraphFont"/>
    <w:link w:val="Heading2"/>
    <w:uiPriority w:val="90"/>
    <w:rPr>
      <w:rFonts w:ascii="Times New Roman" w:eastAsia="Times New Roman" w:hAnsi="Times New Roman" w:cs="Times New Roman"/>
      <w:b/>
      <w:sz w:val="26"/>
      <w:szCs w:val="20"/>
      <w:lang w:val="bg-BG" w:eastAsia="en-GB"/>
    </w:rPr>
  </w:style>
  <w:style w:type="character" w:customStyle="1" w:styleId="Heading3Char">
    <w:name w:val="Heading 3 Char"/>
    <w:basedOn w:val="DefaultParagraphFont"/>
    <w:link w:val="Heading3"/>
    <w:uiPriority w:val="90"/>
    <w:rPr>
      <w:rFonts w:ascii="Times New Roman" w:eastAsia="Times New Roman" w:hAnsi="Times New Roman" w:cs="Times New Roman"/>
      <w:b/>
      <w:sz w:val="26"/>
      <w:szCs w:val="20"/>
      <w:lang w:val="bg-BG" w:eastAsia="en-GB"/>
    </w:rPr>
  </w:style>
  <w:style w:type="character" w:customStyle="1" w:styleId="Heading4Char">
    <w:name w:val="Heading 4 Char"/>
    <w:basedOn w:val="DefaultParagraphFont"/>
    <w:link w:val="Heading4"/>
    <w:uiPriority w:val="90"/>
    <w:rPr>
      <w:rFonts w:ascii="Times New Roman" w:eastAsia="Times New Roman" w:hAnsi="Times New Roman" w:cs="Times New Roman"/>
      <w:b/>
      <w:szCs w:val="20"/>
      <w:lang w:val="bg-BG" w:eastAsia="en-GB"/>
    </w:rPr>
  </w:style>
  <w:style w:type="character" w:customStyle="1" w:styleId="Heading5Char">
    <w:name w:val="Heading 5 Char"/>
    <w:basedOn w:val="DefaultParagraphFont"/>
    <w:link w:val="Heading5"/>
    <w:semiHidden/>
    <w:rPr>
      <w:rFonts w:ascii="Times New Roman" w:eastAsia="Times New Roman" w:hAnsi="Times New Roman" w:cs="Times New Roman"/>
      <w:szCs w:val="20"/>
      <w:lang w:val="bg-BG" w:eastAsia="en-GB"/>
    </w:rPr>
  </w:style>
  <w:style w:type="character" w:customStyle="1" w:styleId="Heading6Char">
    <w:name w:val="Heading 6 Char"/>
    <w:basedOn w:val="DefaultParagraphFont"/>
    <w:link w:val="Heading6"/>
    <w:semiHidden/>
    <w:rPr>
      <w:rFonts w:ascii="Times New Roman" w:eastAsia="Times New Roman" w:hAnsi="Times New Roman" w:cs="Times New Roman"/>
      <w:szCs w:val="20"/>
      <w:lang w:val="bg-BG" w:eastAsia="en-GB"/>
    </w:rPr>
  </w:style>
  <w:style w:type="character" w:customStyle="1" w:styleId="Heading7Char">
    <w:name w:val="Heading 7 Char"/>
    <w:basedOn w:val="DefaultParagraphFont"/>
    <w:link w:val="Heading7"/>
    <w:semiHidden/>
    <w:rPr>
      <w:rFonts w:ascii="Times New Roman" w:eastAsia="Times New Roman" w:hAnsi="Times New Roman" w:cs="Times New Roman"/>
      <w:szCs w:val="20"/>
      <w:lang w:val="bg-BG" w:eastAsia="en-GB"/>
    </w:rPr>
  </w:style>
  <w:style w:type="character" w:customStyle="1" w:styleId="Heading8Char">
    <w:name w:val="Heading 8 Char"/>
    <w:basedOn w:val="DefaultParagraphFont"/>
    <w:link w:val="Heading8"/>
    <w:semiHidden/>
    <w:rPr>
      <w:rFonts w:ascii="Times New Roman" w:eastAsia="Times New Roman" w:hAnsi="Times New Roman" w:cs="Times New Roman"/>
      <w:szCs w:val="20"/>
      <w:lang w:val="bg-BG" w:eastAsia="en-GB"/>
    </w:rPr>
  </w:style>
  <w:style w:type="character" w:customStyle="1" w:styleId="Heading9Char">
    <w:name w:val="Heading 9 Char"/>
    <w:basedOn w:val="DefaultParagraphFont"/>
    <w:link w:val="Heading9"/>
    <w:semiHidden/>
    <w:rPr>
      <w:rFonts w:ascii="Times New Roman" w:eastAsia="Times New Roman" w:hAnsi="Times New Roman" w:cs="Times New Roman"/>
      <w:szCs w:val="20"/>
      <w:lang w:val="bg-BG" w:eastAsia="en-GB"/>
    </w:rPr>
  </w:style>
  <w:style w:type="paragraph" w:styleId="FootnoteText">
    <w:name w:val="footnote text"/>
    <w:basedOn w:val="Normal"/>
    <w:link w:val="FootnoteTextChar"/>
    <w:semiHidden/>
    <w:pPr>
      <w:tabs>
        <w:tab w:val="left" w:pos="454"/>
      </w:tabs>
      <w:spacing w:after="120" w:line="264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val="bg-BG" w:eastAsia="en-GB"/>
    </w:rPr>
  </w:style>
  <w:style w:type="paragraph" w:customStyle="1" w:styleId="NumPar1">
    <w:name w:val="NumPar 1"/>
    <w:basedOn w:val="Heading1"/>
    <w:uiPriority w:val="90"/>
    <w:qFormat/>
    <w:pPr>
      <w:keepNext w:val="0"/>
      <w:tabs>
        <w:tab w:val="clear" w:pos="397"/>
        <w:tab w:val="clear" w:pos="510"/>
        <w:tab w:val="left" w:pos="227"/>
      </w:tabs>
      <w:spacing w:before="0"/>
      <w:ind w:left="0" w:firstLine="0"/>
      <w:outlineLvl w:val="9"/>
    </w:pPr>
    <w:rPr>
      <w:b w:val="0"/>
      <w:smallCaps w:val="0"/>
      <w:sz w:val="22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Numpa">
    <w:name w:val="Num pa"/>
    <w:basedOn w:val="Normal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1">
    <w:name w:val="Normal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super">
    <w:name w:val="super"/>
    <w:basedOn w:val="DefaultParagraphFont"/>
  </w:style>
  <w:style w:type="character" w:customStyle="1" w:styleId="expanded">
    <w:name w:val="expanded"/>
    <w:basedOn w:val="DefaultParagraphFont"/>
  </w:style>
  <w:style w:type="paragraph" w:customStyle="1" w:styleId="Normal2">
    <w:name w:val="Normal 2"/>
    <w:basedOn w:val="Numpa"/>
    <w:qFormat/>
    <w:pPr>
      <w:tabs>
        <w:tab w:val="left" w:pos="340"/>
        <w:tab w:val="left" w:pos="510"/>
        <w:tab w:val="left" w:pos="1021"/>
      </w:tabs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istparagraph2">
    <w:name w:val="List paragraph 2"/>
    <w:basedOn w:val="ListParagraph"/>
    <w:qFormat/>
    <w:pPr>
      <w:numPr>
        <w:numId w:val="19"/>
      </w:numPr>
      <w:tabs>
        <w:tab w:val="left" w:pos="340"/>
        <w:tab w:val="left" w:pos="510"/>
        <w:tab w:val="left" w:pos="1021"/>
      </w:tabs>
      <w:spacing w:after="120"/>
      <w:jc w:val="both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Footnote1">
    <w:name w:val="Footnote 1"/>
    <w:basedOn w:val="NormalWeb"/>
    <w:qFormat/>
    <w:pPr>
      <w:spacing w:before="0" w:beforeAutospacing="0" w:after="75" w:afterAutospacing="0"/>
      <w:ind w:left="454" w:hanging="454"/>
      <w:jc w:val="both"/>
    </w:pPr>
    <w:rPr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numPr>
        <w:numId w:val="0"/>
      </w:numPr>
      <w:tabs>
        <w:tab w:val="clear" w:pos="510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0" w:unhideWhenUsed="0" w:qFormat="1"/>
    <w:lsdException w:name="heading 2" w:uiPriority="90" w:qFormat="1"/>
    <w:lsdException w:name="heading 3" w:uiPriority="90" w:qFormat="1"/>
    <w:lsdException w:name="heading 4" w:uiPriority="9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0"/>
    <w:qFormat/>
    <w:pPr>
      <w:keepNext/>
      <w:numPr>
        <w:numId w:val="1"/>
      </w:numPr>
      <w:tabs>
        <w:tab w:val="left" w:pos="510"/>
      </w:tabs>
      <w:spacing w:before="480" w:after="120" w:line="264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0"/>
    <w:qFormat/>
    <w:pPr>
      <w:keepNext/>
      <w:numPr>
        <w:ilvl w:val="1"/>
        <w:numId w:val="1"/>
      </w:numPr>
      <w:tabs>
        <w:tab w:val="left" w:pos="737"/>
      </w:tabs>
      <w:spacing w:before="420" w:after="120" w:line="264" w:lineRule="auto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uiPriority w:val="90"/>
    <w:qFormat/>
    <w:pPr>
      <w:keepNext/>
      <w:numPr>
        <w:ilvl w:val="2"/>
        <w:numId w:val="1"/>
      </w:numPr>
      <w:tabs>
        <w:tab w:val="left" w:pos="935"/>
      </w:tabs>
      <w:spacing w:before="360" w:after="120" w:line="264" w:lineRule="auto"/>
      <w:jc w:val="both"/>
      <w:outlineLvl w:val="2"/>
    </w:pPr>
    <w:rPr>
      <w:rFonts w:ascii="Times New Roman" w:eastAsia="Times New Roman" w:hAnsi="Times New Roman" w:cs="Times New Roman"/>
      <w:b/>
      <w:sz w:val="26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0"/>
    <w:qFormat/>
    <w:pPr>
      <w:keepNext/>
      <w:numPr>
        <w:ilvl w:val="3"/>
        <w:numId w:val="1"/>
      </w:numPr>
      <w:tabs>
        <w:tab w:val="left" w:pos="1049"/>
      </w:tabs>
      <w:spacing w:before="360" w:after="120" w:line="264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eastAsia="en-GB"/>
    </w:rPr>
  </w:style>
  <w:style w:type="paragraph" w:styleId="Heading5">
    <w:name w:val="heading 5"/>
    <w:basedOn w:val="Normal"/>
    <w:next w:val="Normal"/>
    <w:link w:val="Heading5Char"/>
    <w:semiHidden/>
    <w:pPr>
      <w:keepNext/>
      <w:numPr>
        <w:ilvl w:val="4"/>
        <w:numId w:val="1"/>
      </w:numPr>
      <w:spacing w:after="120" w:line="264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6">
    <w:name w:val="heading 6"/>
    <w:basedOn w:val="Normal"/>
    <w:next w:val="Normal"/>
    <w:link w:val="Heading6Char"/>
    <w:semiHidden/>
    <w:pPr>
      <w:keepNext/>
      <w:numPr>
        <w:ilvl w:val="5"/>
        <w:numId w:val="1"/>
      </w:numPr>
      <w:spacing w:after="120" w:line="264" w:lineRule="auto"/>
      <w:jc w:val="both"/>
      <w:outlineLvl w:val="5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7">
    <w:name w:val="heading 7"/>
    <w:basedOn w:val="Normal"/>
    <w:next w:val="Normal"/>
    <w:link w:val="Heading7Char"/>
    <w:semiHidden/>
    <w:pPr>
      <w:keepNext/>
      <w:numPr>
        <w:ilvl w:val="6"/>
        <w:numId w:val="1"/>
      </w:numPr>
      <w:spacing w:after="120" w:line="264" w:lineRule="auto"/>
      <w:jc w:val="both"/>
      <w:outlineLvl w:val="6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8">
    <w:name w:val="heading 8"/>
    <w:basedOn w:val="Normal"/>
    <w:next w:val="Normal"/>
    <w:link w:val="Heading8Char"/>
    <w:semiHidden/>
    <w:pPr>
      <w:keepNext/>
      <w:numPr>
        <w:ilvl w:val="7"/>
        <w:numId w:val="1"/>
      </w:numPr>
      <w:spacing w:after="120" w:line="264" w:lineRule="auto"/>
      <w:jc w:val="both"/>
      <w:outlineLvl w:val="7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9">
    <w:name w:val="heading 9"/>
    <w:basedOn w:val="Normal"/>
    <w:next w:val="Normal"/>
    <w:link w:val="Heading9Char"/>
    <w:semiHidden/>
    <w:pPr>
      <w:keepNext/>
      <w:numPr>
        <w:ilvl w:val="8"/>
        <w:numId w:val="1"/>
      </w:numPr>
      <w:spacing w:after="120" w:line="264" w:lineRule="auto"/>
      <w:jc w:val="both"/>
      <w:outlineLvl w:val="8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2C8F6C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0"/>
    <w:rPr>
      <w:rFonts w:ascii="Times New Roman" w:eastAsia="Times New Roman" w:hAnsi="Times New Roman" w:cs="Times New Roman"/>
      <w:b/>
      <w:smallCaps/>
      <w:sz w:val="24"/>
      <w:szCs w:val="24"/>
      <w:lang w:val="bg-BG" w:eastAsia="en-GB"/>
    </w:rPr>
  </w:style>
  <w:style w:type="character" w:customStyle="1" w:styleId="Heading2Char">
    <w:name w:val="Heading 2 Char"/>
    <w:basedOn w:val="DefaultParagraphFont"/>
    <w:link w:val="Heading2"/>
    <w:uiPriority w:val="90"/>
    <w:rPr>
      <w:rFonts w:ascii="Times New Roman" w:eastAsia="Times New Roman" w:hAnsi="Times New Roman" w:cs="Times New Roman"/>
      <w:b/>
      <w:sz w:val="26"/>
      <w:szCs w:val="20"/>
      <w:lang w:val="bg-BG" w:eastAsia="en-GB"/>
    </w:rPr>
  </w:style>
  <w:style w:type="character" w:customStyle="1" w:styleId="Heading3Char">
    <w:name w:val="Heading 3 Char"/>
    <w:basedOn w:val="DefaultParagraphFont"/>
    <w:link w:val="Heading3"/>
    <w:uiPriority w:val="90"/>
    <w:rPr>
      <w:rFonts w:ascii="Times New Roman" w:eastAsia="Times New Roman" w:hAnsi="Times New Roman" w:cs="Times New Roman"/>
      <w:b/>
      <w:sz w:val="26"/>
      <w:szCs w:val="20"/>
      <w:lang w:val="bg-BG" w:eastAsia="en-GB"/>
    </w:rPr>
  </w:style>
  <w:style w:type="character" w:customStyle="1" w:styleId="Heading4Char">
    <w:name w:val="Heading 4 Char"/>
    <w:basedOn w:val="DefaultParagraphFont"/>
    <w:link w:val="Heading4"/>
    <w:uiPriority w:val="90"/>
    <w:rPr>
      <w:rFonts w:ascii="Times New Roman" w:eastAsia="Times New Roman" w:hAnsi="Times New Roman" w:cs="Times New Roman"/>
      <w:b/>
      <w:szCs w:val="20"/>
      <w:lang w:val="bg-BG" w:eastAsia="en-GB"/>
    </w:rPr>
  </w:style>
  <w:style w:type="character" w:customStyle="1" w:styleId="Heading5Char">
    <w:name w:val="Heading 5 Char"/>
    <w:basedOn w:val="DefaultParagraphFont"/>
    <w:link w:val="Heading5"/>
    <w:semiHidden/>
    <w:rPr>
      <w:rFonts w:ascii="Times New Roman" w:eastAsia="Times New Roman" w:hAnsi="Times New Roman" w:cs="Times New Roman"/>
      <w:szCs w:val="20"/>
      <w:lang w:val="bg-BG" w:eastAsia="en-GB"/>
    </w:rPr>
  </w:style>
  <w:style w:type="character" w:customStyle="1" w:styleId="Heading6Char">
    <w:name w:val="Heading 6 Char"/>
    <w:basedOn w:val="DefaultParagraphFont"/>
    <w:link w:val="Heading6"/>
    <w:semiHidden/>
    <w:rPr>
      <w:rFonts w:ascii="Times New Roman" w:eastAsia="Times New Roman" w:hAnsi="Times New Roman" w:cs="Times New Roman"/>
      <w:szCs w:val="20"/>
      <w:lang w:val="bg-BG" w:eastAsia="en-GB"/>
    </w:rPr>
  </w:style>
  <w:style w:type="character" w:customStyle="1" w:styleId="Heading7Char">
    <w:name w:val="Heading 7 Char"/>
    <w:basedOn w:val="DefaultParagraphFont"/>
    <w:link w:val="Heading7"/>
    <w:semiHidden/>
    <w:rPr>
      <w:rFonts w:ascii="Times New Roman" w:eastAsia="Times New Roman" w:hAnsi="Times New Roman" w:cs="Times New Roman"/>
      <w:szCs w:val="20"/>
      <w:lang w:val="bg-BG" w:eastAsia="en-GB"/>
    </w:rPr>
  </w:style>
  <w:style w:type="character" w:customStyle="1" w:styleId="Heading8Char">
    <w:name w:val="Heading 8 Char"/>
    <w:basedOn w:val="DefaultParagraphFont"/>
    <w:link w:val="Heading8"/>
    <w:semiHidden/>
    <w:rPr>
      <w:rFonts w:ascii="Times New Roman" w:eastAsia="Times New Roman" w:hAnsi="Times New Roman" w:cs="Times New Roman"/>
      <w:szCs w:val="20"/>
      <w:lang w:val="bg-BG" w:eastAsia="en-GB"/>
    </w:rPr>
  </w:style>
  <w:style w:type="character" w:customStyle="1" w:styleId="Heading9Char">
    <w:name w:val="Heading 9 Char"/>
    <w:basedOn w:val="DefaultParagraphFont"/>
    <w:link w:val="Heading9"/>
    <w:semiHidden/>
    <w:rPr>
      <w:rFonts w:ascii="Times New Roman" w:eastAsia="Times New Roman" w:hAnsi="Times New Roman" w:cs="Times New Roman"/>
      <w:szCs w:val="20"/>
      <w:lang w:val="bg-BG" w:eastAsia="en-GB"/>
    </w:rPr>
  </w:style>
  <w:style w:type="paragraph" w:styleId="FootnoteText">
    <w:name w:val="footnote text"/>
    <w:basedOn w:val="Normal"/>
    <w:link w:val="FootnoteTextChar"/>
    <w:semiHidden/>
    <w:pPr>
      <w:tabs>
        <w:tab w:val="left" w:pos="454"/>
      </w:tabs>
      <w:spacing w:after="120" w:line="264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val="bg-BG" w:eastAsia="en-GB"/>
    </w:rPr>
  </w:style>
  <w:style w:type="paragraph" w:customStyle="1" w:styleId="NumPar1">
    <w:name w:val="NumPar 1"/>
    <w:basedOn w:val="Heading1"/>
    <w:uiPriority w:val="90"/>
    <w:qFormat/>
    <w:pPr>
      <w:keepNext w:val="0"/>
      <w:tabs>
        <w:tab w:val="clear" w:pos="397"/>
        <w:tab w:val="clear" w:pos="510"/>
        <w:tab w:val="left" w:pos="227"/>
      </w:tabs>
      <w:spacing w:before="0"/>
      <w:ind w:left="0" w:firstLine="0"/>
      <w:outlineLvl w:val="9"/>
    </w:pPr>
    <w:rPr>
      <w:b w:val="0"/>
      <w:smallCaps w:val="0"/>
      <w:sz w:val="22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Numpa">
    <w:name w:val="Num pa"/>
    <w:basedOn w:val="Normal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1">
    <w:name w:val="Normal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super">
    <w:name w:val="super"/>
    <w:basedOn w:val="DefaultParagraphFont"/>
  </w:style>
  <w:style w:type="character" w:customStyle="1" w:styleId="expanded">
    <w:name w:val="expanded"/>
    <w:basedOn w:val="DefaultParagraphFont"/>
  </w:style>
  <w:style w:type="paragraph" w:customStyle="1" w:styleId="Normal2">
    <w:name w:val="Normal 2"/>
    <w:basedOn w:val="Numpa"/>
    <w:qFormat/>
    <w:pPr>
      <w:tabs>
        <w:tab w:val="left" w:pos="340"/>
        <w:tab w:val="left" w:pos="510"/>
        <w:tab w:val="left" w:pos="1021"/>
      </w:tabs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istparagraph2">
    <w:name w:val="List paragraph 2"/>
    <w:basedOn w:val="ListParagraph"/>
    <w:qFormat/>
    <w:pPr>
      <w:numPr>
        <w:numId w:val="19"/>
      </w:numPr>
      <w:tabs>
        <w:tab w:val="left" w:pos="340"/>
        <w:tab w:val="left" w:pos="510"/>
        <w:tab w:val="left" w:pos="1021"/>
      </w:tabs>
      <w:spacing w:after="120"/>
      <w:jc w:val="both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Footnote1">
    <w:name w:val="Footnote 1"/>
    <w:basedOn w:val="NormalWeb"/>
    <w:qFormat/>
    <w:pPr>
      <w:spacing w:before="0" w:beforeAutospacing="0" w:after="75" w:afterAutospacing="0"/>
      <w:ind w:left="454" w:hanging="454"/>
      <w:jc w:val="both"/>
    </w:pPr>
    <w:rPr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numPr>
        <w:numId w:val="0"/>
      </w:numPr>
      <w:tabs>
        <w:tab w:val="clear" w:pos="510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553103B-9F3C-449D-AC64-E7E77EB3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1872</Words>
  <Characters>10749</Characters>
  <Application>Microsoft Office Word</Application>
  <DocSecurity>0</DocSecurity>
  <Lines>210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WES PDFC Administrator</cp:lastModifiedBy>
  <cp:revision>25</cp:revision>
  <cp:lastPrinted>2019-08-05T15:24:00Z</cp:lastPrinted>
  <dcterms:created xsi:type="dcterms:W3CDTF">2019-08-22T11:39:00Z</dcterms:created>
  <dcterms:modified xsi:type="dcterms:W3CDTF">2019-09-26T06:52:00Z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LW 6.0.1, Build 20180503</vt:lpwstr>
  </property>
  <property fmtid="{D5CDD505-2E9C-101B-9397-08002B2CF9AE}" pid="3" name="Last edited using">
    <vt:lpwstr>LW 7.0, Build 20190717</vt:lpwstr>
  </property>
  <property fmtid="{D5CDD505-2E9C-101B-9397-08002B2CF9AE}" pid="4" name="Level of sensitivity">
    <vt:lpwstr>Standard treatment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DocStatus">
    <vt:lpwstr>Green</vt:lpwstr>
  </property>
  <property fmtid="{D5CDD505-2E9C-101B-9397-08002B2CF9AE}" pid="8" name="CPTemplateID">
    <vt:lpwstr>CP-006</vt:lpwstr>
  </property>
</Properties>
</file>