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74" w:rsidRDefault="00517A5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114CFE4-3762-41D5-9C4C-DA4408CCC4B9" style="width:450.75pt;height:415.5pt">
            <v:imagedata r:id="rId8" o:title=""/>
          </v:shape>
        </w:pict>
      </w:r>
    </w:p>
    <w:bookmarkEnd w:id="0"/>
    <w:p w:rsidR="00036174" w:rsidRDefault="00036174">
      <w:pPr>
        <w:rPr>
          <w:noProof/>
        </w:rPr>
        <w:sectPr w:rsidR="0003617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36174" w:rsidRDefault="00036174">
      <w:pPr>
        <w:jc w:val="center"/>
        <w:rPr>
          <w:noProof/>
        </w:rPr>
      </w:pPr>
    </w:p>
    <w:sdt>
      <w:sdtPr>
        <w:rPr>
          <w:rFonts w:asciiTheme="minorHAnsi" w:eastAsiaTheme="minorHAnsi" w:hAnsiTheme="minorHAnsi" w:cstheme="minorBidi"/>
          <w:noProof/>
          <w:color w:val="auto"/>
          <w:sz w:val="22"/>
          <w:szCs w:val="22"/>
        </w:rPr>
        <w:id w:val="-1016466526"/>
        <w:docPartObj>
          <w:docPartGallery w:val="Table of Contents"/>
          <w:docPartUnique/>
        </w:docPartObj>
      </w:sdtPr>
      <w:sdtEndPr>
        <w:rPr>
          <w:b/>
          <w:bCs/>
        </w:rPr>
      </w:sdtEndPr>
      <w:sdtContent>
        <w:p w:rsidR="00036174" w:rsidRDefault="00517A5C">
          <w:pPr>
            <w:pStyle w:val="TOCHeading"/>
            <w:rPr>
              <w:noProof/>
            </w:rPr>
          </w:pPr>
          <w:r>
            <w:rPr>
              <w:noProof/>
            </w:rPr>
            <w:t>Table des matières</w:t>
          </w:r>
        </w:p>
        <w:p w:rsidR="00036174" w:rsidRDefault="00517A5C">
          <w:pPr>
            <w:pStyle w:val="TOC1"/>
            <w:tabs>
              <w:tab w:val="left" w:pos="440"/>
              <w:tab w:val="right" w:leader="dot" w:pos="9396"/>
            </w:tabs>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19712661" w:history="1">
            <w:r>
              <w:rPr>
                <w:rStyle w:val="Hyperlink"/>
                <w:rFonts w:ascii="Times New Roman" w:eastAsia="Times New Roman" w:hAnsi="Times New Roman" w:cs="Times New Roman"/>
                <w:b/>
                <w:smallCaps/>
                <w:noProof/>
              </w:rPr>
              <w:t>1.</w:t>
            </w:r>
            <w:r>
              <w:rPr>
                <w:rFonts w:eastAsiaTheme="minorEastAsia"/>
                <w:noProof/>
                <w:lang w:val="en-US"/>
              </w:rPr>
              <w:tab/>
            </w:r>
            <w:r>
              <w:rPr>
                <w:rStyle w:val="Hyperlink"/>
                <w:rFonts w:ascii="Times New Roman" w:hAnsi="Times New Roman"/>
                <w:b/>
                <w:smallCaps/>
                <w:noProof/>
              </w:rPr>
              <w:t xml:space="preserve">Directive 2000/36/CE du Parlement européen et du Conseil du 23 juin </w:t>
            </w:r>
            <w:r>
              <w:rPr>
                <w:rStyle w:val="Hyperlink"/>
                <w:rFonts w:ascii="Times New Roman" w:hAnsi="Times New Roman"/>
                <w:b/>
                <w:smallCaps/>
                <w:noProof/>
              </w:rPr>
              <w:t>2000 relative aux produits de cacao et de chocolat destinés à l’alimentation humaine</w:t>
            </w:r>
            <w:r>
              <w:rPr>
                <w:noProof/>
                <w:webHidden/>
              </w:rPr>
              <w:tab/>
            </w:r>
            <w:r>
              <w:rPr>
                <w:noProof/>
                <w:webHidden/>
              </w:rPr>
              <w:fldChar w:fldCharType="begin"/>
            </w:r>
            <w:r>
              <w:rPr>
                <w:noProof/>
                <w:webHidden/>
              </w:rPr>
              <w:instrText xml:space="preserve"> PAGEREF _Toc19712661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2" w:history="1">
            <w:r>
              <w:rPr>
                <w:rStyle w:val="Hyperlink"/>
                <w:rFonts w:ascii="Times New Roman" w:eastAsia="Times New Roman" w:hAnsi="Times New Roman" w:cs="Times New Roman"/>
                <w:b/>
                <w:noProof/>
              </w:rPr>
              <w:t>1.1.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_Toc19712662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3" w:history="1">
            <w:r>
              <w:rPr>
                <w:rStyle w:val="Hyperlink"/>
                <w:rFonts w:ascii="Times New Roman" w:eastAsia="Times New Roman" w:hAnsi="Times New Roman" w:cs="Times New Roman"/>
                <w:b/>
                <w:noProof/>
              </w:rPr>
              <w:t>1.2.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_Toc19712663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4" w:history="1">
            <w:r>
              <w:rPr>
                <w:rStyle w:val="Hyperlink"/>
                <w:rFonts w:ascii="Times New Roman" w:eastAsia="Times New Roman" w:hAnsi="Times New Roman" w:cs="Times New Roman"/>
                <w:b/>
                <w:noProof/>
              </w:rPr>
              <w:t>1.3.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_Toc19712664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5" w:history="1">
            <w:r>
              <w:rPr>
                <w:rStyle w:val="Hyperlink"/>
                <w:rFonts w:ascii="Times New Roman" w:eastAsia="Times New Roman" w:hAnsi="Times New Roman" w:cs="Times New Roman"/>
                <w:b/>
                <w:noProof/>
              </w:rPr>
              <w:t>1.4.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_Toc19712665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1"/>
            <w:tabs>
              <w:tab w:val="left" w:pos="440"/>
              <w:tab w:val="right" w:leader="dot" w:pos="9396"/>
            </w:tabs>
            <w:rPr>
              <w:rFonts w:eastAsiaTheme="minorEastAsia"/>
              <w:noProof/>
              <w:lang w:val="en-US"/>
            </w:rPr>
          </w:pPr>
          <w:hyperlink w:anchor="_Toc19712666" w:history="1">
            <w:r>
              <w:rPr>
                <w:rStyle w:val="Hyperlink"/>
                <w:rFonts w:ascii="Times New Roman" w:eastAsia="Times New Roman" w:hAnsi="Times New Roman" w:cs="Times New Roman"/>
                <w:b/>
                <w:smallCaps/>
                <w:noProof/>
              </w:rPr>
              <w:t>2.</w:t>
            </w:r>
            <w:r>
              <w:rPr>
                <w:rFonts w:eastAsiaTheme="minorEastAsia"/>
                <w:noProof/>
                <w:lang w:val="en-US"/>
              </w:rPr>
              <w:tab/>
            </w:r>
            <w:r>
              <w:rPr>
                <w:rStyle w:val="Hyperlink"/>
                <w:rFonts w:ascii="Times New Roman" w:hAnsi="Times New Roman"/>
                <w:b/>
                <w:smallCaps/>
                <w:noProof/>
              </w:rPr>
              <w:t>Directive 2001/110/CE du Conseil du 20 décembre 2001 relative au miel</w:t>
            </w:r>
            <w:r>
              <w:rPr>
                <w:noProof/>
                <w:webHidden/>
              </w:rPr>
              <w:tab/>
            </w:r>
            <w:r>
              <w:rPr>
                <w:noProof/>
                <w:webHidden/>
              </w:rPr>
              <w:fldChar w:fldCharType="begin"/>
            </w:r>
            <w:r>
              <w:rPr>
                <w:noProof/>
                <w:webHidden/>
              </w:rPr>
              <w:instrText xml:space="preserve"> PAGEREF _Toc19712666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7" w:history="1">
            <w:r>
              <w:rPr>
                <w:rStyle w:val="Hyperlink"/>
                <w:rFonts w:ascii="Times New Roman" w:eastAsia="Times New Roman" w:hAnsi="Times New Roman" w:cs="Times New Roman"/>
                <w:b/>
                <w:noProof/>
              </w:rPr>
              <w:t>2.1.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_Toc19712667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8" w:history="1">
            <w:r>
              <w:rPr>
                <w:rStyle w:val="Hyperlink"/>
                <w:rFonts w:ascii="Times New Roman" w:hAnsi="Times New Roman"/>
                <w:b/>
                <w:noProof/>
              </w:rPr>
              <w:t>2.2.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_Toc19712668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69" w:history="1">
            <w:r>
              <w:rPr>
                <w:rStyle w:val="Hyperlink"/>
                <w:rFonts w:ascii="Times New Roman" w:eastAsia="Times New Roman" w:hAnsi="Times New Roman" w:cs="Times New Roman"/>
                <w:b/>
                <w:noProof/>
              </w:rPr>
              <w:t>2.3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_Toc19712669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0" w:history="1">
            <w:r>
              <w:rPr>
                <w:rStyle w:val="Hyperlink"/>
                <w:rFonts w:ascii="Times New Roman" w:eastAsia="Times New Roman" w:hAnsi="Times New Roman" w:cs="Times New Roman"/>
                <w:b/>
                <w:noProof/>
              </w:rPr>
              <w:t>2.4.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_Toc19712670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1"/>
            <w:tabs>
              <w:tab w:val="left" w:pos="440"/>
              <w:tab w:val="right" w:leader="dot" w:pos="9396"/>
            </w:tabs>
            <w:rPr>
              <w:rFonts w:eastAsiaTheme="minorEastAsia"/>
              <w:noProof/>
              <w:lang w:val="en-US"/>
            </w:rPr>
          </w:pPr>
          <w:hyperlink w:anchor="_Toc19712671" w:history="1">
            <w:r>
              <w:rPr>
                <w:rStyle w:val="Hyperlink"/>
                <w:rFonts w:ascii="Times New Roman" w:eastAsia="Times New Roman" w:hAnsi="Times New Roman" w:cs="Times New Roman"/>
                <w:b/>
                <w:smallCaps/>
                <w:noProof/>
              </w:rPr>
              <w:t>3.</w:t>
            </w:r>
            <w:r>
              <w:rPr>
                <w:rFonts w:eastAsiaTheme="minorEastAsia"/>
                <w:noProof/>
                <w:lang w:val="en-US"/>
              </w:rPr>
              <w:tab/>
            </w:r>
            <w:r>
              <w:rPr>
                <w:rStyle w:val="Hyperlink"/>
                <w:rFonts w:ascii="Times New Roman" w:hAnsi="Times New Roman"/>
                <w:b/>
                <w:smallCaps/>
                <w:noProof/>
              </w:rPr>
              <w:t>Directive 2001/111/CE du Conseil du 20 décembre 2001 relative à certains sucres destinés à l’alimentation humaine</w:t>
            </w:r>
            <w:r>
              <w:rPr>
                <w:noProof/>
                <w:webHidden/>
              </w:rPr>
              <w:tab/>
            </w:r>
            <w:r>
              <w:rPr>
                <w:noProof/>
                <w:webHidden/>
              </w:rPr>
              <w:fldChar w:fldCharType="begin"/>
            </w:r>
            <w:r>
              <w:rPr>
                <w:noProof/>
                <w:webHidden/>
              </w:rPr>
              <w:instrText xml:space="preserve"> PAGEREF _Toc19712671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2" w:history="1">
            <w:r>
              <w:rPr>
                <w:rStyle w:val="Hyperlink"/>
                <w:rFonts w:ascii="Times New Roman" w:eastAsia="Times New Roman" w:hAnsi="Times New Roman" w:cs="Times New Roman"/>
                <w:b/>
                <w:noProof/>
              </w:rPr>
              <w:t>3.1.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_Toc19712672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3" w:history="1">
            <w:r>
              <w:rPr>
                <w:rStyle w:val="Hyperlink"/>
                <w:rFonts w:ascii="Times New Roman" w:eastAsia="Times New Roman" w:hAnsi="Times New Roman" w:cs="Times New Roman"/>
                <w:b/>
                <w:noProof/>
              </w:rPr>
              <w:t>3.2.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_Toc19712673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4" w:history="1">
            <w:r>
              <w:rPr>
                <w:rStyle w:val="Hyperlink"/>
                <w:rFonts w:ascii="Times New Roman" w:eastAsia="Times New Roman" w:hAnsi="Times New Roman" w:cs="Times New Roman"/>
                <w:b/>
                <w:noProof/>
              </w:rPr>
              <w:t>3.3.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_Toc19712674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5" w:history="1">
            <w:r>
              <w:rPr>
                <w:rStyle w:val="Hyperlink"/>
                <w:rFonts w:ascii="Times New Roman" w:eastAsia="Times New Roman" w:hAnsi="Times New Roman" w:cs="Times New Roman"/>
                <w:b/>
                <w:noProof/>
              </w:rPr>
              <w:t>3.4.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_Toc19712675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1"/>
            <w:tabs>
              <w:tab w:val="left" w:pos="440"/>
              <w:tab w:val="right" w:leader="dot" w:pos="9396"/>
            </w:tabs>
            <w:rPr>
              <w:rFonts w:eastAsiaTheme="minorEastAsia"/>
              <w:noProof/>
              <w:lang w:val="en-US"/>
            </w:rPr>
          </w:pPr>
          <w:hyperlink w:anchor="_Toc19712676" w:history="1">
            <w:r>
              <w:rPr>
                <w:rStyle w:val="Hyperlink"/>
                <w:rFonts w:ascii="Times New Roman" w:eastAsia="Times New Roman" w:hAnsi="Times New Roman" w:cs="Times New Roman"/>
                <w:b/>
                <w:smallCaps/>
                <w:noProof/>
              </w:rPr>
              <w:t>4.</w:t>
            </w:r>
            <w:r>
              <w:rPr>
                <w:rFonts w:eastAsiaTheme="minorEastAsia"/>
                <w:noProof/>
                <w:lang w:val="en-US"/>
              </w:rPr>
              <w:tab/>
            </w:r>
            <w:r>
              <w:rPr>
                <w:rStyle w:val="Hyperlink"/>
                <w:rFonts w:ascii="Times New Roman" w:hAnsi="Times New Roman"/>
                <w:b/>
                <w:smallCaps/>
                <w:noProof/>
              </w:rPr>
              <w:t>Directive 2001/112/CE du Conseil du 20 décembre 2001 relative aux jus de fruits et à certains produits similaires destinés à l’alimentation humaine</w:t>
            </w:r>
            <w:r>
              <w:rPr>
                <w:noProof/>
                <w:webHidden/>
              </w:rPr>
              <w:tab/>
            </w:r>
            <w:r>
              <w:rPr>
                <w:noProof/>
                <w:webHidden/>
              </w:rPr>
              <w:fldChar w:fldCharType="begin"/>
            </w:r>
            <w:r>
              <w:rPr>
                <w:noProof/>
                <w:webHidden/>
              </w:rPr>
              <w:instrText xml:space="preserve"> PAGEREF </w:instrText>
            </w:r>
            <w:r>
              <w:rPr>
                <w:noProof/>
                <w:webHidden/>
              </w:rPr>
              <w:instrText xml:space="preserve">_Toc19712676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7" w:history="1">
            <w:r>
              <w:rPr>
                <w:rStyle w:val="Hyperlink"/>
                <w:rFonts w:ascii="Times New Roman" w:eastAsia="Times New Roman" w:hAnsi="Times New Roman" w:cs="Times New Roman"/>
                <w:b/>
                <w:noProof/>
              </w:rPr>
              <w:t>4.1.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_Toc19712677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8" w:history="1">
            <w:r>
              <w:rPr>
                <w:rStyle w:val="Hyperlink"/>
                <w:rFonts w:ascii="Times New Roman" w:eastAsia="Times New Roman" w:hAnsi="Times New Roman" w:cs="Times New Roman"/>
                <w:b/>
                <w:noProof/>
              </w:rPr>
              <w:t>4.2.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_Toc19712678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79" w:history="1">
            <w:r>
              <w:rPr>
                <w:rStyle w:val="Hyperlink"/>
                <w:rFonts w:ascii="Times New Roman" w:eastAsia="Times New Roman" w:hAnsi="Times New Roman" w:cs="Times New Roman"/>
                <w:b/>
                <w:noProof/>
              </w:rPr>
              <w:t>4.3.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_Toc19712679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80" w:history="1">
            <w:r>
              <w:rPr>
                <w:rStyle w:val="Hyperlink"/>
                <w:rFonts w:ascii="Times New Roman" w:eastAsia="Times New Roman" w:hAnsi="Times New Roman" w:cs="Times New Roman"/>
                <w:b/>
                <w:noProof/>
              </w:rPr>
              <w:t>4.4.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_Toc19712680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1"/>
            <w:tabs>
              <w:tab w:val="left" w:pos="440"/>
              <w:tab w:val="right" w:leader="dot" w:pos="9396"/>
            </w:tabs>
            <w:rPr>
              <w:rFonts w:eastAsiaTheme="minorEastAsia"/>
              <w:noProof/>
              <w:lang w:val="en-US"/>
            </w:rPr>
          </w:pPr>
          <w:hyperlink w:anchor="_Toc19712681" w:history="1">
            <w:r>
              <w:rPr>
                <w:rStyle w:val="Hyperlink"/>
                <w:rFonts w:ascii="Times New Roman" w:eastAsia="Times New Roman" w:hAnsi="Times New Roman" w:cs="Times New Roman"/>
                <w:b/>
                <w:smallCaps/>
                <w:noProof/>
              </w:rPr>
              <w:t>5.</w:t>
            </w:r>
            <w:r>
              <w:rPr>
                <w:rFonts w:eastAsiaTheme="minorEastAsia"/>
                <w:noProof/>
                <w:lang w:val="en-US"/>
              </w:rPr>
              <w:tab/>
            </w:r>
            <w:r>
              <w:rPr>
                <w:rStyle w:val="Hyperlink"/>
                <w:rFonts w:ascii="Times New Roman" w:hAnsi="Times New Roman"/>
                <w:b/>
                <w:smallCaps/>
                <w:noProof/>
              </w:rPr>
              <w:t>Directive 2001/</w:t>
            </w:r>
            <w:r>
              <w:rPr>
                <w:rStyle w:val="Hyperlink"/>
                <w:rFonts w:ascii="Times New Roman" w:hAnsi="Times New Roman"/>
                <w:b/>
                <w:smallCaps/>
                <w:noProof/>
              </w:rPr>
              <w:t>113/CE du Conseil du 20 décembre 2001 relative aux confitures, gelées et marmelades de fruits, ainsi qu’à la crème de marrons, destinées à l’alimentation humaine</w:t>
            </w:r>
            <w:r>
              <w:rPr>
                <w:noProof/>
                <w:webHidden/>
              </w:rPr>
              <w:tab/>
            </w:r>
            <w:r>
              <w:rPr>
                <w:noProof/>
                <w:webHidden/>
              </w:rPr>
              <w:fldChar w:fldCharType="begin"/>
            </w:r>
            <w:r>
              <w:rPr>
                <w:noProof/>
                <w:webHidden/>
              </w:rPr>
              <w:instrText xml:space="preserve"> PAGEREF _Toc19712681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82" w:history="1">
            <w:r>
              <w:rPr>
                <w:rStyle w:val="Hyperlink"/>
                <w:rFonts w:ascii="Times New Roman" w:eastAsia="Times New Roman" w:hAnsi="Times New Roman" w:cs="Times New Roman"/>
                <w:b/>
                <w:noProof/>
              </w:rPr>
              <w:t>5.1.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_Toc19712682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83" w:history="1">
            <w:r>
              <w:rPr>
                <w:rStyle w:val="Hyperlink"/>
                <w:rFonts w:ascii="Times New Roman" w:eastAsia="Times New Roman" w:hAnsi="Times New Roman" w:cs="Times New Roman"/>
                <w:b/>
                <w:noProof/>
              </w:rPr>
              <w:t>5.2.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_Toc19712683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84" w:history="1">
            <w:r>
              <w:rPr>
                <w:rStyle w:val="Hyperlink"/>
                <w:rFonts w:ascii="Times New Roman" w:eastAsia="Times New Roman" w:hAnsi="Times New Roman" w:cs="Times New Roman"/>
                <w:b/>
                <w:noProof/>
              </w:rPr>
              <w:t>5.3.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_Toc19712684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pStyle w:val="TOC2"/>
            <w:tabs>
              <w:tab w:val="left" w:pos="880"/>
              <w:tab w:val="right" w:leader="dot" w:pos="9396"/>
            </w:tabs>
            <w:rPr>
              <w:rFonts w:eastAsiaTheme="minorEastAsia"/>
              <w:noProof/>
              <w:lang w:val="en-US"/>
            </w:rPr>
          </w:pPr>
          <w:hyperlink w:anchor="_Toc19712685" w:history="1">
            <w:r>
              <w:rPr>
                <w:rStyle w:val="Hyperlink"/>
                <w:rFonts w:ascii="Times New Roman" w:eastAsia="Times New Roman" w:hAnsi="Times New Roman" w:cs="Times New Roman"/>
                <w:b/>
                <w:noProof/>
              </w:rPr>
              <w:t>5.4.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_Toc19712685 \h </w:instrText>
            </w:r>
            <w:r>
              <w:rPr>
                <w:noProof/>
                <w:webHidden/>
              </w:rPr>
            </w:r>
            <w:r>
              <w:rPr>
                <w:noProof/>
                <w:webHidden/>
              </w:rPr>
              <w:fldChar w:fldCharType="separate"/>
            </w:r>
            <w:r>
              <w:rPr>
                <w:noProof/>
                <w:webHidden/>
              </w:rPr>
              <w:t>1</w:t>
            </w:r>
            <w:r>
              <w:rPr>
                <w:noProof/>
                <w:webHidden/>
              </w:rPr>
              <w:fldChar w:fldCharType="end"/>
            </w:r>
          </w:hyperlink>
        </w:p>
        <w:p w:rsidR="00036174" w:rsidRDefault="00517A5C">
          <w:pPr>
            <w:rPr>
              <w:noProof/>
            </w:rPr>
          </w:pPr>
          <w:r>
            <w:rPr>
              <w:b/>
              <w:bCs/>
              <w:noProof/>
            </w:rPr>
            <w:fldChar w:fldCharType="end"/>
          </w:r>
        </w:p>
      </w:sdtContent>
    </w:sdt>
    <w:p w:rsidR="00036174" w:rsidRDefault="00517A5C">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 w:name="_Toc19712661"/>
      <w:r>
        <w:rPr>
          <w:rFonts w:ascii="Times New Roman" w:hAnsi="Times New Roman"/>
          <w:b/>
          <w:smallCaps/>
          <w:noProof/>
        </w:rPr>
        <w:lastRenderedPageBreak/>
        <w:t>Directive 2000/36/CE du Parlement européen et du Conseil du 23 juin 2000 relative aux produits de cacao et de chocolat destinés à l’alimentation</w:t>
      </w:r>
      <w:r>
        <w:rPr>
          <w:rFonts w:ascii="Times New Roman" w:hAnsi="Times New Roman"/>
          <w:b/>
          <w:smallCaps/>
          <w:noProof/>
        </w:rPr>
        <w:t xml:space="preserve"> humaine</w:t>
      </w:r>
      <w:bookmarkEnd w:id="1"/>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 w:name="_Toc19712662"/>
      <w:r>
        <w:rPr>
          <w:rFonts w:ascii="Times New Roman" w:hAnsi="Times New Roman"/>
          <w:b/>
          <w:noProof/>
        </w:rPr>
        <w:t>Introduction</w:t>
      </w:r>
      <w:bookmarkEnd w:id="2"/>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directive 2000/36/CE du Parlement européen et du Conseil</w:t>
      </w:r>
      <w:r>
        <w:rPr>
          <w:rFonts w:ascii="Times New Roman" w:hAnsi="Times New Roman" w:cs="Times New Roman"/>
          <w:noProof/>
          <w:vertAlign w:val="superscript"/>
        </w:rPr>
        <w:footnoteReference w:id="1"/>
      </w:r>
      <w:r>
        <w:rPr>
          <w:rFonts w:ascii="Times New Roman" w:hAnsi="Times New Roman"/>
          <w:noProof/>
        </w:rPr>
        <w:t xml:space="preserve"> établit des définitions et des règles communes pour la composition, les caractéristiques de fabrication, le conditionnement et l’étiquetage des produits de cacao et de chocolat.</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En vertu de son article 5, la Commission est habilitée à adopter des actes dé</w:t>
      </w:r>
      <w:r>
        <w:rPr>
          <w:rFonts w:ascii="Times New Roman" w:hAnsi="Times New Roman"/>
          <w:noProof/>
        </w:rPr>
        <w:t>légués afin de modifier les parties C et D de l’annexe I, en vue de tenir compte du progrès technique et de l’évolution des normes internationales pertinentes.</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3" w:name="_Toc19712663"/>
      <w:r>
        <w:rPr>
          <w:rFonts w:ascii="Times New Roman" w:hAnsi="Times New Roman"/>
          <w:b/>
          <w:noProof/>
        </w:rPr>
        <w:t>Base juridique</w:t>
      </w:r>
      <w:bookmarkEnd w:id="3"/>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Le rapport est requis au titre de l’article 6, paragraphe 2. En vertu de cette di</w:t>
      </w:r>
      <w:r>
        <w:rPr>
          <w:rFonts w:ascii="Times New Roman" w:hAnsi="Times New Roman"/>
          <w:noProof/>
        </w:rPr>
        <w:t>sposition, le pouvoir d’adopter des actes délégués visé à l’article 5 est conféré à la Commission pour une période de cinq ans à compter du 18 novembre 2013. La Commission élabore un rapport relatif à la délégation de pouvoir au plus tard neuf mois avant l</w:t>
      </w:r>
      <w:r>
        <w:rPr>
          <w:rFonts w:ascii="Times New Roman" w:hAnsi="Times New Roman"/>
          <w:noProof/>
        </w:rPr>
        <w:t>a fin de la période de cinq ans. La délégation de pouvoir est tacitement prorogée pour des périodes d’une durée identique, sauf si le Parlement européen ou le Conseil s’oppose à cette prorogation trois mois au plus tard avant la fin de chaque période.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4" w:name="_Toc19712664"/>
      <w:r>
        <w:rPr>
          <w:rFonts w:ascii="Times New Roman" w:hAnsi="Times New Roman"/>
          <w:b/>
          <w:noProof/>
        </w:rPr>
        <w:t>Exer</w:t>
      </w:r>
      <w:r>
        <w:rPr>
          <w:rFonts w:ascii="Times New Roman" w:hAnsi="Times New Roman"/>
          <w:b/>
          <w:noProof/>
        </w:rPr>
        <w:t>cice de la délégation</w:t>
      </w:r>
      <w:bookmarkEnd w:id="4"/>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N’ayant constaté aucune nécessité de modifier les sections C et D de l’annexe I, la Commission n’a adopté aucun acte délégué en vertu de l’article 5. Bien que la Commission n’ait pas l’intention de recourir à l’habilitation dans un av</w:t>
      </w:r>
      <w:r>
        <w:rPr>
          <w:rFonts w:ascii="Times New Roman" w:hAnsi="Times New Roman"/>
          <w:noProof/>
        </w:rPr>
        <w:t>enir proche, il ne peut être exclu que celle-ci devienne nécessaire.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5" w:name="_Toc19712665"/>
      <w:r>
        <w:rPr>
          <w:rFonts w:ascii="Times New Roman" w:hAnsi="Times New Roman"/>
          <w:b/>
          <w:noProof/>
        </w:rPr>
        <w:t>Conclusions</w:t>
      </w:r>
      <w:bookmarkEnd w:id="5"/>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L’habilitation n’a pas été utilisée, car il n’existait aucune obligation légale ni aucune nécessité de le faire.</w:t>
      </w:r>
      <w:r>
        <w:rPr>
          <w:noProof/>
        </w:rPr>
        <w:t xml:space="preserve"> </w:t>
      </w:r>
      <w:r>
        <w:rPr>
          <w:rFonts w:ascii="Times New Roman" w:hAnsi="Times New Roman"/>
          <w:noProof/>
        </w:rPr>
        <w:t>Il ne peut cependant être exclu que les habilitations se révèl</w:t>
      </w:r>
      <w:r>
        <w:rPr>
          <w:rFonts w:ascii="Times New Roman" w:hAnsi="Times New Roman"/>
          <w:noProof/>
        </w:rPr>
        <w:t>ent nécessaires à l’avenir.</w:t>
      </w:r>
    </w:p>
    <w:p w:rsidR="00036174" w:rsidRDefault="00517A5C">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6" w:name="_Toc19712666"/>
      <w:r>
        <w:rPr>
          <w:rFonts w:ascii="Times New Roman" w:hAnsi="Times New Roman"/>
          <w:b/>
          <w:smallCaps/>
          <w:noProof/>
        </w:rPr>
        <w:t>Directive 2001/110/CE du Conseil du 20 décembre 2001 relative au miel</w:t>
      </w:r>
      <w:bookmarkEnd w:id="6"/>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7" w:name="_Toc19712667"/>
      <w:r>
        <w:rPr>
          <w:rFonts w:ascii="Times New Roman" w:hAnsi="Times New Roman"/>
          <w:b/>
          <w:noProof/>
        </w:rPr>
        <w:t>Introduction</w:t>
      </w:r>
      <w:bookmarkEnd w:id="7"/>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directive 2001/110/CE du Conseil</w:t>
      </w:r>
      <w:r>
        <w:rPr>
          <w:rFonts w:ascii="Times New Roman" w:hAnsi="Times New Roman" w:cs="Times New Roman"/>
          <w:noProof/>
          <w:vertAlign w:val="superscript"/>
        </w:rPr>
        <w:footnoteReference w:id="2"/>
      </w:r>
      <w:r>
        <w:rPr>
          <w:rFonts w:ascii="Times New Roman" w:hAnsi="Times New Roman"/>
          <w:noProof/>
        </w:rPr>
        <w:t xml:space="preserve"> établit des définitions et fixe des règles communes relatives à la composition et aux principales mentions d</w:t>
      </w:r>
      <w:r>
        <w:rPr>
          <w:rFonts w:ascii="Times New Roman" w:hAnsi="Times New Roman"/>
          <w:noProof/>
        </w:rPr>
        <w:t>’étiquetage du miel.</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En vertu de son article 4, paragraphe 2, la Commission est habilitée, en vue d’assurer des pratiques commerciales loyales, de protéger les intérêts des consommateurs et de permettre la définition de méthodes d’analyse pertinentes, à ad</w:t>
      </w:r>
      <w:r>
        <w:rPr>
          <w:rFonts w:ascii="Times New Roman" w:hAnsi="Times New Roman"/>
          <w:noProof/>
        </w:rPr>
        <w:t>opter des actes délégués, en conformité avec l’article 6, afin de compléter la directive en fixant les paramètres quantitatifs qui définissent:</w:t>
      </w:r>
    </w:p>
    <w:p w:rsidR="00036174" w:rsidRDefault="00517A5C">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rPr>
        <w:lastRenderedPageBreak/>
        <w:t xml:space="preserve">a) </w:t>
      </w:r>
      <w:r>
        <w:rPr>
          <w:rFonts w:ascii="Times New Roman" w:hAnsi="Times New Roman"/>
          <w:noProof/>
        </w:rPr>
        <w:tab/>
        <w:t>le critère «essentiellement» en ce qui concerne l’origine florale ou végétale du miel visé à l’article 2, po</w:t>
      </w:r>
      <w:r>
        <w:rPr>
          <w:rFonts w:ascii="Times New Roman" w:hAnsi="Times New Roman"/>
          <w:noProof/>
        </w:rPr>
        <w:t>int 2) b), premier tiret, et</w:t>
      </w:r>
    </w:p>
    <w:p w:rsidR="00036174" w:rsidRDefault="00517A5C">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rPr>
        <w:t xml:space="preserve">b) </w:t>
      </w:r>
      <w:r>
        <w:rPr>
          <w:rFonts w:ascii="Times New Roman" w:hAnsi="Times New Roman"/>
          <w:noProof/>
        </w:rPr>
        <w:tab/>
        <w:t>la quantité minimale de pollen dans le miel filtré après l’élimination de matières étrangères inorganiques ou organiques, visé à l’annexe I, point 2 b) viii).</w:t>
      </w:r>
    </w:p>
    <w:p w:rsidR="00036174" w:rsidRDefault="00517A5C">
      <w:pPr>
        <w:keepNext/>
        <w:tabs>
          <w:tab w:val="left" w:pos="737"/>
        </w:tabs>
        <w:spacing w:before="420" w:after="120" w:line="264" w:lineRule="auto"/>
        <w:ind w:left="595" w:hanging="595"/>
        <w:jc w:val="both"/>
        <w:outlineLvl w:val="1"/>
        <w:rPr>
          <w:rFonts w:ascii="Times New Roman" w:eastAsia="Times New Roman" w:hAnsi="Times New Roman" w:cs="Times New Roman"/>
          <w:b/>
          <w:noProof/>
          <w:sz w:val="24"/>
          <w:szCs w:val="24"/>
        </w:rPr>
      </w:pPr>
      <w:bookmarkStart w:id="8" w:name="_Toc19712668"/>
      <w:r>
        <w:rPr>
          <w:rFonts w:ascii="Times New Roman" w:hAnsi="Times New Roman"/>
          <w:b/>
          <w:noProof/>
        </w:rPr>
        <w:t>2.2.</w:t>
      </w:r>
      <w:r>
        <w:rPr>
          <w:rFonts w:ascii="Times New Roman" w:hAnsi="Times New Roman"/>
          <w:b/>
          <w:noProof/>
        </w:rPr>
        <w:tab/>
        <w:t>Base juridique</w:t>
      </w:r>
      <w:bookmarkEnd w:id="8"/>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Le rapport est requis au titre de l’article </w:t>
      </w:r>
      <w:r>
        <w:rPr>
          <w:rFonts w:ascii="Times New Roman" w:hAnsi="Times New Roman"/>
          <w:noProof/>
        </w:rPr>
        <w:t>6, paragraphe 2. En vertu de cette disposition, le pouvoir d’adopter des actes délégués visé à l’article 4, paragraphe 2, est conféré à la Commission pour une période de cinq ans à compter du 23 juin 2014. La Commission élabore un rapport relatif à la délé</w:t>
      </w:r>
      <w:r>
        <w:rPr>
          <w:rFonts w:ascii="Times New Roman" w:hAnsi="Times New Roman"/>
          <w:noProof/>
        </w:rPr>
        <w:t>gation de pouvoir au plus tard neuf mois avant la fin de la période de cinq ans. La délégation de pouvoir est tacitement prorogée pour des périodes d’une durée identique, sauf si le Parlement européen ou le Conseil s’oppose à cette prorogation trois mois a</w:t>
      </w:r>
      <w:r>
        <w:rPr>
          <w:rFonts w:ascii="Times New Roman" w:hAnsi="Times New Roman"/>
          <w:noProof/>
        </w:rPr>
        <w:t>u plus tard avant la fin de chaque période.</w:t>
      </w:r>
    </w:p>
    <w:p w:rsidR="00036174" w:rsidRDefault="00517A5C">
      <w:pPr>
        <w:keepNext/>
        <w:numPr>
          <w:ilvl w:val="1"/>
          <w:numId w:val="46"/>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9" w:name="_Toc19712669"/>
      <w:r>
        <w:rPr>
          <w:rFonts w:ascii="Times New Roman" w:hAnsi="Times New Roman"/>
          <w:b/>
          <w:noProof/>
        </w:rPr>
        <w:t>Exercice de la délégation</w:t>
      </w:r>
      <w:bookmarkEnd w:id="9"/>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N’ayant constaté aucune nécessité de le faire, la Commission n’a adopté aucun acte délégué en vertu de l’article 4, paragraphe 2. Bien que la Commission n’ait pas l’intention de recourir</w:t>
      </w:r>
      <w:r>
        <w:rPr>
          <w:rFonts w:ascii="Times New Roman" w:hAnsi="Times New Roman"/>
          <w:noProof/>
        </w:rPr>
        <w:t xml:space="preserve"> à l’habilitation dans un avenir proche, il ne peut être exclu que celle-ci devienne nécessaire.</w:t>
      </w:r>
    </w:p>
    <w:p w:rsidR="00036174" w:rsidRDefault="00517A5C">
      <w:pPr>
        <w:keepNext/>
        <w:numPr>
          <w:ilvl w:val="1"/>
          <w:numId w:val="4"/>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10" w:name="_Toc19712670"/>
      <w:r>
        <w:rPr>
          <w:rFonts w:ascii="Times New Roman" w:hAnsi="Times New Roman"/>
          <w:b/>
          <w:noProof/>
          <w:sz w:val="26"/>
          <w:szCs w:val="20"/>
        </w:rPr>
        <w:t>Conclusions</w:t>
      </w:r>
      <w:bookmarkEnd w:id="10"/>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L’habilitation n’a pas été utilisée, car il n’existait aucune obligation légale ni aucune nécessité de l’utiliser.</w:t>
      </w:r>
      <w:r>
        <w:rPr>
          <w:noProof/>
        </w:rPr>
        <w:t xml:space="preserve"> </w:t>
      </w:r>
      <w:r>
        <w:rPr>
          <w:rFonts w:ascii="Times New Roman" w:hAnsi="Times New Roman"/>
          <w:noProof/>
        </w:rPr>
        <w:t xml:space="preserve">Il ne peut cependant être exclu </w:t>
      </w:r>
      <w:r>
        <w:rPr>
          <w:rFonts w:ascii="Times New Roman" w:hAnsi="Times New Roman"/>
          <w:noProof/>
        </w:rPr>
        <w:t>que les habilitations se révèlent nécessaires à l’avenir.</w:t>
      </w:r>
    </w:p>
    <w:p w:rsidR="00036174" w:rsidRDefault="00517A5C">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1" w:name="_Toc19712671"/>
      <w:r>
        <w:rPr>
          <w:rFonts w:ascii="Times New Roman" w:hAnsi="Times New Roman"/>
          <w:b/>
          <w:smallCaps/>
          <w:noProof/>
        </w:rPr>
        <w:t>Directive 2001/111/CE du Conseil du 20 décembre 2001 relative à certains sucres destinés à l’alimentation humaine</w:t>
      </w:r>
      <w:bookmarkEnd w:id="11"/>
    </w:p>
    <w:p w:rsidR="00036174" w:rsidRDefault="00517A5C">
      <w:pPr>
        <w:keepNext/>
        <w:numPr>
          <w:ilvl w:val="1"/>
          <w:numId w:val="2"/>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2" w:name="_Toc19712672"/>
      <w:r>
        <w:rPr>
          <w:rFonts w:ascii="Times New Roman" w:hAnsi="Times New Roman"/>
          <w:b/>
          <w:noProof/>
        </w:rPr>
        <w:t>Introduction</w:t>
      </w:r>
      <w:bookmarkEnd w:id="12"/>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directive 2001/111/CE du Conseil</w:t>
      </w:r>
      <w:r>
        <w:rPr>
          <w:rFonts w:ascii="Times New Roman" w:hAnsi="Times New Roman" w:cs="Times New Roman"/>
          <w:noProof/>
          <w:vertAlign w:val="superscript"/>
        </w:rPr>
        <w:footnoteReference w:id="3"/>
      </w:r>
      <w:r>
        <w:rPr>
          <w:rFonts w:ascii="Times New Roman" w:hAnsi="Times New Roman"/>
          <w:noProof/>
        </w:rPr>
        <w:t xml:space="preserve"> fixe des règles relatives aux cond</w:t>
      </w:r>
      <w:r>
        <w:rPr>
          <w:rFonts w:ascii="Times New Roman" w:hAnsi="Times New Roman"/>
          <w:noProof/>
        </w:rPr>
        <w:t>itions de fabrication et de commercialisation de certains sucres destinés à l’alimentation humaine.</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En vertu de son article 4, la Commission est habilitée à adopter des actes délégués afin de modifier la partie B de l’annexe, en vue de tenir compte du prog</w:t>
      </w:r>
      <w:r>
        <w:rPr>
          <w:rFonts w:ascii="Times New Roman" w:hAnsi="Times New Roman"/>
          <w:noProof/>
        </w:rPr>
        <w:t>rès technique et de l’évolution des normes internationales pertinentes.</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3" w:name="_Toc19712673"/>
      <w:r>
        <w:rPr>
          <w:rFonts w:ascii="Times New Roman" w:hAnsi="Times New Roman"/>
          <w:b/>
          <w:noProof/>
        </w:rPr>
        <w:t>Base juridique</w:t>
      </w:r>
      <w:bookmarkEnd w:id="13"/>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Le rapport est requis au titre de l’article 5, paragraphe 2. En vertu de cette disposition, le pouvoir d’adopter des actes délégués visé à l’article 5 est conféré à la C</w:t>
      </w:r>
      <w:r>
        <w:rPr>
          <w:rFonts w:ascii="Times New Roman" w:hAnsi="Times New Roman"/>
          <w:noProof/>
        </w:rPr>
        <w:t>ommission pour une période de cinq ans à compter du 18 novembre 2013. La Commission élabore un rapport relatif à la délégation de pouvoir au plus tard neuf mois avant la fin de la période de cinq ans. La délégation de pouvoir est tacitement prorogée pour d</w:t>
      </w:r>
      <w:r>
        <w:rPr>
          <w:rFonts w:ascii="Times New Roman" w:hAnsi="Times New Roman"/>
          <w:noProof/>
        </w:rPr>
        <w:t>es périodes d’une durée identique, sauf si le Parlement européen ou le Conseil s’oppose à cette prorogation trois mois au plus tard avant la fin de chaque période.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4" w:name="_Toc19712674"/>
      <w:r>
        <w:rPr>
          <w:rFonts w:ascii="Times New Roman" w:hAnsi="Times New Roman"/>
          <w:b/>
          <w:noProof/>
        </w:rPr>
        <w:lastRenderedPageBreak/>
        <w:t>Exercice de la délégation</w:t>
      </w:r>
      <w:bookmarkEnd w:id="14"/>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N’ayant constaté aucune nécessité de modifier la partie B de l’ann</w:t>
      </w:r>
      <w:r>
        <w:rPr>
          <w:rFonts w:ascii="Times New Roman" w:hAnsi="Times New Roman"/>
          <w:noProof/>
        </w:rPr>
        <w:t>exe, la Commission n’a adopté aucun acte délégué en vertu de l’article 5. Bien que la Commission n’ait pas l’intention de recourir à l’habilitation dans un avenir proche, il ne peut être exclu que celle-ci devienne nécessaire.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5" w:name="_Toc19712675"/>
      <w:r>
        <w:rPr>
          <w:rFonts w:ascii="Times New Roman" w:hAnsi="Times New Roman"/>
          <w:b/>
          <w:noProof/>
        </w:rPr>
        <w:t>Conclusions</w:t>
      </w:r>
      <w:bookmarkEnd w:id="15"/>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L’habilitation n’</w:t>
      </w:r>
      <w:r>
        <w:rPr>
          <w:rFonts w:ascii="Times New Roman" w:hAnsi="Times New Roman"/>
          <w:noProof/>
        </w:rPr>
        <w:t>a pas été utilisée, car il n’existait aucune obligation légale ni aucune nécessité de le faire.</w:t>
      </w:r>
      <w:r>
        <w:rPr>
          <w:noProof/>
        </w:rPr>
        <w:t xml:space="preserve"> </w:t>
      </w:r>
      <w:r>
        <w:rPr>
          <w:rFonts w:ascii="Times New Roman" w:hAnsi="Times New Roman"/>
          <w:noProof/>
        </w:rPr>
        <w:t>Il ne peut cependant être exclu que les habilitations se révèlent nécessaires à l’avenir.</w:t>
      </w:r>
    </w:p>
    <w:p w:rsidR="00036174" w:rsidRDefault="00517A5C">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6" w:name="_Toc19712676"/>
      <w:r>
        <w:rPr>
          <w:rFonts w:ascii="Times New Roman" w:hAnsi="Times New Roman"/>
          <w:b/>
          <w:smallCaps/>
          <w:noProof/>
        </w:rPr>
        <w:t xml:space="preserve">Directive 2001/112/CE du Conseil du 20 décembre 2001 relative aux jus </w:t>
      </w:r>
      <w:r>
        <w:rPr>
          <w:rFonts w:ascii="Times New Roman" w:hAnsi="Times New Roman"/>
          <w:b/>
          <w:smallCaps/>
          <w:noProof/>
        </w:rPr>
        <w:t>de fruits et à certains produits similaires destinés à l’alimentation humaine</w:t>
      </w:r>
      <w:bookmarkEnd w:id="16"/>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7" w:name="_Toc19712677"/>
      <w:r>
        <w:rPr>
          <w:rFonts w:ascii="Times New Roman" w:hAnsi="Times New Roman"/>
          <w:b/>
          <w:noProof/>
        </w:rPr>
        <w:t>Introduction</w:t>
      </w:r>
      <w:bookmarkEnd w:id="17"/>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directive 2001/112/CE du Conseil</w:t>
      </w:r>
      <w:r>
        <w:rPr>
          <w:rFonts w:ascii="Times New Roman" w:hAnsi="Times New Roman" w:cs="Times New Roman"/>
          <w:noProof/>
          <w:vertAlign w:val="superscript"/>
        </w:rPr>
        <w:footnoteReference w:id="4"/>
      </w:r>
      <w:r>
        <w:rPr>
          <w:rFonts w:ascii="Times New Roman" w:hAnsi="Times New Roman"/>
          <w:noProof/>
        </w:rPr>
        <w:t xml:space="preserve"> fixe des règles communes concernant la composition, l’emploi des dénominations réservées, les caractéristiques de fabrication et</w:t>
      </w:r>
      <w:r>
        <w:rPr>
          <w:rFonts w:ascii="Times New Roman" w:hAnsi="Times New Roman"/>
          <w:noProof/>
        </w:rPr>
        <w:t xml:space="preserve"> l’étiquetage des jus de fruits et de certains produits similaires.</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En vertu de son article 7, la Commission est habilitée à adopter des actes délégués afin de modifier les annexes de la directive, à l’exception de l’annexe I, partie I, et de l’annexe II, </w:t>
      </w:r>
      <w:r>
        <w:rPr>
          <w:rFonts w:ascii="Times New Roman" w:hAnsi="Times New Roman"/>
          <w:noProof/>
        </w:rPr>
        <w:t>en vue d’adapter ces annexes à l’évolution des normes internationales applicables et de tenir compte du progrès technique.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8" w:name="_Toc19712678"/>
      <w:r>
        <w:rPr>
          <w:rFonts w:ascii="Times New Roman" w:hAnsi="Times New Roman"/>
          <w:b/>
          <w:noProof/>
        </w:rPr>
        <w:t>Base juridique</w:t>
      </w:r>
      <w:bookmarkEnd w:id="18"/>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Le rapport est requis au titre de l’article 7 </w:t>
      </w:r>
      <w:r>
        <w:rPr>
          <w:rFonts w:ascii="Times New Roman" w:hAnsi="Times New Roman"/>
          <w:i/>
          <w:iCs/>
          <w:noProof/>
        </w:rPr>
        <w:t>bis</w:t>
      </w:r>
      <w:r>
        <w:rPr>
          <w:rFonts w:ascii="Times New Roman" w:hAnsi="Times New Roman"/>
          <w:noProof/>
        </w:rPr>
        <w:t>, paragraphe 2. En vertu de cette disposition, le pouvoir d’adopter d</w:t>
      </w:r>
      <w:r>
        <w:rPr>
          <w:rFonts w:ascii="Times New Roman" w:hAnsi="Times New Roman"/>
          <w:noProof/>
        </w:rPr>
        <w:t>es actes délégués visé à l’article 7 est conféré à la Commission pour une période de cinq ans à compter du 28 octobre 2013. La Commission élabore un rapport relatif à la délégation de pouvoir au plus tard neuf mois avant la fin de la période de cinq ans. L</w:t>
      </w:r>
      <w:r>
        <w:rPr>
          <w:rFonts w:ascii="Times New Roman" w:hAnsi="Times New Roman"/>
          <w:noProof/>
        </w:rPr>
        <w:t>a délégation de pouvoir est tacitement prorogée pour des périodes d’une durée identique, sauf si le Parlement européen ou le Conseil s’oppose à cette prorogation trois mois au plus tard avant la fin de chaque période.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9" w:name="_Toc19712679"/>
      <w:r>
        <w:rPr>
          <w:rFonts w:ascii="Times New Roman" w:hAnsi="Times New Roman"/>
          <w:b/>
          <w:noProof/>
        </w:rPr>
        <w:t>Exercice de la délégation</w:t>
      </w:r>
      <w:bookmarkEnd w:id="19"/>
    </w:p>
    <w:p w:rsidR="00036174" w:rsidRDefault="00517A5C">
      <w:pPr>
        <w:tabs>
          <w:tab w:val="left" w:pos="340"/>
          <w:tab w:val="left" w:pos="510"/>
          <w:tab w:val="left" w:pos="1021"/>
        </w:tabs>
        <w:spacing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La Commission a adopté un acte délégué sur la base de l’article 7 afin de tenir compte du progrès technique, à savoir: le </w:t>
      </w:r>
      <w:r>
        <w:rPr>
          <w:rFonts w:ascii="Times New Roman" w:hAnsi="Times New Roman"/>
          <w:b/>
          <w:noProof/>
        </w:rPr>
        <w:t>règlement délégué (UE) n° 1040/2014 de la Commission</w:t>
      </w:r>
      <w:r>
        <w:rPr>
          <w:rFonts w:ascii="Times New Roman" w:hAnsi="Times New Roman" w:cs="Times New Roman"/>
          <w:noProof/>
          <w:vertAlign w:val="superscript"/>
        </w:rPr>
        <w:footnoteReference w:id="5"/>
      </w:r>
      <w:r>
        <w:rPr>
          <w:rFonts w:ascii="Times New Roman" w:hAnsi="Times New Roman"/>
          <w:noProof/>
        </w:rPr>
        <w:t>. Cet acte délégué modifie l’annexe I, partie II, point 3, qui réglemente les tra</w:t>
      </w:r>
      <w:r>
        <w:rPr>
          <w:rFonts w:ascii="Times New Roman" w:hAnsi="Times New Roman"/>
          <w:noProof/>
        </w:rPr>
        <w:t>itements et substances autorisés, pour ajouter à la liste des substances autorisées les protéines végétales provenant du blé, de pois ou de pommes de terre destinées à la clarification des jus.</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lastRenderedPageBreak/>
        <w:t>Conformément à la convention d’entente sur les actes délégués</w:t>
      </w:r>
      <w:r>
        <w:rPr>
          <w:rStyle w:val="FootnoteReference"/>
          <w:rFonts w:ascii="Times New Roman" w:hAnsi="Times New Roman" w:cs="Times New Roman"/>
          <w:noProof/>
        </w:rPr>
        <w:footnoteReference w:id="6"/>
      </w:r>
      <w:r>
        <w:rPr>
          <w:rFonts w:ascii="Times New Roman" w:hAnsi="Times New Roman"/>
          <w:noProof/>
        </w:rPr>
        <w:t>, les experts des États membres ont été consultés au sein du groupe d’experts sur les marchés agricoles, notamment en ce qui concerne les aspects relevant du règlement «OCM unique». Le 25 juillet 2014, la Commission a adopté le règlement délégué (UE) n° 10</w:t>
      </w:r>
      <w:r>
        <w:rPr>
          <w:rFonts w:ascii="Times New Roman" w:hAnsi="Times New Roman"/>
          <w:noProof/>
        </w:rPr>
        <w:t>40/2014, qui a été notifié au Parlement européen et au Conseil. Ni le Parlement européen ni le Conseil n’ont formulé d’objection à l’égard de ce règlement délégué. Après l’expiration du délai de deux mois, le règlement délégué (UE) n° 1040/2014 de la Commi</w:t>
      </w:r>
      <w:r>
        <w:rPr>
          <w:rFonts w:ascii="Times New Roman" w:hAnsi="Times New Roman"/>
          <w:noProof/>
        </w:rPr>
        <w:t xml:space="preserve">ssion a été publié au </w:t>
      </w:r>
      <w:r>
        <w:rPr>
          <w:rFonts w:ascii="Times New Roman" w:hAnsi="Times New Roman"/>
          <w:i/>
          <w:iCs/>
          <w:noProof/>
        </w:rPr>
        <w:t>Journal officiel de l’Union européenne</w:t>
      </w:r>
      <w:r>
        <w:rPr>
          <w:rFonts w:ascii="Times New Roman" w:hAnsi="Times New Roman"/>
          <w:noProof/>
        </w:rPr>
        <w:t xml:space="preserve"> L 288 du 2 octobre 2014 et est entré en vigueur le 5 octobre 2014.</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Pour l’heure, la Commission n’a pas l’intention de recourir à l’habilitation, à moins que les progrès techniques n’en viennent à</w:t>
      </w:r>
      <w:r>
        <w:rPr>
          <w:rFonts w:ascii="Times New Ro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1" w:name="_Toc19712680"/>
      <w:r>
        <w:rPr>
          <w:rFonts w:ascii="Times New Roman" w:hAnsi="Times New Roman"/>
          <w:b/>
          <w:noProof/>
        </w:rPr>
        <w:t>Conclusions</w:t>
      </w:r>
      <w:bookmarkEnd w:id="21"/>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Commission a correctement exercé ses pouvoirs délégués.</w:t>
      </w:r>
      <w:r>
        <w:rPr>
          <w:noProof/>
        </w:rPr>
        <w:t xml:space="preserve"> </w:t>
      </w:r>
      <w:r>
        <w:rPr>
          <w:rFonts w:ascii="Times New Roman" w:hAnsi="Times New Roman"/>
          <w:noProof/>
        </w:rPr>
        <w:t>Il ne peut être exclu que les habilitations se révèlent nécessaires à l’avenir.</w:t>
      </w:r>
    </w:p>
    <w:p w:rsidR="00036174" w:rsidRDefault="00517A5C">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22" w:name="_Toc19712681"/>
      <w:r>
        <w:rPr>
          <w:rFonts w:ascii="Times New Roman" w:hAnsi="Times New Roman"/>
          <w:b/>
          <w:smallCaps/>
          <w:noProof/>
        </w:rPr>
        <w:t>Directive 2001/113/CE du Conseil du 20 décembre 2001 relative aux confitures, gelé</w:t>
      </w:r>
      <w:r>
        <w:rPr>
          <w:rFonts w:ascii="Times New Roman" w:hAnsi="Times New Roman"/>
          <w:b/>
          <w:smallCaps/>
          <w:noProof/>
        </w:rPr>
        <w:t>es et marmelades de fruits, ainsi qu’à la crème de marrons, destinées à l’alimentation humaine</w:t>
      </w:r>
      <w:bookmarkEnd w:id="22"/>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3" w:name="_Toc19712682"/>
      <w:r>
        <w:rPr>
          <w:rFonts w:ascii="Times New Roman" w:hAnsi="Times New Roman"/>
          <w:b/>
          <w:noProof/>
        </w:rPr>
        <w:t>Introduction</w:t>
      </w:r>
      <w:bookmarkEnd w:id="23"/>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directive 2001/113/CE du Conseil</w:t>
      </w:r>
      <w:r>
        <w:rPr>
          <w:rFonts w:ascii="Times New Roman" w:hAnsi="Times New Roman" w:cs="Times New Roman"/>
          <w:noProof/>
          <w:vertAlign w:val="superscript"/>
        </w:rPr>
        <w:footnoteReference w:id="7"/>
      </w:r>
      <w:r>
        <w:rPr>
          <w:rFonts w:ascii="Times New Roman" w:hAnsi="Times New Roman"/>
          <w:noProof/>
        </w:rPr>
        <w:t xml:space="preserve"> établit des définitions et des règles communes pour la composition, les caractéristiques de fabrication et l’ét</w:t>
      </w:r>
      <w:r>
        <w:rPr>
          <w:rFonts w:ascii="Times New Roman" w:hAnsi="Times New Roman"/>
          <w:noProof/>
        </w:rPr>
        <w:t>iquetage des confitures, gelées et marmelades de fruits, ainsi que de la crème de marrons.</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En vertu de son article 5, la Commission est habilitée à adopter des actes délégués afin de modifier l’annexe II et l’annexe III, partie B, de la directive en vue de</w:t>
      </w:r>
      <w:r>
        <w:rPr>
          <w:rFonts w:ascii="Times New Roman" w:hAnsi="Times New Roman"/>
          <w:noProof/>
        </w:rPr>
        <w:t xml:space="preserve"> tenir compte du progrès technique et de l’évolution des normes internationales pertinentes.</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4" w:name="_Toc19712683"/>
      <w:r>
        <w:rPr>
          <w:rFonts w:ascii="Times New Roman" w:hAnsi="Times New Roman"/>
          <w:b/>
          <w:noProof/>
        </w:rPr>
        <w:t>Base juridique</w:t>
      </w:r>
      <w:bookmarkEnd w:id="24"/>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Le rapport est requis au titre de l’article 6, paragraphe 2. En vertu de cette disposition, le pouvoir d’adopter des actes délégués visé à l’article</w:t>
      </w:r>
      <w:r>
        <w:rPr>
          <w:rFonts w:ascii="Times New Roman" w:hAnsi="Times New Roman"/>
          <w:noProof/>
        </w:rPr>
        <w:t xml:space="preserve"> 5 est conféré à la Commission pour une période de cinq ans à compter du 18 novembre 2013. La Commission élabore un rapport relatif à la délégation de pouvoir au plus tard neuf mois avant la fin de la période de cinq ans. La délégation de pouvoir est tacit</w:t>
      </w:r>
      <w:r>
        <w:rPr>
          <w:rFonts w:ascii="Times New Roman" w:hAnsi="Times New Roman"/>
          <w:noProof/>
        </w:rPr>
        <w:t>ement prorogée pour des périodes d’une durée identique, sauf si le Parlement européen ou le Conseil s’oppose à cette prorogation trois mois au plus tard avant la fin de chaque période.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5" w:name="_Toc19712684"/>
      <w:r>
        <w:rPr>
          <w:rFonts w:ascii="Times New Roman" w:hAnsi="Times New Roman"/>
          <w:b/>
          <w:noProof/>
        </w:rPr>
        <w:t>Exercice de la délégation</w:t>
      </w:r>
      <w:bookmarkEnd w:id="25"/>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N’ayant constaté aucune nécessité de modifier</w:t>
      </w:r>
      <w:r>
        <w:rPr>
          <w:rFonts w:ascii="Times New Roman" w:hAnsi="Times New Roman"/>
          <w:noProof/>
        </w:rPr>
        <w:t xml:space="preserve"> l’annexe II ou l’annexe III, partie B, la Commission n’a adopté aucun acte délégué en vertu de l’article 5. Bien que la Commission n’ait pas l’intention de recourir à l’habilitation dans un avenir proche, il ne peut être exclu que celle-ci devienne nécess</w:t>
      </w:r>
      <w:r>
        <w:rPr>
          <w:rFonts w:ascii="Times New Roman" w:hAnsi="Times New Roman"/>
          <w:noProof/>
        </w:rPr>
        <w:t>aire.</w:t>
      </w:r>
    </w:p>
    <w:p w:rsidR="00036174" w:rsidRDefault="00517A5C">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6" w:name="_Toc19712685"/>
      <w:r>
        <w:rPr>
          <w:rFonts w:ascii="Times New Roman" w:hAnsi="Times New Roman"/>
          <w:b/>
          <w:noProof/>
        </w:rPr>
        <w:lastRenderedPageBreak/>
        <w:t>Conclusions</w:t>
      </w:r>
      <w:bookmarkEnd w:id="26"/>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L’habilitation n’a pas été utilisée, car il n’existait aucune obligation légale ni aucune nécessité de le faire.</w:t>
      </w:r>
      <w:r>
        <w:rPr>
          <w:noProof/>
        </w:rPr>
        <w:t xml:space="preserve"> </w:t>
      </w:r>
      <w:r>
        <w:rPr>
          <w:rFonts w:ascii="Times New Roman" w:hAnsi="Times New Roman"/>
          <w:noProof/>
        </w:rPr>
        <w:t>Il ne peut cependant être exclu que les habilitations se révèlent nécessaires à l’avenir.</w:t>
      </w:r>
    </w:p>
    <w:p w:rsidR="00036174" w:rsidRDefault="00517A5C">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La Commission invite le Parlement </w:t>
      </w:r>
      <w:r>
        <w:rPr>
          <w:rFonts w:ascii="Times New Roman" w:hAnsi="Times New Roman"/>
          <w:noProof/>
        </w:rPr>
        <w:t>européen et le Conseil à prendre acte du présent rapport.</w:t>
      </w:r>
    </w:p>
    <w:sectPr w:rsidR="00036174">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174" w:rsidRDefault="00517A5C">
      <w:pPr>
        <w:spacing w:after="0" w:line="240" w:lineRule="auto"/>
      </w:pPr>
      <w:r>
        <w:separator/>
      </w:r>
    </w:p>
  </w:endnote>
  <w:endnote w:type="continuationSeparator" w:id="0">
    <w:p w:rsidR="00036174" w:rsidRDefault="0051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517A5C">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944034"/>
      <w:docPartObj>
        <w:docPartGallery w:val="Page Numbers (Bottom of Page)"/>
        <w:docPartUnique/>
      </w:docPartObj>
    </w:sdtPr>
    <w:sdtEndPr>
      <w:rPr>
        <w:noProof/>
      </w:rPr>
    </w:sdtEndPr>
    <w:sdtContent>
      <w:p w:rsidR="00036174" w:rsidRDefault="00517A5C">
        <w:pPr>
          <w:pStyle w:val="Footer"/>
          <w:jc w:val="center"/>
        </w:pPr>
        <w:r>
          <w:fldChar w:fldCharType="begin"/>
        </w:r>
        <w:r>
          <w:instrText xml:space="preserve"> PAGE   \* MERGEFORMAT </w:instrText>
        </w:r>
        <w:r>
          <w:fldChar w:fldCharType="separate"/>
        </w:r>
        <w:r>
          <w:rPr>
            <w:noProof/>
          </w:rPr>
          <w:t>4</w:t>
        </w:r>
        <w:r>
          <w:fldChar w:fldCharType="end"/>
        </w:r>
      </w:p>
    </w:sdtContent>
  </w:sdt>
  <w:p w:rsidR="00036174" w:rsidRDefault="000361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174" w:rsidRDefault="00517A5C">
      <w:pPr>
        <w:spacing w:after="0" w:line="240" w:lineRule="auto"/>
      </w:pPr>
      <w:r>
        <w:separator/>
      </w:r>
    </w:p>
  </w:footnote>
  <w:footnote w:type="continuationSeparator" w:id="0">
    <w:p w:rsidR="00036174" w:rsidRDefault="00517A5C">
      <w:pPr>
        <w:spacing w:after="0" w:line="240" w:lineRule="auto"/>
      </w:pPr>
      <w:r>
        <w:continuationSeparator/>
      </w:r>
    </w:p>
  </w:footnote>
  <w:footnote w:id="1">
    <w:p w:rsidR="00036174" w:rsidRDefault="00517A5C">
      <w:pPr>
        <w:pStyle w:val="Footnote1"/>
      </w:pPr>
      <w:r>
        <w:rPr>
          <w:rStyle w:val="FootnoteReference"/>
        </w:rPr>
        <w:footnoteRef/>
      </w:r>
      <w:r>
        <w:t xml:space="preserve"> </w:t>
      </w:r>
      <w:r>
        <w:tab/>
        <w:t>Directive 2000/36/CE du Parlement européen et du Conseil du 23 juin 2000 relative aux produits de cacao et de chocolat destinés à l’alimentation humaine (J</w:t>
      </w:r>
      <w:r>
        <w:t>O L 197 du 3.8.2000, p. 19).</w:t>
      </w:r>
    </w:p>
  </w:footnote>
  <w:footnote w:id="2">
    <w:p w:rsidR="00036174" w:rsidRDefault="00517A5C">
      <w:pPr>
        <w:pStyle w:val="Footnote1"/>
      </w:pPr>
      <w:r>
        <w:rPr>
          <w:rStyle w:val="FootnoteReference"/>
        </w:rPr>
        <w:footnoteRef/>
      </w:r>
      <w:r>
        <w:t xml:space="preserve"> </w:t>
      </w:r>
      <w:r>
        <w:tab/>
        <w:t>Directive 2001/110/CE du Conseil du 20 décembre 2001 relative au miel (JO L 10 du 12.1.2002, p. 47).</w:t>
      </w:r>
    </w:p>
  </w:footnote>
  <w:footnote w:id="3">
    <w:p w:rsidR="00036174" w:rsidRDefault="00517A5C">
      <w:pPr>
        <w:pStyle w:val="Footnote1"/>
        <w:spacing w:after="0"/>
      </w:pPr>
      <w:r>
        <w:rPr>
          <w:rStyle w:val="FootnoteReference"/>
        </w:rPr>
        <w:footnoteRef/>
      </w:r>
      <w:r>
        <w:t xml:space="preserve"> </w:t>
      </w:r>
      <w:r>
        <w:tab/>
        <w:t xml:space="preserve">Directive 2001/111/CE du Conseil du 20 décembre 2001 relative à certains sucres destinés à l’alimentation humaine (JO L </w:t>
      </w:r>
      <w:r>
        <w:t>10 du 12.1.2002, p. 53).</w:t>
      </w:r>
    </w:p>
  </w:footnote>
  <w:footnote w:id="4">
    <w:p w:rsidR="00036174" w:rsidRDefault="00517A5C">
      <w:pPr>
        <w:pStyle w:val="Footnote1"/>
      </w:pPr>
      <w:r>
        <w:rPr>
          <w:rStyle w:val="FootnoteReference"/>
        </w:rPr>
        <w:footnoteRef/>
      </w:r>
      <w:r>
        <w:t xml:space="preserve"> </w:t>
      </w:r>
      <w:r>
        <w:tab/>
        <w:t>Directive 2001/112/CE du Conseil du 20 décembre 2001 relative aux jus de fruits et à certains produits similaires destinés à l’alimentation humaine (JO L 010 du 12.1.2002</w:t>
      </w:r>
      <w:r w:rsidRPr="00517A5C">
        <w:t> </w:t>
      </w:r>
      <w:r>
        <w:t>; p. 58).</w:t>
      </w:r>
    </w:p>
  </w:footnote>
  <w:footnote w:id="5">
    <w:p w:rsidR="00036174" w:rsidRDefault="00517A5C">
      <w:pPr>
        <w:pStyle w:val="Footnote1"/>
      </w:pPr>
      <w:r>
        <w:rPr>
          <w:rStyle w:val="FootnoteReference"/>
        </w:rPr>
        <w:footnoteRef/>
      </w:r>
      <w:r>
        <w:t xml:space="preserve"> </w:t>
      </w:r>
      <w:r>
        <w:tab/>
        <w:t>Règlement délégué (UE) n° 1040/2014 de la Co</w:t>
      </w:r>
      <w:r>
        <w:t>mmission du 25 juillet 2014 modifiant la directive 2001/112/CE du Conseil relative aux jus de fruits et à certains produits similaires destinés à l’alimentation humaine afin d’adapter son annexe I au progrès technique (JO L 288 du 2.10.2014, p. 1)</w:t>
      </w:r>
      <w:r>
        <w:cr/>
      </w:r>
      <w:r>
        <w:br/>
      </w:r>
      <w:bookmarkStart w:id="20" w:name="_GoBack"/>
      <w:bookmarkEnd w:id="20"/>
    </w:p>
  </w:footnote>
  <w:footnote w:id="6">
    <w:p w:rsidR="00036174" w:rsidRDefault="00517A5C">
      <w:pPr>
        <w:pStyle w:val="FootnoteText"/>
      </w:pPr>
      <w:r>
        <w:rPr>
          <w:rStyle w:val="FootnoteReference"/>
        </w:rPr>
        <w:footnoteRef/>
      </w:r>
      <w:r>
        <w:t xml:space="preserve"> </w:t>
      </w:r>
      <w:r>
        <w:tab/>
        <w:t>Con</w:t>
      </w:r>
      <w:r>
        <w:t>vention d’entente sur les actes délégués, 2011 (non publiée).</w:t>
      </w:r>
    </w:p>
  </w:footnote>
  <w:footnote w:id="7">
    <w:p w:rsidR="00036174" w:rsidRDefault="00517A5C">
      <w:pPr>
        <w:pStyle w:val="FootnoteText"/>
      </w:pPr>
      <w:r>
        <w:rPr>
          <w:rStyle w:val="FootnoteReference"/>
        </w:rPr>
        <w:footnoteRef/>
      </w:r>
      <w:r>
        <w:t xml:space="preserve"> </w:t>
      </w:r>
      <w:r>
        <w:tab/>
        <w:t>Directive 2001/113/CE du Conseil du 20 décembre 2001 relative aux confitures, gelées et marmelades de fruits, ainsi qu’à la crème de marrons, destinées à l’alimentation humaine (JO L 10 du 12</w:t>
      </w:r>
      <w:r>
        <w:t>.1.2002, p. 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74" w:rsidRDefault="00036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AC6"/>
    <w:multiLevelType w:val="multilevel"/>
    <w:tmpl w:val="FF2AA9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225C5"/>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653E58"/>
    <w:multiLevelType w:val="hybridMultilevel"/>
    <w:tmpl w:val="0DDE5CA6"/>
    <w:lvl w:ilvl="0" w:tplc="06321D7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270350CD"/>
    <w:multiLevelType w:val="hybridMultilevel"/>
    <w:tmpl w:val="69208A2C"/>
    <w:lvl w:ilvl="0" w:tplc="15F0DA12">
      <w:start w:val="1"/>
      <w:numFmt w:val="decimal"/>
      <w:lvlText w:val="%1."/>
      <w:lvlJc w:val="left"/>
      <w:pPr>
        <w:ind w:left="735" w:hanging="37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8CB1D1E"/>
    <w:multiLevelType w:val="hybridMultilevel"/>
    <w:tmpl w:val="97EE051E"/>
    <w:lvl w:ilvl="0" w:tplc="5C18841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E4B1C5C"/>
    <w:multiLevelType w:val="hybridMultilevel"/>
    <w:tmpl w:val="B78041F0"/>
    <w:lvl w:ilvl="0" w:tplc="EFEE19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5DD1A6C"/>
    <w:multiLevelType w:val="hybridMultilevel"/>
    <w:tmpl w:val="4D10B944"/>
    <w:lvl w:ilvl="0" w:tplc="D178949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B184E11"/>
    <w:multiLevelType w:val="hybridMultilevel"/>
    <w:tmpl w:val="04D25B18"/>
    <w:lvl w:ilvl="0" w:tplc="0D8621C2">
      <w:start w:val="1"/>
      <w:numFmt w:val="decimal"/>
      <w:lvlText w:val="%1)"/>
      <w:lvlJc w:val="left"/>
      <w:pPr>
        <w:ind w:left="2061"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864574"/>
    <w:multiLevelType w:val="hybridMultilevel"/>
    <w:tmpl w:val="7116CE70"/>
    <w:lvl w:ilvl="0" w:tplc="B73851C2">
      <w:start w:val="1"/>
      <w:numFmt w:val="lowerLetter"/>
      <w:pStyle w:val="Listparagraph2"/>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55DD3630"/>
    <w:multiLevelType w:val="hybridMultilevel"/>
    <w:tmpl w:val="793674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09B5D0C"/>
    <w:multiLevelType w:val="hybridMultilevel"/>
    <w:tmpl w:val="C960FC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76E7A42"/>
    <w:multiLevelType w:val="hybridMultilevel"/>
    <w:tmpl w:val="20A603A0"/>
    <w:lvl w:ilvl="0" w:tplc="4DEE244E">
      <w:start w:val="1"/>
      <w:numFmt w:val="upperLetter"/>
      <w:lvlText w:val="%1)"/>
      <w:lvlJc w:val="left"/>
      <w:pPr>
        <w:ind w:left="720" w:hanging="360"/>
      </w:pPr>
      <w:rPr>
        <w:rFonts w:ascii="Times New Roman" w:eastAsiaTheme="minorHAnsi" w:hAnsi="Times New Roman"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17" w15:restartNumberingAfterBreak="0">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15:restartNumberingAfterBreak="0">
    <w:nsid w:val="7DAC792C"/>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7"/>
    <w:lvlOverride w:ilvl="0">
      <w:startOverride w:val="3"/>
    </w:lvlOverride>
    <w:lvlOverride w:ilvl="1">
      <w:startOverride w:val="1"/>
    </w:lvlOverride>
  </w:num>
  <w:num w:numId="3">
    <w:abstractNumId w:val="9"/>
  </w:num>
  <w:num w:numId="4">
    <w:abstractNumId w:val="17"/>
    <w:lvlOverride w:ilvl="0">
      <w:startOverride w:val="2"/>
    </w:lvlOverride>
    <w:lvlOverride w:ilvl="1">
      <w:startOverride w:val="4"/>
    </w:lvlOverride>
  </w:num>
  <w:num w:numId="5">
    <w:abstractNumId w:val="12"/>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6"/>
  </w:num>
  <w:num w:numId="32">
    <w:abstractNumId w:val="16"/>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3">
    <w:abstractNumId w:val="4"/>
  </w:num>
  <w:num w:numId="34">
    <w:abstractNumId w:val="14"/>
  </w:num>
  <w:num w:numId="35">
    <w:abstractNumId w:val="2"/>
  </w:num>
  <w:num w:numId="36">
    <w:abstractNumId w:val="5"/>
  </w:num>
  <w:num w:numId="37">
    <w:abstractNumId w:val="15"/>
  </w:num>
  <w:num w:numId="38">
    <w:abstractNumId w:val="8"/>
  </w:num>
  <w:num w:numId="39">
    <w:abstractNumId w:val="3"/>
  </w:num>
  <w:num w:numId="40">
    <w:abstractNumId w:val="7"/>
  </w:num>
  <w:num w:numId="41">
    <w:abstractNumId w:val="13"/>
  </w:num>
  <w:num w:numId="42">
    <w:abstractNumId w:val="6"/>
  </w:num>
  <w:num w:numId="43">
    <w:abstractNumId w:val="0"/>
  </w:num>
  <w:num w:numId="44">
    <w:abstractNumId w:val="1"/>
  </w:num>
  <w:num w:numId="45">
    <w:abstractNumId w:val="17"/>
  </w:num>
  <w:num w:numId="4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51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5114CFE4-3762-41D5-9C4C-DA4408CCC4B9"/>
    <w:docVar w:name="LW_COVERPAGE_TYPE" w:val="1"/>
    <w:docVar w:name="LW_CROSSREFERENCE" w:val="&lt;UNUSED&gt;"/>
    <w:docVar w:name="LW_DATE.ADOPT.CP_ISODATE" w:val="&lt;EMPTY&gt;"/>
    <w:docVar w:name="LW_DocType" w:val="NORMAL"/>
    <w:docVar w:name="LW_EMISSION" w:val="27.9.2019"/>
    <w:docVar w:name="LW_EMISSION_ISODATE" w:val="2019-09-27"/>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f à l\u8217?exercice du pouvoir d\u8217?adopter des actes délégués conféré à la Commission en vertu de la directive 2000/36/CE du Parlement européen et du Conseil du 23 juin 2000 relative aux produits de cacao et de chocolat destinés à l'alimentation humaine, de la directive 2001/110/CE du Conseil du 20 décembre 2001 relative au miel, de la directive 2001/111/CE du Conseil du 20 décembre 2001 relative à certains sucres destinés à l'alimentation humaine, de la directive 2001/112/CE du Conseil du 20 décembre 2001 relative aux jus de fruits et à certains produits similaires destinés à l'alimentation humaine, et de la directive 2001/113/CE du Conseil du 20 décembre 2001 relative aux confitures, gelées et marmelades de fruits, ainsi qu'à la crème de marrons, destinées à l'alimentation humaine&lt;/FMT&gt;"/>
    <w:docVar w:name="LW_TYPE.DOC.CP" w:val="RAPPORT DE LA COMMISSION AU PARLEMENT EUROPÉEN ET AU CONSEIL"/>
    <w:docVar w:name="LW_TYPEACTEPRINCIPAL.CP" w:val="&lt;UNUSED&gt;"/>
  </w:docVars>
  <w:rsids>
    <w:rsidRoot w:val="00036174"/>
    <w:rsid w:val="00036174"/>
    <w:rsid w:val="0051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00A03069-3DF5-4339-A5E0-BB3BD3AB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298684-B9F9-4312-99F0-536C4B55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2111</Words>
  <Characters>10877</Characters>
  <Application>Microsoft Office Word</Application>
  <DocSecurity>0</DocSecurity>
  <Lines>187</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KOUTZIAVASILI Dimitra (SG)</cp:lastModifiedBy>
  <cp:revision>26</cp:revision>
  <cp:lastPrinted>2019-08-05T15:24:00Z</cp:lastPrinted>
  <dcterms:created xsi:type="dcterms:W3CDTF">2019-08-22T11:39:00Z</dcterms:created>
  <dcterms:modified xsi:type="dcterms:W3CDTF">2019-09-26T07:54:00Z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