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D82242B-9072-4EA7-B0C9-F5E75F38A1C5" style="width:450.75pt;height:419.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  <w:u w:val="single"/>
        </w:rPr>
      </w:pPr>
      <w:bookmarkStart w:id="1" w:name="_GoBack"/>
      <w:bookmarkEnd w:id="1"/>
      <w:r>
        <w:rPr>
          <w:noProof/>
          <w:u w:val="single"/>
        </w:rPr>
        <w:lastRenderedPageBreak/>
        <w:t>Приложение 1</w:t>
      </w:r>
    </w:p>
    <w:p>
      <w:pPr>
        <w:rPr>
          <w:noProof/>
          <w:u w:val="single"/>
        </w:rPr>
      </w:pPr>
    </w:p>
    <w:p>
      <w:pPr>
        <w:rPr>
          <w:noProof/>
        </w:rPr>
      </w:pPr>
      <w:r>
        <w:rPr>
          <w:noProof/>
        </w:rPr>
        <w:t>Брой докладвани разрешения за износ, издадени от държавите членки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съгласно член 20, параграф 2 от Регламент (ЕС) 2019/125</w:t>
      </w:r>
    </w:p>
    <w:p>
      <w:pPr>
        <w:rPr>
          <w:noProof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2824"/>
        <w:gridCol w:w="2824"/>
      </w:tblGrid>
      <w:tr>
        <w:tc>
          <w:tcPr>
            <w:tcW w:w="2952" w:type="dxa"/>
          </w:tcPr>
          <w:p>
            <w:pPr>
              <w:rPr>
                <w:i/>
                <w:noProof/>
              </w:rPr>
            </w:pPr>
          </w:p>
        </w:tc>
        <w:tc>
          <w:tcPr>
            <w:tcW w:w="295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2017 г.</w:t>
            </w:r>
          </w:p>
        </w:tc>
        <w:tc>
          <w:tcPr>
            <w:tcW w:w="295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2018 г.</w:t>
            </w:r>
          </w:p>
        </w:tc>
      </w:tr>
      <w:tr>
        <w:tc>
          <w:tcPr>
            <w:tcW w:w="295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ЕС</w:t>
            </w:r>
          </w:p>
        </w:tc>
        <w:tc>
          <w:tcPr>
            <w:tcW w:w="295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292</w:t>
            </w:r>
          </w:p>
        </w:tc>
        <w:tc>
          <w:tcPr>
            <w:tcW w:w="295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231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Дания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187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142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Нидерландия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37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Словения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Швеция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Обединено кралство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държави членки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lastRenderedPageBreak/>
        <w:t>Приложение 2</w:t>
      </w:r>
    </w:p>
    <w:p>
      <w:pPr>
        <w:rPr>
          <w:noProof/>
          <w:u w:val="single"/>
        </w:rPr>
      </w:pPr>
    </w:p>
    <w:p>
      <w:pPr>
        <w:rPr>
          <w:noProof/>
        </w:rPr>
      </w:pPr>
      <w:r>
        <w:rPr>
          <w:noProof/>
        </w:rPr>
        <w:t>Докладвана крайна употреба на разрешения износ за трети държави през 2017 г., по категории продукти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(вж. приложения III и IV към Регламент (ЕС) 2019/125 за пълни описания на продуктите)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Износ от ЕС през 2017 г.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Вписване по приложение III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Брой или количество стоки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Крайна употреба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Букаи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498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правоприлагане (497);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производител (1)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Отделни белезници или халки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правоприлагане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Качулки против плюене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2.1 Преносими устройства с електрически разряд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73 416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търговец (70 000); частно охранително дружество (2 600); полицията (808)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Комплекти за сглобяване на 2.1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Устройства с електрически разряд с голям обхват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Преносими химически оръжия или приспособления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176 114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търговец (153 000); частно охранително дружество (12 612); правоприлагане (10 000); защита (500); други (2)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40 000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полицията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Олеорезин капсикум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Пиперен спрей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полицията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3.5 Стационарно химическо оборудване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Химическо оборудване с голям обхват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 xml:space="preserve">Вписване по приложение IV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а) амобарбитал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лаборатории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б) натриева сол на амобарбитал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в) пентобарбитал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лаборатории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г) натриева сол на пентобарбитал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516 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ветеринарна употреба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д) секобарбитал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 mg и 1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лаборатории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е) натриева сол на секобарбитал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ж) тиопентал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181 650 флакона, </w:t>
            </w:r>
            <w:r>
              <w:rPr>
                <w:noProof/>
              </w:rPr>
              <w:br/>
              <w:t xml:space="preserve">45,88 kg, </w:t>
            </w:r>
            <w:r>
              <w:rPr>
                <w:noProof/>
              </w:rPr>
              <w:br/>
              <w:t>20 mg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медицинска употреба (флакони), фармацевтично дружество (kg), лаборатория (mg)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з) натриева сол на тиопентал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1 372 100 флакона, 224,22 kg, 37 600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медицинска употреба и търговци (флакони), фармацевтичната промишленост (kg), търговец на едро (ml)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Друг анестетичен агент барбитурат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 ml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болница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Смеси, посочени в забележката в приложение IV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Приложение 3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Докладвана крайна употреба на разрешения износ за трети държави през 2018 г., по категории продукти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(вж. приложения III и IV към Регламент (ЕС) 2019/125 за пълни описания на продуктите)</w:t>
      </w:r>
    </w:p>
    <w:p>
      <w:pPr>
        <w:rPr>
          <w:noProof/>
        </w:rPr>
      </w:pP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Износ от ЕС през 2018 г.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Вписване по приложение III</w:t>
            </w: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Брой или количество стоки</w:t>
            </w:r>
            <w:r>
              <w:rPr>
                <w:rStyle w:val="FootnoteReference"/>
                <w:b/>
                <w:noProof/>
              </w:rPr>
              <w:footnoteReference w:id="6"/>
            </w: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Крайна употреба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Букаи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555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правоприлагане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Отделни белезници или халки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„правителство“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Качулки против плюене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2.1 Преносими устройства с електрически разряд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75 039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търговци (75 000) и полицията (39)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Комплекти за сглобяване на 2.1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Устройства с електрически разряд с голям обхват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Преносими химически оръжия или приспособления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184 752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търговци (175 000), потребители (7 500), частно охранително дружество (1 932), митниците (200), полицията (76), ООН (34)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Олеорезин капсикум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6,1 kg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хранителната промишленост (kg)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Пиперен спрей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1445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частно охранително дружество (1 000) и полицията (445)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3.5 Стационарно химическо оборудване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Химическо оборудване с голям обхват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Вписване по приложение IV</w:t>
            </w: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а) амобарбитал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б) натриева сол на амобарбитал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в) пентобарбитал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10 mg и 6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лаборатории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г) натриева сол на пентобарбитал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328,8 l и </w:t>
            </w:r>
            <w:r>
              <w:rPr>
                <w:noProof/>
              </w:rPr>
              <w:br/>
              <w:t>6 x 100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ветеринарна употреба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д) секобарбитал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е) натриева сол на секобарбитал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ж) тиопентал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52 000 флакона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медицинска употреба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з) натриева сол на тиопентал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1 452 000 флакона и 70,475 kg</w:t>
            </w:r>
          </w:p>
        </w:tc>
        <w:tc>
          <w:tcPr>
            <w:tcW w:w="2214" w:type="dxa"/>
          </w:tcPr>
          <w:p>
            <w:pPr>
              <w:keepLines/>
              <w:rPr>
                <w:noProof/>
              </w:rPr>
            </w:pPr>
            <w:r>
              <w:rPr>
                <w:noProof/>
              </w:rPr>
              <w:t>търговци (1 100 000 флакона), фармацевтичната промишленост (40 kg), болници и медицинска употреба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Друг анестетичен агент барбитурат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Смеси, посочени в забележката в приложение IV</w:t>
            </w:r>
            <w:r>
              <w:rPr>
                <w:rStyle w:val="FootnoteReference"/>
                <w:noProof/>
              </w:rPr>
              <w:footnoteReference w:id="7"/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</w:tbl>
    <w:p>
      <w:pPr>
        <w:rPr>
          <w:noProof/>
          <w:u w:val="single"/>
        </w:rPr>
      </w:pPr>
    </w:p>
    <w:p>
      <w:pPr>
        <w:rPr>
          <w:noProof/>
          <w:u w:val="single"/>
        </w:rPr>
      </w:pPr>
    </w:p>
    <w:p>
      <w:pPr>
        <w:rPr>
          <w:noProof/>
          <w:u w:val="single"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Приложение 4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Докладвани местоназначения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на разрешения износ през 2017 г., по категории продукти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4428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Местоназначения на износа от ЕС през 2017 г.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Вписване по приложение III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Букаи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Австралия, Андора, Аржентина, Коста Рика, Русия, Съединени американски щати, Швейцария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Отделни белезници или халки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Качулки против плюене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2.1 Преносими устройства с електрически разряд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Андора, Босна и Херцеговина, Нигерия, Нова Каледония, Сърбия, Черна гора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Комплекти за сглобяване на 2.1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Устройства с електрически разряд с голям обхват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Преносими химически оръжия или приспособления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Андора, Бангладеш, Босна и Херцеговина, Венесуела, Гана, Демократична република Конго, Индия, Камбоджа, Коста Рика, Ливан, Намибия, Нигер, Нигерия, Съединени американски щати, Сърбия, Тайван, Тунис, Украйна, Уругвай, Черна гора, Чили, Швейцария, Южна Африка, Япония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Ангила, Австралия, Бермуда, Бразилия, Индия, Обединени арабски емирства, Русия, Сингапур, Тайван, Турция, Фолкландски острови, Швейцария, Южна Африка, Южна Корея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Олеорезин капсикум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Индия, Кения, Китай, Нигерия, нидерландска карибска територия, Норвегия, Сингапур, Съединени американски щати, Украйна, Швейцария, Южна Африка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Пиперен спрей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Руска федерация, Съединени американски щати, Турция, Швейцария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3.5 Стационарно химическо оборудване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Химическо оборудване с голям обхват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4428"/>
      </w:tblGrid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Вписване по приложение IV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а) амобарбитал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Швейцария, Южна Африка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б) натриева сол на амобарбитал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в) пентобарбитал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Норвегия, Швейцария, Южна Африка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г) натриева сол на пентобарбитал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Австралия, Канада, Китай, Малайзия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д) секобарбитал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Мексико, Швейцария, Южна Африка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е) натриева сол на секобарбитал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ж) тиопентал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Ангола, Босна и Херцеговина, Гвинея-Бисау, Коста Рика, Мавритания, Мексико, Сърбия, Южна Африка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з) натриева сол на тиопентал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Алжир, Бангладеш, Боливия, Габон, Гамбия, Гвиана, Екваториална Гвинея, Индия, Ирак, Иран, Йемен, Йордания, Катар, Китай (Хонконг), Кот д’Ивоар, Либерия, Ливан, Сиера Леоне, Сингапур, Сирия, Того, Турция, Хаити, Централноафриканска република, Швейцария, Южен Судан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Друго или без спецификация по приложение IV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Австралия, Аржентина, Бангладеш, Гана, Канада, Колумбия, Куба, Египет, Еквадор, Израел, Индонезия, Иран, Йордания, Кения, Либия, Мексико, Нова Зеландия, Норвегия, Оман, Пакистан, Перу, Саудитска Арабия, Судан, Турция, Уганда, Уругвай, Чили, Швейцария, Южна Африка, Южна Корея, Япония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Приложение 5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Докладвани местоназначения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на разрешения износ през 2018 г., по категории продукти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4428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Местоназначения на износа от ЕС през 2018 г.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Вписване по приложение III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Букаи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Бахрейн, Ботсуана, Нова Зеландия, Съединени американски щати, Черна гора, Швейцария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Отделни белезници или халки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ОАЕ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Качулки против плюене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2.1 Преносими устройства с електрически разряд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Азербайджан, Босна и Херцеговина, Молдова, Нигерия, нидерландска карибска територия, Саудитска Арабия, Сърбия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Комплекти за сглобяване на 2.1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Устройства с електрически разряд с голям обхват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Преносими химически оръжия или приспособления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Азербайджан, Андора, Аржентина, Армения, Босна и Херцеговина, Етиопия, Израел, Индия, Йордания, Косово</w:t>
            </w:r>
            <w:r>
              <w:rPr>
                <w:rStyle w:val="FootnoteReference"/>
                <w:noProof/>
              </w:rPr>
              <w:footnoteReference w:id="10"/>
            </w:r>
            <w:r>
              <w:rPr>
                <w:noProof/>
              </w:rPr>
              <w:t xml:space="preserve">, Либерия, Молдова, Нигер, Нигерия, Саудитска Арабия, Сомалия, Съединени американски щати, Сърбия, Тайван, Танзания, Обединени арабски емирства, Украйна, Централноафриканска република, Черна гора, Швейцария, Южна Африка, Япония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Австралия, Бразилия, Индия, Обединени арабски емирства, Русия, Швейцария, Южна Африка, Южна Корея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Олеорезин капсикум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Австралия, Андора, Аржентина, Кения, нидерландска карибска територия, Руска федерация, Сингапур, Тунис, Украйна, Швейцария, Южна Африка, Япония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Пиперен спрей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Китай, Русия, Сингапур, Съединени американски щати, Швейцария, Украйна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3.5 Стационарно химическо оборудване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Химическо оборудване с голям обхват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Вписване по приложение IV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а) амобарбитал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б) натриева сол на амобарбитал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в) пентобарбитал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Саудитска Арабия, Съединени американски щати, Сърбия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г) натриева сол на пентобарбитал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Белиз, Канада, Китай, Косово, Малайзия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д) секобарбитал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Саудитска Арабия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е) натриева сол на секобарбитал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Не се прилага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ж) тиопентал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Босна и Херцеговина, Сърбия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 з) натриева сол на тиопентал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Албания, Алжир, Аржентина, Бангладеш, Белиз, Гана, Гвинея-Конакри, Грузия, Източен Тимор, Ирак, Иран, Кот д’Ивоар, Ливан, Малави, Нигер, Нигерия, Саудитска Арабия, Сиера Леоне, Сингапур, Сирия, Судан, Таджикистан, Того, Турция, Хаити, Централноафриканска република, Чад, Швейцария, Южен Судан, Южна Африка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Друго или без спецификация по приложение IV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Австралия, Аржентина, Етиопия, Зимбабве, Иран, Канада, Колумбия, Кения, Куба, Малайзия, Норвегия, Перу, Суринам, Турция, Чили, Швейцария, Южна Африка, Южна Корея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Генералното разрешение на Съюза за износ (приложение V към Регламент (ЕС) 2019/125) не е разрешение, предоставяно от държава членка.</w:t>
      </w:r>
    </w:p>
  </w:footnote>
  <w:footnote w:id="2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ab/>
        <w:t>Една държава членка не е предоставила информация относно броя или количествата и категориите на крайните потребители.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За количествата се дава конкретна мярка.</w:t>
      </w:r>
    </w:p>
  </w:footnote>
  <w:footnote w:id="4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Продукти, съдържащи един от анестетичните агенти, посочени в списъка на анестетичните агенти барбитурати с бързо или интермедиерно действие.</w:t>
      </w:r>
    </w:p>
  </w:footnote>
  <w:footnote w:id="5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Една държава членка не е предоставила информация относно броя или количествата и категориите на крайните потребители.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За количествата се дава конкретна мярка.</w:t>
      </w:r>
    </w:p>
  </w:footnote>
  <w:footnote w:id="7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Продукти, съдържащи един от анестетичните агенти, посочени в списъка на анестетичните агенти барбитурати с бързо или интермедиерно действие.</w:t>
      </w:r>
    </w:p>
  </w:footnote>
  <w:footnote w:id="8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Терминът „нидерландска карибска територия“ се отнася до нидерландските територии, които не са включени в митническата територия на Съюза, а именно Аруба, Бонер, Кюрасао, Саба, Синт Еустациус и Синт Мартен.</w:t>
      </w:r>
    </w:p>
  </w:footnote>
  <w:footnote w:id="9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Терминът „нидерландска карибска територия“ се отнася до нидерландските територии, които не са включени в митническата територия на Съюза, а именно Аруба, Бонер, Кюрасао, Саба, Синт Еустациус и Синт Мартен.</w:t>
      </w:r>
    </w:p>
  </w:footnote>
  <w:footnote w:id="10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Това название не засяга позициите по отношение на статута и е съобразено с Резолюция 1244/1999 на Съвета за сигурност на ООН и становището на Международния съд относно обявяването на независимост от страна на Косово.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D3"/>
    <w:multiLevelType w:val="multilevel"/>
    <w:tmpl w:val="17441560"/>
    <w:lvl w:ilvl="0">
      <w:start w:val="1"/>
      <w:numFmt w:val="decimal"/>
      <w:pStyle w:val="HeaderSensitivityRight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1">
    <w:nsid w:val="06674B3B"/>
    <w:multiLevelType w:val="multilevel"/>
    <w:tmpl w:val="9384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6F5762"/>
    <w:multiLevelType w:val="hybridMultilevel"/>
    <w:tmpl w:val="441C6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3227"/>
    <w:multiLevelType w:val="multilevel"/>
    <w:tmpl w:val="203A9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49DE"/>
    <w:multiLevelType w:val="multilevel"/>
    <w:tmpl w:val="41282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58D0"/>
    <w:multiLevelType w:val="hybridMultilevel"/>
    <w:tmpl w:val="203A9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423C"/>
    <w:multiLevelType w:val="hybridMultilevel"/>
    <w:tmpl w:val="78F4C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1D82A76"/>
    <w:multiLevelType w:val="multilevel"/>
    <w:tmpl w:val="5D445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5"/>
    <w:docVar w:name="LW_ANNEX_UNIQUE" w:val="0"/>
    <w:docVar w:name="LW_CORRIGENDUM" w:val="&lt;UNUSED&gt;"/>
    <w:docVar w:name="LW_COVERPAGE_EXISTS" w:val="True"/>
    <w:docVar w:name="LW_COVERPAGE_GUID" w:val="AD82242B-9072-4EA7-B0C9-F5E75F38A1C5"/>
    <w:docVar w:name="LW_COVERPAGE_TYPE" w:val="1"/>
    <w:docVar w:name="LW_CROSSREFERENCE" w:val="&lt;UNUSED&gt;"/>
    <w:docVar w:name="LW_DocType" w:val="NORMAL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44?\u1086?\u1082?\u1083?\u1072?\u1076? \u1079?\u1072? \u1080?\u1079?\u1076?\u1072?\u1076?\u1077?\u1085?\u1080?\u1090?\u1077? \u1087?\u1088?\u1077?\u1079? 2017 \u1080? 2018 \u1075?. \u1088?\u1072?\u1079?\u1088?\u1077?\u1096?\u1077?\u1085?\u1080?\u1103? \u1079?\u1072? \u1080?\u1079?\u1085?\u1086?\u1089? \u1074? \u1089?\u1098?\u1086?\u1090?\u1074?\u1077?\u1090?\u1089?\u1090?\u1074?\u1080?\u1077? \u1089? \u1056?\u1077?\u1075?\u1083?\u1072?\u1084?\u1077?\u1085?\u1090?\u1072? \u1086?\u1090?\u1085?\u1086?\u1089?\u1085?\u1086? \u1090?\u1098?\u1088?\u1075?\u1086?\u1074?\u1080?\u1103?\u1090?\u1072? \u1089? \u1085?\u1103?\u1082?\u1086?\u1080? \u1089?\u1090?\u1086?\u1082?\u1080?, \u1082?\u1086?\u1080?\u1090?\u1086? \u1073?\u1080?\u1093?\u1072? \u1084?\u1086?\u1075?\u1083?\u1080? \u1076?\u1072? \u1073?\u1098?\u1076?\u1072?\u1090? \u1080?\u1079?\u1087?\u1086?\u1083?\u1079?\u1074?\u1072?\u1085?\u1080? \u1089? \u1094?\u1077?\u1083? \u1080?\u1079?\u1087?\u1098?\u1083?\u1085?\u1077?\u1085?\u1080?\u1077? \u1085?\u1072? \u1089?\u1084?\u1098?\u1088?\u1090?\u1085?\u1086? \u1085?\u1072?\u1082?\u1072?\u1079?\u1072?\u1085?\u1080?\u1077?, \u1080?\u1079?\u1090?\u1077?\u1079?\u1072?\u1085?\u1080?\u1103? \u1080?\u1083?\u1080? \u1076?\u1088?\u1091?\u1075?\u1080? \u1092?\u1086?\u1088?\u1084?\u1080? \u1085?\u1072? \u1078?\u1077?\u1089?\u1090?\u1086?\u1082?\u1086?, \u1085?\u1077?\u1095?\u1086?\u1074?\u1077?\u1096?\u1082?\u1086? \u1080?\u1083?\u1080? \u1091?\u1085?\u1080?\u1079?\u1080?\u1090?\u1077?\u1083?\u1085?\u1086? \u1086?\u1090?\u1085?\u1086?\u1096?\u1077?\u1085?\u1080?\u1077? \u1080?\u1083?\u1080? \u1085?\u1072?\u1082?\u1072?\u1079?\u1072?\u1085?\u1080?\u1077?&lt;/FMT&gt;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4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lang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NumPar">
    <w:name w:val="LegalNumPar"/>
    <w:basedOn w:val="Normal"/>
    <w:pPr>
      <w:numPr>
        <w:numId w:val="6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6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6"/>
      </w:numPr>
      <w:spacing w:line="36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  <w:lang w:eastAsia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  <w:lang w:eastAsia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lang w:eastAsia="en-US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en-US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HeaderSensitivityRight">
    <w:name w:val="Header Sensitivity Right"/>
    <w:basedOn w:val="Normal"/>
    <w:link w:val="HeaderSensitivityRightChar"/>
    <w:pPr>
      <w:numPr>
        <w:numId w:val="2"/>
      </w:numPr>
      <w:spacing w:after="120"/>
      <w:ind w:left="0"/>
      <w:jc w:val="right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sz w:val="24"/>
      <w:szCs w:val="24"/>
      <w:lang w:eastAsia="en-US"/>
    </w:rPr>
  </w:style>
  <w:style w:type="character" w:customStyle="1" w:styleId="HeaderSensitivityRightChar">
    <w:name w:val="Header Sensitivity Right Char"/>
    <w:basedOn w:val="ListParagraphChar"/>
    <w:link w:val="HeaderSensitivityRight"/>
    <w:rPr>
      <w:sz w:val="28"/>
      <w:szCs w:val="24"/>
      <w:lang w:eastAsia="en-US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lang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NumPar">
    <w:name w:val="LegalNumPar"/>
    <w:basedOn w:val="Normal"/>
    <w:pPr>
      <w:numPr>
        <w:numId w:val="6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6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6"/>
      </w:numPr>
      <w:spacing w:line="36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  <w:lang w:eastAsia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  <w:lang w:eastAsia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lang w:eastAsia="en-US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en-US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HeaderSensitivityRight">
    <w:name w:val="Header Sensitivity Right"/>
    <w:basedOn w:val="Normal"/>
    <w:link w:val="HeaderSensitivityRightChar"/>
    <w:pPr>
      <w:numPr>
        <w:numId w:val="2"/>
      </w:numPr>
      <w:spacing w:after="120"/>
      <w:ind w:left="0"/>
      <w:jc w:val="right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sz w:val="24"/>
      <w:szCs w:val="24"/>
      <w:lang w:eastAsia="en-US"/>
    </w:rPr>
  </w:style>
  <w:style w:type="character" w:customStyle="1" w:styleId="HeaderSensitivityRightChar">
    <w:name w:val="Header Sensitivity Right Char"/>
    <w:basedOn w:val="ListParagraphChar"/>
    <w:link w:val="HeaderSensitivityRight"/>
    <w:rPr>
      <w:sz w:val="28"/>
      <w:szCs w:val="24"/>
      <w:lang w:eastAsia="en-US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1327</Words>
  <Characters>7650</Characters>
  <Application>Microsoft Office Word</Application>
  <DocSecurity>0</DocSecurity>
  <Lines>546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STRAVER Albertus (FPI)</dc:creator>
  <cp:lastModifiedBy>DIGIT/C6</cp:lastModifiedBy>
  <cp:revision>13</cp:revision>
  <dcterms:created xsi:type="dcterms:W3CDTF">2019-09-06T09:08:00Z</dcterms:created>
  <dcterms:modified xsi:type="dcterms:W3CDTF">2019-09-30T09:40:00Z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5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