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D6811DA-7CC0-439E-AC03-2BBA690F629B"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1</w:t>
      </w:r>
    </w:p>
    <w:p>
      <w:pPr>
        <w:suppressLineNumbers/>
        <w:pBdr>
          <w:top w:val="single" w:sz="4" w:space="1" w:color="auto"/>
          <w:bottom w:val="single" w:sz="4" w:space="1" w:color="auto"/>
        </w:pBdr>
        <w:spacing w:before="0" w:after="200" w:line="276" w:lineRule="auto"/>
        <w:jc w:val="left"/>
        <w:rPr>
          <w:b/>
          <w:caps/>
          <w:noProof/>
          <w:szCs w:val="24"/>
        </w:rPr>
      </w:pPr>
    </w:p>
    <w:p>
      <w:pPr>
        <w:suppressLineNumbers/>
        <w:pBdr>
          <w:top w:val="single" w:sz="4" w:space="1" w:color="auto"/>
          <w:bottom w:val="single" w:sz="4" w:space="1" w:color="auto"/>
        </w:pBdr>
        <w:spacing w:before="0" w:after="200" w:line="276" w:lineRule="auto"/>
        <w:jc w:val="center"/>
        <w:rPr>
          <w:b/>
          <w:caps/>
          <w:noProof/>
          <w:szCs w:val="24"/>
        </w:rPr>
      </w:pPr>
      <w:r>
        <w:rPr>
          <w:b/>
          <w:caps/>
          <w:noProof/>
        </w:rPr>
        <w:t xml:space="preserve">ACCORD TYPE DE TRANSFERT DE MATÉRIEL </w:t>
      </w:r>
      <w:r>
        <w:rPr>
          <w:b/>
          <w:caps/>
          <w:noProof/>
        </w:rPr>
        <w:br/>
      </w:r>
    </w:p>
    <w:p>
      <w:pPr>
        <w:suppressLineNumbers/>
        <w:spacing w:before="0" w:after="200" w:line="276" w:lineRule="auto"/>
        <w:jc w:val="left"/>
        <w:rPr>
          <w:noProof/>
          <w:szCs w:val="24"/>
        </w:rPr>
      </w:pPr>
    </w:p>
    <w:p>
      <w:pPr>
        <w:pStyle w:val="Titreobjet"/>
        <w:rPr>
          <w:noProof/>
        </w:rPr>
      </w:pPr>
      <w:r>
        <w:rPr>
          <w:noProof/>
        </w:rPr>
        <w:t>ARTICLE PREMIER — PARTIES À L’ACCORD</w:t>
      </w:r>
    </w:p>
    <w:p>
      <w:pPr>
        <w:pStyle w:val="ManualNumPar1"/>
        <w:rPr>
          <w:noProof/>
        </w:rPr>
      </w:pPr>
      <w:r>
        <w:rPr>
          <w:noProof/>
        </w:rPr>
        <w:t>1.1</w:t>
      </w:r>
      <w:r>
        <w:rPr>
          <w:noProof/>
        </w:rPr>
        <w:tab/>
        <w:t>Le présent accord de transfert de matériel (ci-après le «</w:t>
      </w:r>
      <w:r>
        <w:rPr>
          <w:b/>
          <w:bCs/>
          <w:noProof/>
        </w:rPr>
        <w:t>présent accord</w:t>
      </w:r>
      <w:r>
        <w:rPr>
          <w:noProof/>
        </w:rPr>
        <w:t xml:space="preserve">») est l’accord type de transfert de matériel mentionné à l’article 12.4 du </w:t>
      </w:r>
      <w:r>
        <w:rPr>
          <w:b/>
          <w:bCs/>
          <w:noProof/>
        </w:rPr>
        <w:t>traité</w:t>
      </w:r>
      <w:r>
        <w:rPr>
          <w:noProof/>
        </w:rPr>
        <w:t>.</w:t>
      </w:r>
    </w:p>
    <w:p>
      <w:pPr>
        <w:pStyle w:val="ManualNumPar1"/>
        <w:rPr>
          <w:rFonts w:eastAsia="PMingLiU"/>
          <w:noProof/>
        </w:rPr>
      </w:pPr>
      <w:r>
        <w:rPr>
          <w:noProof/>
        </w:rPr>
        <w:t>1.2</w:t>
      </w:r>
      <w:r>
        <w:rPr>
          <w:noProof/>
        </w:rPr>
        <w:tab/>
        <w:t>Le présent accord est conclu:</w:t>
      </w:r>
    </w:p>
    <w:p>
      <w:pPr>
        <w:pStyle w:val="Text1"/>
        <w:rPr>
          <w:noProof/>
        </w:rPr>
      </w:pPr>
      <w:r>
        <w:rPr>
          <w:noProof/>
        </w:rPr>
        <w:t>ENTRE: (nom et adresse du fournisseur – éventuellement une institution –, nom du responsable agréé, coordonnées du responsable agréé</w:t>
      </w:r>
      <w:r>
        <w:rPr>
          <w:noProof/>
          <w:vertAlign w:val="superscript"/>
        </w:rPr>
        <w:footnoteReference w:customMarkFollows="1" w:id="1"/>
        <w:t>*</w:t>
      </w:r>
      <w:r>
        <w:rPr>
          <w:noProof/>
        </w:rPr>
        <w:t>) (ci-après le «</w:t>
      </w:r>
      <w:r>
        <w:rPr>
          <w:b/>
          <w:bCs/>
          <w:noProof/>
        </w:rPr>
        <w:t>fournisseur</w:t>
      </w:r>
      <w:r>
        <w:rPr>
          <w:noProof/>
        </w:rPr>
        <w:t>»),</w:t>
      </w:r>
    </w:p>
    <w:p>
      <w:pPr>
        <w:pStyle w:val="Text1"/>
        <w:rPr>
          <w:noProof/>
        </w:rPr>
      </w:pPr>
      <w:r>
        <w:rPr>
          <w:noProof/>
        </w:rPr>
        <w:t>ET: (nom et adresse du bénéficiaire – éventuellement une institution –, nom du responsable agréé, coordonnées du responsable agréé*) (ci-après le «</w:t>
      </w:r>
      <w:r>
        <w:rPr>
          <w:b/>
          <w:bCs/>
          <w:noProof/>
        </w:rPr>
        <w:t>bénéficiaire</w:t>
      </w:r>
      <w:r>
        <w:rPr>
          <w:noProof/>
        </w:rPr>
        <w:t>»).</w:t>
      </w:r>
    </w:p>
    <w:p>
      <w:pPr>
        <w:pStyle w:val="ManualNumPar1"/>
        <w:rPr>
          <w:noProof/>
        </w:rPr>
      </w:pPr>
      <w:r>
        <w:rPr>
          <w:noProof/>
        </w:rPr>
        <w:t>1.3</w:t>
      </w:r>
      <w:r>
        <w:rPr>
          <w:noProof/>
        </w:rPr>
        <w:tab/>
        <w:t xml:space="preserve">Les parties au </w:t>
      </w:r>
      <w:r>
        <w:rPr>
          <w:b/>
          <w:bCs/>
          <w:noProof/>
        </w:rPr>
        <w:t>présent accord</w:t>
      </w:r>
      <w:r>
        <w:rPr>
          <w:noProof/>
        </w:rPr>
        <w:t xml:space="preserve"> conviennent de ce qui suit:</w:t>
      </w:r>
    </w:p>
    <w:p>
      <w:pPr>
        <w:pStyle w:val="Titreobjet"/>
        <w:rPr>
          <w:noProof/>
        </w:rPr>
      </w:pPr>
      <w:r>
        <w:rPr>
          <w:noProof/>
        </w:rPr>
        <w:t>ARTICLE 2 — DÉFINITIONS</w:t>
      </w:r>
    </w:p>
    <w:p>
      <w:pPr>
        <w:spacing w:before="0" w:after="200" w:line="276" w:lineRule="auto"/>
        <w:rPr>
          <w:noProof/>
          <w:szCs w:val="24"/>
        </w:rPr>
      </w:pPr>
      <w:r>
        <w:rPr>
          <w:noProof/>
        </w:rPr>
        <w:t xml:space="preserve">Aux fins du </w:t>
      </w:r>
      <w:r>
        <w:rPr>
          <w:b/>
          <w:bCs/>
          <w:noProof/>
        </w:rPr>
        <w:t>présent accord</w:t>
      </w:r>
      <w:r>
        <w:rPr>
          <w:noProof/>
        </w:rPr>
        <w:t>, les termes et expressions ci-après ont la signification suivante:</w:t>
      </w:r>
    </w:p>
    <w:p>
      <w:pPr>
        <w:spacing w:before="0" w:after="200" w:line="276" w:lineRule="auto"/>
        <w:rPr>
          <w:noProof/>
          <w:szCs w:val="24"/>
        </w:rPr>
      </w:pPr>
      <w:r>
        <w:rPr>
          <w:noProof/>
        </w:rPr>
        <w:t>«</w:t>
      </w:r>
      <w:r>
        <w:rPr>
          <w:b/>
          <w:bCs/>
          <w:i/>
          <w:iCs/>
          <w:noProof/>
        </w:rPr>
        <w:t>Disponible sans restriction</w:t>
      </w:r>
      <w:r>
        <w:rPr>
          <w:noProof/>
        </w:rPr>
        <w:t xml:space="preserve">»: un </w:t>
      </w:r>
      <w:r>
        <w:rPr>
          <w:b/>
          <w:bCs/>
          <w:noProof/>
        </w:rPr>
        <w:t>produit</w:t>
      </w:r>
      <w:r>
        <w:rPr>
          <w:noProof/>
        </w:rPr>
        <w:t xml:space="preserve"> est considéré comme disponible sans restriction à des fins de recherche et de sélection lorsqu’il peut être utilisé à des fins de recherche et de sélection sans aucune obligation juridique ni contractuelle, ou restriction technologique, qui empêcherait son utilisation de la façon spécifiée dans le </w:t>
      </w:r>
      <w:r>
        <w:rPr>
          <w:b/>
          <w:bCs/>
          <w:noProof/>
        </w:rPr>
        <w:t>traité</w:t>
      </w:r>
      <w:r>
        <w:rPr>
          <w:noProof/>
        </w:rPr>
        <w:t>.</w:t>
      </w:r>
    </w:p>
    <w:p>
      <w:pPr>
        <w:spacing w:before="0" w:after="200" w:line="276" w:lineRule="auto"/>
        <w:rPr>
          <w:noProof/>
          <w:szCs w:val="24"/>
        </w:rPr>
      </w:pPr>
      <w:r>
        <w:rPr>
          <w:noProof/>
        </w:rPr>
        <w:t>«</w:t>
      </w:r>
      <w:r>
        <w:rPr>
          <w:b/>
          <w:bCs/>
          <w:i/>
          <w:iCs/>
          <w:noProof/>
        </w:rPr>
        <w:t>Matériel génétique</w:t>
      </w:r>
      <w:r>
        <w:rPr>
          <w:noProof/>
        </w:rPr>
        <w:t>» désigne tout produit d’origine végétale, y compris le matériel de reproduction et de multiplication végétative, contenant des unités fonctionnelles de l’hérédité.</w:t>
      </w:r>
    </w:p>
    <w:p>
      <w:pPr>
        <w:spacing w:before="0" w:after="200" w:line="276" w:lineRule="auto"/>
        <w:outlineLvl w:val="0"/>
        <w:rPr>
          <w:noProof/>
          <w:szCs w:val="24"/>
        </w:rPr>
      </w:pPr>
      <w:r>
        <w:rPr>
          <w:noProof/>
        </w:rPr>
        <w:t>«</w:t>
      </w:r>
      <w:r>
        <w:rPr>
          <w:b/>
          <w:bCs/>
          <w:i/>
          <w:iCs/>
          <w:noProof/>
        </w:rPr>
        <w:t>Organe directeur</w:t>
      </w:r>
      <w:r>
        <w:rPr>
          <w:noProof/>
        </w:rPr>
        <w:t>» désigne l’</w:t>
      </w:r>
      <w:r>
        <w:rPr>
          <w:b/>
          <w:bCs/>
          <w:noProof/>
        </w:rPr>
        <w:t>organe directeur</w:t>
      </w:r>
      <w:r>
        <w:rPr>
          <w:noProof/>
        </w:rPr>
        <w:t xml:space="preserve"> du </w:t>
      </w:r>
      <w:r>
        <w:rPr>
          <w:b/>
          <w:bCs/>
          <w:noProof/>
        </w:rPr>
        <w:t>traité</w:t>
      </w:r>
      <w:r>
        <w:rPr>
          <w:noProof/>
        </w:rPr>
        <w:t>.</w:t>
      </w:r>
    </w:p>
    <w:p>
      <w:pPr>
        <w:spacing w:before="0" w:after="200" w:line="276" w:lineRule="auto"/>
        <w:rPr>
          <w:noProof/>
          <w:szCs w:val="24"/>
        </w:rPr>
      </w:pPr>
      <w:r>
        <w:rPr>
          <w:noProof/>
        </w:rPr>
        <w:t>«</w:t>
      </w:r>
      <w:r>
        <w:rPr>
          <w:b/>
          <w:bCs/>
          <w:i/>
          <w:iCs/>
          <w:noProof/>
        </w:rPr>
        <w:t>Système multilatéral</w:t>
      </w:r>
      <w:r>
        <w:rPr>
          <w:noProof/>
        </w:rPr>
        <w:t>» désigne le système multilatéral établi en vertu de l’article 10.2 du traité.</w:t>
      </w:r>
    </w:p>
    <w:p>
      <w:pPr>
        <w:spacing w:before="0" w:after="200" w:line="276" w:lineRule="auto"/>
        <w:rPr>
          <w:b/>
          <w:noProof/>
          <w:szCs w:val="24"/>
        </w:rPr>
      </w:pPr>
      <w:r>
        <w:rPr>
          <w:noProof/>
        </w:rPr>
        <w:t>«</w:t>
      </w:r>
      <w:r>
        <w:rPr>
          <w:b/>
          <w:bCs/>
          <w:i/>
          <w:iCs/>
          <w:noProof/>
        </w:rPr>
        <w:t>Ressources phytogénétiques pour l’alimentation et l’agriculture</w:t>
      </w:r>
      <w:r>
        <w:rPr>
          <w:noProof/>
        </w:rPr>
        <w:t xml:space="preserve">» désigne tout </w:t>
      </w:r>
      <w:r>
        <w:rPr>
          <w:b/>
          <w:bCs/>
          <w:noProof/>
        </w:rPr>
        <w:t>matériel génétique</w:t>
      </w:r>
      <w:r>
        <w:rPr>
          <w:noProof/>
        </w:rPr>
        <w:t xml:space="preserve"> d’origine végétale présentant un intérêt effectif ou potentiel pour l’alimentation et l’agriculture.</w:t>
      </w:r>
    </w:p>
    <w:p>
      <w:pPr>
        <w:spacing w:before="0" w:after="200" w:line="276" w:lineRule="auto"/>
        <w:rPr>
          <w:rFonts w:eastAsia="Arial Unicode MS"/>
          <w:noProof/>
          <w:szCs w:val="24"/>
        </w:rPr>
      </w:pPr>
      <w:r>
        <w:rPr>
          <w:noProof/>
        </w:rPr>
        <w:t>«</w:t>
      </w:r>
      <w:r>
        <w:rPr>
          <w:b/>
          <w:bCs/>
          <w:i/>
          <w:iCs/>
          <w:noProof/>
        </w:rPr>
        <w:t>Ressources phytogénétiques pour l’alimentation et l’agriculture en cours de mise au point</w:t>
      </w:r>
      <w:r>
        <w:rPr>
          <w:noProof/>
        </w:rPr>
        <w:t xml:space="preserve">» désigne du matériel issu du </w:t>
      </w:r>
      <w:r>
        <w:rPr>
          <w:b/>
          <w:bCs/>
          <w:noProof/>
        </w:rPr>
        <w:t>matériel</w:t>
      </w:r>
      <w:r>
        <w:rPr>
          <w:noProof/>
        </w:rPr>
        <w:t xml:space="preserve"> et qui en est donc distinct, qui n’est pas encore prêt pour la </w:t>
      </w:r>
      <w:r>
        <w:rPr>
          <w:b/>
          <w:bCs/>
          <w:noProof/>
        </w:rPr>
        <w:t>commercialisation</w:t>
      </w:r>
      <w:r>
        <w:rPr>
          <w:noProof/>
        </w:rPr>
        <w:t xml:space="preserve"> et que l’obtenteur souhaite mettre au point ou transférer à une autre personne physique ou morale en vue de sa mise au point. La période de mise au point des </w:t>
      </w:r>
      <w:r>
        <w:rPr>
          <w:b/>
          <w:bCs/>
          <w:noProof/>
        </w:rPr>
        <w:t>ressources phytogénétiques pour l’alimentation et l’agriculture en cours de mise au point</w:t>
      </w:r>
      <w:r>
        <w:rPr>
          <w:noProof/>
        </w:rPr>
        <w:t xml:space="preserve"> est réputée avoir cessé lorsque ces ressources sont </w:t>
      </w:r>
      <w:r>
        <w:rPr>
          <w:b/>
          <w:bCs/>
          <w:noProof/>
        </w:rPr>
        <w:t>commercialisées</w:t>
      </w:r>
      <w:r>
        <w:rPr>
          <w:noProof/>
        </w:rPr>
        <w:t xml:space="preserve"> sous forme de </w:t>
      </w:r>
      <w:r>
        <w:rPr>
          <w:b/>
          <w:bCs/>
          <w:noProof/>
        </w:rPr>
        <w:t>produit</w:t>
      </w:r>
      <w:r>
        <w:rPr>
          <w:noProof/>
        </w:rPr>
        <w:t>.</w:t>
      </w:r>
    </w:p>
    <w:p>
      <w:pPr>
        <w:spacing w:before="0" w:after="200" w:line="276" w:lineRule="auto"/>
        <w:rPr>
          <w:noProof/>
          <w:szCs w:val="24"/>
        </w:rPr>
      </w:pPr>
      <w:r>
        <w:rPr>
          <w:noProof/>
        </w:rPr>
        <w:t>«</w:t>
      </w:r>
      <w:r>
        <w:rPr>
          <w:b/>
          <w:bCs/>
          <w:i/>
          <w:iCs/>
          <w:noProof/>
        </w:rPr>
        <w:t>Produit</w:t>
      </w:r>
      <w:r>
        <w:rPr>
          <w:noProof/>
        </w:rPr>
        <w:t xml:space="preserve">» désigne des </w:t>
      </w:r>
      <w:r>
        <w:rPr>
          <w:b/>
          <w:bCs/>
          <w:noProof/>
        </w:rPr>
        <w:t>ressources phytogénétiques pour l’alimentation et l’agriculture</w:t>
      </w:r>
      <w:r>
        <w:rPr>
          <w:noProof/>
        </w:rPr>
        <w:t xml:space="preserve"> qui incorporent</w:t>
      </w:r>
      <w:r>
        <w:rPr>
          <w:rStyle w:val="FootnoteReference"/>
          <w:noProof/>
        </w:rPr>
        <w:footnoteReference w:id="2"/>
      </w:r>
      <w:r>
        <w:rPr>
          <w:noProof/>
        </w:rPr>
        <w:t xml:space="preserve"> le </w:t>
      </w:r>
      <w:r>
        <w:rPr>
          <w:b/>
          <w:bCs/>
          <w:noProof/>
        </w:rPr>
        <w:t>matériel</w:t>
      </w:r>
      <w:r>
        <w:rPr>
          <w:noProof/>
        </w:rPr>
        <w:t xml:space="preserve"> ou l’une quelconque de ses parties ou composantes génétiques et qui sont prêtes pour la </w:t>
      </w:r>
      <w:r>
        <w:rPr>
          <w:b/>
          <w:bCs/>
          <w:noProof/>
        </w:rPr>
        <w:t>commercialisation</w:t>
      </w:r>
      <w:r>
        <w:rPr>
          <w:noProof/>
        </w:rPr>
        <w:t>, à l’exclusion des produits et autres matériels utilisés pour l’alimentation humaine ou animale et la transformation.</w:t>
      </w:r>
    </w:p>
    <w:p>
      <w:pPr>
        <w:spacing w:before="60" w:after="200" w:line="276" w:lineRule="auto"/>
        <w:rPr>
          <w:noProof/>
          <w:szCs w:val="24"/>
        </w:rPr>
      </w:pPr>
      <w:r>
        <w:rPr>
          <w:noProof/>
        </w:rPr>
        <w:t>«</w:t>
      </w:r>
      <w:r>
        <w:rPr>
          <w:b/>
          <w:bCs/>
          <w:i/>
          <w:iCs/>
          <w:noProof/>
        </w:rPr>
        <w:t>Ventes</w:t>
      </w:r>
      <w:r>
        <w:rPr>
          <w:noProof/>
        </w:rPr>
        <w:t xml:space="preserve">» désigne les recettes brutes perçues par le </w:t>
      </w:r>
      <w:r>
        <w:rPr>
          <w:b/>
          <w:bCs/>
          <w:noProof/>
        </w:rPr>
        <w:t>bénéficiaire</w:t>
      </w:r>
      <w:r>
        <w:rPr>
          <w:noProof/>
        </w:rPr>
        <w:t xml:space="preserve"> et ses filiales sous la forme de droits de licence </w:t>
      </w:r>
      <w:r>
        <w:rPr>
          <w:bCs/>
          <w:noProof/>
        </w:rPr>
        <w:t>concernant des</w:t>
      </w:r>
      <w:r>
        <w:rPr>
          <w:b/>
          <w:bCs/>
          <w:noProof/>
        </w:rPr>
        <w:t xml:space="preserve"> ressources phytogénétiques pour l’alimentation et l’agriculture</w:t>
      </w:r>
      <w:r>
        <w:rPr>
          <w:noProof/>
        </w:rPr>
        <w:t xml:space="preserve"> et provenant de la </w:t>
      </w:r>
      <w:r>
        <w:rPr>
          <w:b/>
          <w:bCs/>
          <w:noProof/>
        </w:rPr>
        <w:t>commercialisation</w:t>
      </w:r>
      <w:r>
        <w:rPr>
          <w:noProof/>
        </w:rPr>
        <w:t>.</w:t>
      </w:r>
    </w:p>
    <w:p>
      <w:pPr>
        <w:spacing w:before="60" w:after="200" w:line="276" w:lineRule="auto"/>
        <w:rPr>
          <w:noProof/>
          <w:szCs w:val="24"/>
        </w:rPr>
      </w:pPr>
      <w:r>
        <w:rPr>
          <w:noProof/>
        </w:rPr>
        <w:t>«</w:t>
      </w:r>
      <w:r>
        <w:rPr>
          <w:b/>
          <w:bCs/>
          <w:noProof/>
        </w:rPr>
        <w:t>Commercialiser</w:t>
      </w:r>
      <w:r>
        <w:rPr>
          <w:noProof/>
        </w:rPr>
        <w:t xml:space="preserve">» désigne l’acte consistant à </w:t>
      </w:r>
      <w:r>
        <w:rPr>
          <w:b/>
          <w:bCs/>
          <w:noProof/>
        </w:rPr>
        <w:t>échanger des ressources phytogénétiques pour l’alimentation et l’agriculture</w:t>
      </w:r>
      <w:r>
        <w:rPr>
          <w:noProof/>
        </w:rPr>
        <w:t xml:space="preserve"> à des fins pécuniaires sur le marché libre et «</w:t>
      </w:r>
      <w:r>
        <w:rPr>
          <w:b/>
          <w:bCs/>
          <w:noProof/>
        </w:rPr>
        <w:t>commercialisation</w:t>
      </w:r>
      <w:r>
        <w:rPr>
          <w:noProof/>
        </w:rPr>
        <w:t xml:space="preserve">» a une signification correspondante. La </w:t>
      </w:r>
      <w:r>
        <w:rPr>
          <w:b/>
          <w:bCs/>
          <w:noProof/>
        </w:rPr>
        <w:t>commercialisation</w:t>
      </w:r>
      <w:r>
        <w:rPr>
          <w:noProof/>
        </w:rPr>
        <w:t xml:space="preserve"> n’inclut aucune forme de transfert de </w:t>
      </w:r>
      <w:r>
        <w:rPr>
          <w:b/>
          <w:bCs/>
          <w:noProof/>
        </w:rPr>
        <w:t>ressources phytogénétiques pour l’alimentation et l’agriculture en cours de mise au point</w:t>
      </w:r>
      <w:r>
        <w:rPr>
          <w:noProof/>
        </w:rPr>
        <w:t>. Sont également exclues de la commercialisation la vente de produits de base et d’autres produits utilisés pour l’alimentation humaine et animale et la transformation.</w:t>
      </w:r>
    </w:p>
    <w:p>
      <w:pPr>
        <w:pStyle w:val="Titreobjet"/>
        <w:rPr>
          <w:noProof/>
        </w:rPr>
      </w:pPr>
      <w:r>
        <w:rPr>
          <w:noProof/>
        </w:rPr>
        <w:t>ARTICLE 3 — OBJET DE L’ACCORD DE TRANSFERT DE MATÉRIEL</w:t>
      </w:r>
    </w:p>
    <w:p>
      <w:pPr>
        <w:spacing w:before="0" w:after="200" w:line="276" w:lineRule="auto"/>
        <w:rPr>
          <w:noProof/>
          <w:szCs w:val="24"/>
        </w:rPr>
      </w:pPr>
      <w:r>
        <w:rPr>
          <w:noProof/>
        </w:rPr>
        <w:t xml:space="preserve">Les </w:t>
      </w:r>
      <w:r>
        <w:rPr>
          <w:b/>
          <w:bCs/>
          <w:noProof/>
        </w:rPr>
        <w:t>ressources phytogénétiques pour l’alimentation et l’agriculture</w:t>
      </w:r>
      <w:r>
        <w:rPr>
          <w:noProof/>
        </w:rPr>
        <w:t xml:space="preserve"> spécifiées à l’</w:t>
      </w:r>
      <w:r>
        <w:rPr>
          <w:i/>
          <w:iCs/>
          <w:noProof/>
        </w:rPr>
        <w:t>annexe 1</w:t>
      </w:r>
      <w:r>
        <w:rPr>
          <w:noProof/>
        </w:rPr>
        <w:t xml:space="preserve"> du </w:t>
      </w:r>
      <w:r>
        <w:rPr>
          <w:b/>
          <w:bCs/>
          <w:noProof/>
        </w:rPr>
        <w:t>présent accord</w:t>
      </w:r>
      <w:r>
        <w:rPr>
          <w:noProof/>
        </w:rPr>
        <w:t xml:space="preserve"> (ci-après le «</w:t>
      </w:r>
      <w:r>
        <w:rPr>
          <w:b/>
          <w:bCs/>
          <w:noProof/>
        </w:rPr>
        <w:t>matériel</w:t>
      </w:r>
      <w:r>
        <w:rPr>
          <w:noProof/>
        </w:rPr>
        <w:t>») et les informations y relatives visées à l’article 5, point b), et à l’</w:t>
      </w:r>
      <w:r>
        <w:rPr>
          <w:i/>
          <w:iCs/>
          <w:noProof/>
        </w:rPr>
        <w:t>annexe 1</w:t>
      </w:r>
      <w:r>
        <w:rPr>
          <w:noProof/>
        </w:rPr>
        <w:t xml:space="preserve"> sont transférées par la présente du </w:t>
      </w:r>
      <w:r>
        <w:rPr>
          <w:b/>
          <w:bCs/>
          <w:noProof/>
        </w:rPr>
        <w:t>fournisseur</w:t>
      </w:r>
      <w:r>
        <w:rPr>
          <w:noProof/>
        </w:rPr>
        <w:t xml:space="preserve"> au </w:t>
      </w:r>
      <w:r>
        <w:rPr>
          <w:b/>
          <w:bCs/>
          <w:noProof/>
        </w:rPr>
        <w:t>bénéficiaire</w:t>
      </w:r>
      <w:r>
        <w:rPr>
          <w:noProof/>
        </w:rPr>
        <w:t xml:space="preserve"> selon les conditions fixées dans </w:t>
      </w:r>
      <w:r>
        <w:rPr>
          <w:b/>
          <w:bCs/>
          <w:noProof/>
        </w:rPr>
        <w:t>le présent accord</w:t>
      </w:r>
      <w:r>
        <w:rPr>
          <w:noProof/>
        </w:rPr>
        <w:t>.</w:t>
      </w:r>
    </w:p>
    <w:p>
      <w:pPr>
        <w:pStyle w:val="Titreobjet"/>
        <w:rPr>
          <w:noProof/>
        </w:rPr>
      </w:pPr>
      <w:r>
        <w:rPr>
          <w:noProof/>
        </w:rPr>
        <w:t>ARTICLE 4 – DISPOSITIONS GÉNÉRALES</w:t>
      </w:r>
    </w:p>
    <w:p>
      <w:pPr>
        <w:pStyle w:val="ManualNumPar1"/>
        <w:rPr>
          <w:noProof/>
        </w:rPr>
      </w:pPr>
      <w:r>
        <w:rPr>
          <w:noProof/>
        </w:rPr>
        <w:t>4.1</w:t>
      </w:r>
      <w:r>
        <w:rPr>
          <w:noProof/>
        </w:rPr>
        <w:tab/>
      </w:r>
      <w:r>
        <w:rPr>
          <w:b/>
          <w:bCs/>
          <w:noProof/>
        </w:rPr>
        <w:t>Le présent accord</w:t>
      </w:r>
      <w:r>
        <w:rPr>
          <w:noProof/>
        </w:rPr>
        <w:t xml:space="preserve"> est conclu dans le cadre du </w:t>
      </w:r>
      <w:r>
        <w:rPr>
          <w:b/>
          <w:bCs/>
          <w:noProof/>
        </w:rPr>
        <w:t>système multilatéral</w:t>
      </w:r>
      <w:r>
        <w:rPr>
          <w:noProof/>
        </w:rPr>
        <w:t xml:space="preserve"> et est exécuté et interprété conformément aux objectifs et aux dispositions du </w:t>
      </w:r>
      <w:r>
        <w:rPr>
          <w:b/>
          <w:bCs/>
          <w:noProof/>
        </w:rPr>
        <w:t>traité</w:t>
      </w:r>
      <w:r>
        <w:rPr>
          <w:noProof/>
        </w:rPr>
        <w:t>.</w:t>
      </w:r>
    </w:p>
    <w:p>
      <w:pPr>
        <w:pStyle w:val="ManualNumPar1"/>
        <w:rPr>
          <w:noProof/>
        </w:rPr>
      </w:pPr>
      <w:r>
        <w:rPr>
          <w:noProof/>
        </w:rPr>
        <w:t>4.2</w:t>
      </w:r>
      <w:r>
        <w:rPr>
          <w:noProof/>
        </w:rPr>
        <w:tab/>
        <w:t xml:space="preserve">Les parties reconnaissent qu’elles sont assujetties aux mesures et procédures juridiques applicables adoptées par les parties contractantes au </w:t>
      </w:r>
      <w:r>
        <w:rPr>
          <w:b/>
          <w:bCs/>
          <w:noProof/>
        </w:rPr>
        <w:t>traité</w:t>
      </w:r>
      <w:r>
        <w:rPr>
          <w:noProof/>
        </w:rPr>
        <w:t xml:space="preserve">, conformément au </w:t>
      </w:r>
      <w:r>
        <w:rPr>
          <w:b/>
          <w:bCs/>
          <w:noProof/>
        </w:rPr>
        <w:t>traité</w:t>
      </w:r>
      <w:r>
        <w:rPr>
          <w:noProof/>
        </w:rPr>
        <w:t xml:space="preserve">, en particulier les mesures et procédures prises conformément aux articles 4, 12.2 et 12.5 du </w:t>
      </w:r>
      <w:r>
        <w:rPr>
          <w:b/>
          <w:bCs/>
          <w:noProof/>
        </w:rPr>
        <w:t>traité</w:t>
      </w:r>
      <w:r>
        <w:rPr>
          <w:rStyle w:val="FootnoteReference"/>
          <w:noProof/>
        </w:rPr>
        <w:footnoteReference w:id="3"/>
      </w:r>
      <w:r>
        <w:rPr>
          <w:noProof/>
        </w:rPr>
        <w:t>.</w:t>
      </w:r>
    </w:p>
    <w:p>
      <w:pPr>
        <w:pStyle w:val="ManualNumPar1"/>
        <w:rPr>
          <w:noProof/>
        </w:rPr>
      </w:pPr>
      <w:r>
        <w:rPr>
          <w:noProof/>
        </w:rPr>
        <w:t>4.3</w:t>
      </w:r>
      <w:r>
        <w:rPr>
          <w:noProof/>
        </w:rPr>
        <w:tab/>
        <w:t xml:space="preserve">Les parties au </w:t>
      </w:r>
      <w:r>
        <w:rPr>
          <w:b/>
          <w:bCs/>
          <w:noProof/>
        </w:rPr>
        <w:t>présent accord</w:t>
      </w:r>
      <w:r>
        <w:rPr>
          <w:noProof/>
        </w:rPr>
        <w:t xml:space="preserve"> conviennent que l’Organisation des Nations unies pour l’alimentation et l’agriculture, agissant au nom de l’</w:t>
      </w:r>
      <w:r>
        <w:rPr>
          <w:b/>
          <w:bCs/>
          <w:noProof/>
        </w:rPr>
        <w:t>organe directeur</w:t>
      </w:r>
      <w:r>
        <w:rPr>
          <w:noProof/>
        </w:rPr>
        <w:t xml:space="preserve"> du </w:t>
      </w:r>
      <w:r>
        <w:rPr>
          <w:b/>
          <w:bCs/>
          <w:noProof/>
        </w:rPr>
        <w:t>traité</w:t>
      </w:r>
      <w:r>
        <w:rPr>
          <w:noProof/>
        </w:rPr>
        <w:t xml:space="preserve"> et de son </w:t>
      </w:r>
      <w:r>
        <w:rPr>
          <w:b/>
          <w:bCs/>
          <w:noProof/>
        </w:rPr>
        <w:t>système multilatéral</w:t>
      </w:r>
      <w:r>
        <w:rPr>
          <w:noProof/>
        </w:rPr>
        <w:t xml:space="preserve">, est la tierce partie bénéficiaire au titre du </w:t>
      </w:r>
      <w:r>
        <w:rPr>
          <w:b/>
          <w:bCs/>
          <w:noProof/>
        </w:rPr>
        <w:t>présent accord</w:t>
      </w:r>
      <w:r>
        <w:rPr>
          <w:noProof/>
        </w:rPr>
        <w:t>.</w:t>
      </w:r>
    </w:p>
    <w:p>
      <w:pPr>
        <w:pStyle w:val="ManualNumPar1"/>
        <w:rPr>
          <w:noProof/>
        </w:rPr>
      </w:pPr>
      <w:r>
        <w:rPr>
          <w:noProof/>
        </w:rPr>
        <w:t>4.4</w:t>
      </w:r>
      <w:r>
        <w:rPr>
          <w:noProof/>
        </w:rPr>
        <w:tab/>
        <w:t>La tierce partie bénéficiaire a le droit de demander les informations appropriées visées à l’article 5, point e), à l’article 6.5, point c), à l’article 8.3, à l’annexe 2, paragraphe 5, et à l’</w:t>
      </w:r>
      <w:r>
        <w:rPr>
          <w:i/>
          <w:iCs/>
          <w:noProof/>
        </w:rPr>
        <w:t>annexe 3</w:t>
      </w:r>
      <w:r>
        <w:rPr>
          <w:noProof/>
        </w:rPr>
        <w:t xml:space="preserve">, article 3.5 du </w:t>
      </w:r>
      <w:r>
        <w:rPr>
          <w:b/>
          <w:bCs/>
          <w:noProof/>
        </w:rPr>
        <w:t>présent accord</w:t>
      </w:r>
      <w:r>
        <w:rPr>
          <w:noProof/>
        </w:rPr>
        <w:t>.</w:t>
      </w:r>
    </w:p>
    <w:p>
      <w:pPr>
        <w:pStyle w:val="ManualNumPar1"/>
        <w:rPr>
          <w:noProof/>
        </w:rPr>
      </w:pPr>
      <w:r>
        <w:rPr>
          <w:noProof/>
        </w:rPr>
        <w:t>4.5</w:t>
      </w:r>
      <w:r>
        <w:rPr>
          <w:noProof/>
        </w:rPr>
        <w:tab/>
        <w:t xml:space="preserve">Les droits octroyés à l’Organisation des Nations unies pour l’alimentation et l’agriculture précitée sont sans préjudice des droits du </w:t>
      </w:r>
      <w:r>
        <w:rPr>
          <w:b/>
          <w:bCs/>
          <w:noProof/>
        </w:rPr>
        <w:t>fournisseur</w:t>
      </w:r>
      <w:r>
        <w:rPr>
          <w:noProof/>
        </w:rPr>
        <w:t xml:space="preserve"> et du </w:t>
      </w:r>
      <w:r>
        <w:rPr>
          <w:b/>
          <w:bCs/>
          <w:noProof/>
        </w:rPr>
        <w:t>bénéficiaire</w:t>
      </w:r>
      <w:r>
        <w:rPr>
          <w:noProof/>
        </w:rPr>
        <w:t xml:space="preserve"> au titre du </w:t>
      </w:r>
      <w:r>
        <w:rPr>
          <w:b/>
          <w:bCs/>
          <w:noProof/>
        </w:rPr>
        <w:t>présent accord</w:t>
      </w:r>
      <w:r>
        <w:rPr>
          <w:noProof/>
        </w:rPr>
        <w:t>.</w:t>
      </w:r>
    </w:p>
    <w:p>
      <w:pPr>
        <w:pStyle w:val="Titreobjet"/>
        <w:rPr>
          <w:noProof/>
        </w:rPr>
      </w:pPr>
      <w:r>
        <w:rPr>
          <w:noProof/>
        </w:rPr>
        <w:t>ARTICLE 5 — DROITS ET OBLIGATIONS DU FOURNISSEUR</w:t>
      </w:r>
    </w:p>
    <w:p>
      <w:pPr>
        <w:spacing w:before="0" w:after="200" w:line="276" w:lineRule="auto"/>
        <w:rPr>
          <w:b/>
          <w:noProof/>
          <w:szCs w:val="24"/>
        </w:rPr>
      </w:pPr>
      <w:r>
        <w:rPr>
          <w:noProof/>
        </w:rPr>
        <w:t xml:space="preserve">Le </w:t>
      </w:r>
      <w:r>
        <w:rPr>
          <w:b/>
          <w:bCs/>
          <w:noProof/>
        </w:rPr>
        <w:t>fournisseur</w:t>
      </w:r>
      <w:r>
        <w:rPr>
          <w:noProof/>
        </w:rPr>
        <w:t xml:space="preserve"> s’engage à transférer le </w:t>
      </w:r>
      <w:r>
        <w:rPr>
          <w:b/>
          <w:bCs/>
          <w:noProof/>
        </w:rPr>
        <w:t>matériel</w:t>
      </w:r>
      <w:r>
        <w:rPr>
          <w:noProof/>
        </w:rPr>
        <w:t xml:space="preserve"> conformément aux dispositions suivantes du </w:t>
      </w:r>
      <w:r>
        <w:rPr>
          <w:b/>
          <w:bCs/>
          <w:noProof/>
        </w:rPr>
        <w:t>traité</w:t>
      </w:r>
      <w:r>
        <w:rPr>
          <w:noProof/>
        </w:rPr>
        <w:t>:</w:t>
      </w:r>
    </w:p>
    <w:p>
      <w:pPr>
        <w:spacing w:before="0" w:after="200" w:line="276" w:lineRule="auto"/>
        <w:rPr>
          <w:noProof/>
          <w:szCs w:val="24"/>
        </w:rPr>
      </w:pPr>
      <w:r>
        <w:rPr>
          <w:noProof/>
        </w:rPr>
        <w:t>L’accès est accordé rapidement, sans qu’il soit nécessaire de suivre individuellement les entrées, et gratuitement ou, lorsqu’un paiement pour frais est requis, celui-ci ne doit pas dépasser les coûts minimaux engagés;</w:t>
      </w:r>
    </w:p>
    <w:p>
      <w:pPr>
        <w:spacing w:before="0" w:after="200" w:line="276" w:lineRule="auto"/>
        <w:rPr>
          <w:noProof/>
          <w:szCs w:val="24"/>
        </w:rPr>
      </w:pPr>
      <w:r>
        <w:rPr>
          <w:noProof/>
        </w:rPr>
        <w:t>Toutes les données de passeport disponibles et, sous réserve de la législation en vigueur, toute autre information descriptive associée disponible et non confidentielle sont jointes aux ressources phytogénétiques pour l’alimentation et l’agriculture fournies;</w:t>
      </w:r>
    </w:p>
    <w:p>
      <w:pPr>
        <w:spacing w:before="0" w:after="200" w:line="276" w:lineRule="auto"/>
        <w:rPr>
          <w:noProof/>
          <w:szCs w:val="24"/>
        </w:rPr>
      </w:pPr>
      <w:r>
        <w:rPr>
          <w:noProof/>
        </w:rPr>
        <w:t>L’accès aux ressources phytogénétiques pour l’alimentation et l’agriculture en cours de mise au point, y compris le matériel en cours de mise au point par les agriculteurs, reste à la discrétion des obtenteurs, pendant la période de leur mise au point;</w:t>
      </w:r>
    </w:p>
    <w:p>
      <w:pPr>
        <w:spacing w:before="0" w:after="200" w:line="276" w:lineRule="auto"/>
        <w:rPr>
          <w:noProof/>
          <w:szCs w:val="24"/>
        </w:rPr>
      </w:pPr>
      <w:r>
        <w:rPr>
          <w:noProof/>
        </w:rPr>
        <w:t>L’accès aux ressources phytogénétiques pour l’alimentation et l’agriculture protégées par des droits de propriété intellectuelle et autres droits de propriété est donné en conformité aux accords internationaux et aux lois nationales pertinents;</w:t>
      </w:r>
    </w:p>
    <w:p>
      <w:pPr>
        <w:spacing w:before="0" w:after="0" w:line="276" w:lineRule="auto"/>
        <w:rPr>
          <w:noProof/>
          <w:szCs w:val="24"/>
        </w:rPr>
      </w:pPr>
      <w:r>
        <w:rPr>
          <w:noProof/>
        </w:rPr>
        <w:t xml:space="preserve">Le </w:t>
      </w:r>
      <w:r>
        <w:rPr>
          <w:b/>
          <w:bCs/>
          <w:noProof/>
        </w:rPr>
        <w:t>fournisseur</w:t>
      </w:r>
      <w:r>
        <w:rPr>
          <w:noProof/>
        </w:rPr>
        <w:t xml:space="preserve"> informe l’</w:t>
      </w:r>
      <w:r>
        <w:rPr>
          <w:b/>
          <w:bCs/>
          <w:noProof/>
        </w:rPr>
        <w:t>organe directeur</w:t>
      </w:r>
      <w:r>
        <w:rPr>
          <w:noProof/>
        </w:rPr>
        <w:t xml:space="preserve"> au moins une fois toutes les deux années civiles, ou à des intervalles qui seront établis s’il y a lieu par l’</w:t>
      </w:r>
      <w:r>
        <w:rPr>
          <w:b/>
          <w:bCs/>
          <w:noProof/>
        </w:rPr>
        <w:t>organe directeur</w:t>
      </w:r>
      <w:r>
        <w:rPr>
          <w:noProof/>
        </w:rPr>
        <w:t>, des accords de transfert de matériel qui auront été conclus</w:t>
      </w:r>
      <w:r>
        <w:rPr>
          <w:rStyle w:val="FootnoteReference"/>
          <w:noProof/>
        </w:rPr>
        <w:footnoteReference w:id="4"/>
      </w:r>
      <w:r>
        <w:rPr>
          <w:noProof/>
        </w:rPr>
        <w:t>,</w:t>
      </w:r>
    </w:p>
    <w:p>
      <w:pPr>
        <w:spacing w:before="200" w:after="200" w:line="276" w:lineRule="auto"/>
        <w:jc w:val="center"/>
        <w:rPr>
          <w:noProof/>
          <w:szCs w:val="24"/>
        </w:rPr>
      </w:pPr>
      <w:r>
        <w:rPr>
          <w:noProof/>
        </w:rPr>
        <w:t>soit:</w:t>
      </w:r>
    </w:p>
    <w:p>
      <w:pPr>
        <w:spacing w:before="0" w:after="200" w:line="276" w:lineRule="auto"/>
        <w:rPr>
          <w:noProof/>
          <w:szCs w:val="24"/>
        </w:rPr>
      </w:pPr>
      <w:r>
        <w:rPr>
          <w:noProof/>
        </w:rPr>
        <w:t>option A: en transmettant une copie de l’accord type de transfert de matériel une fois celui-ci rempli</w:t>
      </w:r>
      <w:r>
        <w:rPr>
          <w:rStyle w:val="FootnoteReference"/>
          <w:noProof/>
        </w:rPr>
        <w:footnoteReference w:id="5"/>
      </w:r>
      <w:r>
        <w:rPr>
          <w:noProof/>
        </w:rPr>
        <w:t>,</w:t>
      </w:r>
    </w:p>
    <w:p>
      <w:pPr>
        <w:spacing w:before="200" w:after="200" w:line="276" w:lineRule="auto"/>
        <w:jc w:val="center"/>
        <w:rPr>
          <w:noProof/>
          <w:szCs w:val="24"/>
        </w:rPr>
      </w:pPr>
      <w:r>
        <w:rPr>
          <w:noProof/>
        </w:rPr>
        <w:t>soit</w:t>
      </w:r>
    </w:p>
    <w:p>
      <w:pPr>
        <w:spacing w:before="0" w:after="200" w:line="276" w:lineRule="auto"/>
        <w:rPr>
          <w:noProof/>
          <w:szCs w:val="24"/>
        </w:rPr>
      </w:pPr>
      <w:r>
        <w:rPr>
          <w:noProof/>
        </w:rPr>
        <w:t>option B: dans le cas où il ne transmet pas de copie de l’accord type de transfert de matériel,</w:t>
      </w:r>
    </w:p>
    <w:p>
      <w:pPr>
        <w:pStyle w:val="Point1"/>
        <w:rPr>
          <w:noProof/>
        </w:rPr>
      </w:pPr>
      <w:r>
        <w:rPr>
          <w:noProof/>
        </w:rPr>
        <w:t>i.</w:t>
      </w:r>
      <w:r>
        <w:rPr>
          <w:noProof/>
        </w:rPr>
        <w:tab/>
        <w:t>en veillant à ce que l’accord type de transfert de matériel une fois rempli soit, au besoin, à la disposition de la tierce partie bénéficiaire;</w:t>
      </w:r>
    </w:p>
    <w:p>
      <w:pPr>
        <w:pStyle w:val="Point1"/>
        <w:rPr>
          <w:noProof/>
        </w:rPr>
      </w:pPr>
      <w:r>
        <w:rPr>
          <w:noProof/>
        </w:rPr>
        <w:t>ii.</w:t>
      </w:r>
      <w:r>
        <w:rPr>
          <w:noProof/>
        </w:rPr>
        <w:tab/>
        <w:t>en indiquant où l’accord type de transfert de matériel en question est archivé et comment il peut être obtenu;</w:t>
      </w:r>
    </w:p>
    <w:p>
      <w:pPr>
        <w:pStyle w:val="Point1"/>
        <w:rPr>
          <w:noProof/>
        </w:rPr>
      </w:pPr>
      <w:r>
        <w:rPr>
          <w:noProof/>
        </w:rPr>
        <w:t>iii.</w:t>
      </w:r>
      <w:r>
        <w:rPr>
          <w:noProof/>
        </w:rPr>
        <w:tab/>
        <w:t>en fournissant les informations suivantes:</w:t>
      </w:r>
    </w:p>
    <w:p>
      <w:pPr>
        <w:pStyle w:val="Point2"/>
        <w:rPr>
          <w:noProof/>
        </w:rPr>
      </w:pPr>
      <w:r>
        <w:rPr>
          <w:noProof/>
        </w:rPr>
        <w:t>a)</w:t>
      </w:r>
      <w:r>
        <w:rPr>
          <w:noProof/>
        </w:rPr>
        <w:tab/>
        <w:t xml:space="preserve">la cote ou le numéro d’identification que le </w:t>
      </w:r>
      <w:r>
        <w:rPr>
          <w:b/>
          <w:bCs/>
          <w:noProof/>
        </w:rPr>
        <w:t>fournisseur</w:t>
      </w:r>
      <w:r>
        <w:rPr>
          <w:noProof/>
        </w:rPr>
        <w:t xml:space="preserve"> a attribué à l’accord type de transfert de matériel;</w:t>
      </w:r>
    </w:p>
    <w:p>
      <w:pPr>
        <w:pStyle w:val="Point2"/>
        <w:rPr>
          <w:noProof/>
        </w:rPr>
      </w:pPr>
      <w:r>
        <w:rPr>
          <w:noProof/>
        </w:rPr>
        <w:t>b)</w:t>
      </w:r>
      <w:r>
        <w:rPr>
          <w:noProof/>
        </w:rPr>
        <w:tab/>
        <w:t xml:space="preserve">le nom et l’adresse du </w:t>
      </w:r>
      <w:r>
        <w:rPr>
          <w:b/>
          <w:bCs/>
          <w:noProof/>
        </w:rPr>
        <w:t>fournisseur</w:t>
      </w:r>
      <w:r>
        <w:rPr>
          <w:noProof/>
        </w:rPr>
        <w:t>;</w:t>
      </w:r>
    </w:p>
    <w:p>
      <w:pPr>
        <w:pStyle w:val="Point2"/>
        <w:rPr>
          <w:noProof/>
        </w:rPr>
      </w:pPr>
      <w:r>
        <w:rPr>
          <w:noProof/>
        </w:rPr>
        <w:t>c)</w:t>
      </w:r>
      <w:r>
        <w:rPr>
          <w:noProof/>
        </w:rPr>
        <w:tab/>
        <w:t xml:space="preserve">la date à laquelle le </w:t>
      </w:r>
      <w:r>
        <w:rPr>
          <w:b/>
          <w:bCs/>
          <w:noProof/>
        </w:rPr>
        <w:t>fournisseur</w:t>
      </w:r>
      <w:r>
        <w:rPr>
          <w:noProof/>
        </w:rPr>
        <w:t xml:space="preserve"> a accepté l’accord type de transfert de matériel, et, dans le cas d’un accord «sous plastique», la date à laquelle le matériel a été envoyé;</w:t>
      </w:r>
    </w:p>
    <w:p>
      <w:pPr>
        <w:pStyle w:val="Point2"/>
        <w:rPr>
          <w:noProof/>
        </w:rPr>
      </w:pPr>
      <w:r>
        <w:rPr>
          <w:noProof/>
        </w:rPr>
        <w:t>d)</w:t>
      </w:r>
      <w:r>
        <w:rPr>
          <w:noProof/>
        </w:rPr>
        <w:tab/>
        <w:t xml:space="preserve">le nom et l’adresse du </w:t>
      </w:r>
      <w:r>
        <w:rPr>
          <w:b/>
          <w:bCs/>
          <w:noProof/>
        </w:rPr>
        <w:t>bénéficiaire</w:t>
      </w:r>
      <w:r>
        <w:rPr>
          <w:noProof/>
        </w:rPr>
        <w:t xml:space="preserve"> et, dans le cas d’un accord «sous plastique», le nom de la personne à laquelle le matériel a été envoyé;</w:t>
      </w:r>
    </w:p>
    <w:p>
      <w:pPr>
        <w:pStyle w:val="Point2"/>
        <w:rPr>
          <w:noProof/>
        </w:rPr>
      </w:pPr>
      <w:r>
        <w:rPr>
          <w:noProof/>
        </w:rPr>
        <w:t>e)</w:t>
      </w:r>
      <w:r>
        <w:rPr>
          <w:noProof/>
        </w:rPr>
        <w:tab/>
        <w:t>la description de chaque entrée de matériel énuméré dans l’annexe 1 de l’accord type de transfert de matériel, ainsi que de l’espèce cultivée à laquelle il appartient.</w:t>
      </w:r>
    </w:p>
    <w:p>
      <w:pPr>
        <w:spacing w:before="0" w:after="200" w:line="276" w:lineRule="auto"/>
        <w:rPr>
          <w:noProof/>
          <w:szCs w:val="24"/>
        </w:rPr>
      </w:pPr>
      <w:r>
        <w:rPr>
          <w:noProof/>
        </w:rPr>
        <w:t>Ces informations sont mises à la disposition de la tierce partie bénéficiaire par l’</w:t>
      </w:r>
      <w:r>
        <w:rPr>
          <w:b/>
          <w:bCs/>
          <w:noProof/>
        </w:rPr>
        <w:t>organe directeur</w:t>
      </w:r>
      <w:r>
        <w:rPr>
          <w:noProof/>
        </w:rPr>
        <w:t>. Elles sont considérées comme des informations commerciales confidentielles et ne peuvent être utilisées qu’à des fins d’établissement de rapports de synthèse, dans le respect de la législation nationale, le cas échéant.</w:t>
      </w:r>
    </w:p>
    <w:p>
      <w:pPr>
        <w:pStyle w:val="Titreobjet"/>
        <w:rPr>
          <w:noProof/>
        </w:rPr>
      </w:pPr>
      <w:r>
        <w:rPr>
          <w:noProof/>
        </w:rPr>
        <w:t>ARTICLE 6 — DROITS ET OBLIGATIONS DU BÉNÉFICIAIRE</w:t>
      </w:r>
    </w:p>
    <w:p>
      <w:pPr>
        <w:pStyle w:val="ManualNumPar1"/>
        <w:rPr>
          <w:noProof/>
        </w:rPr>
      </w:pPr>
      <w:r>
        <w:rPr>
          <w:noProof/>
        </w:rPr>
        <w:t>6.1</w:t>
      </w:r>
      <w:r>
        <w:rPr>
          <w:noProof/>
        </w:rPr>
        <w:tab/>
        <w:t xml:space="preserve">Le </w:t>
      </w:r>
      <w:r>
        <w:rPr>
          <w:b/>
          <w:bCs/>
          <w:noProof/>
        </w:rPr>
        <w:t>bénéficiaire</w:t>
      </w:r>
      <w:r>
        <w:rPr>
          <w:noProof/>
        </w:rPr>
        <w:t xml:space="preserve"> s’engage à utiliser ou conserver le </w:t>
      </w:r>
      <w:r>
        <w:rPr>
          <w:b/>
          <w:bCs/>
          <w:noProof/>
        </w:rPr>
        <w:t>matériel</w:t>
      </w:r>
      <w:r>
        <w:rPr>
          <w:noProof/>
        </w:rPr>
        <w:t xml:space="preserve"> uniquement à des fins de recherche, de sélection et de formation pour l’alimentation et l’agriculture, à l’exclusion des utilisations chimiques ou pharmaceutiques et/ou d’autres utilisations industrielles non alimentaires et non fourragères.</w:t>
      </w:r>
    </w:p>
    <w:p>
      <w:pPr>
        <w:pStyle w:val="ManualNumPar1"/>
        <w:rPr>
          <w:noProof/>
        </w:rPr>
      </w:pPr>
      <w:r>
        <w:rPr>
          <w:noProof/>
        </w:rPr>
        <w:t>6.2</w:t>
      </w:r>
      <w:r>
        <w:rPr>
          <w:noProof/>
        </w:rPr>
        <w:tab/>
        <w:t xml:space="preserve">Le </w:t>
      </w:r>
      <w:r>
        <w:rPr>
          <w:b/>
          <w:bCs/>
          <w:noProof/>
        </w:rPr>
        <w:t>bénéficiaire</w:t>
      </w:r>
      <w:r>
        <w:rPr>
          <w:noProof/>
        </w:rPr>
        <w:t xml:space="preserve"> ne peut revendiquer aucun droit de propriété intellectuelle ou autre droit limitant l’accès facilité au </w:t>
      </w:r>
      <w:r>
        <w:rPr>
          <w:b/>
          <w:bCs/>
          <w:noProof/>
        </w:rPr>
        <w:t>matériel</w:t>
      </w:r>
      <w:r>
        <w:rPr>
          <w:noProof/>
        </w:rPr>
        <w:t xml:space="preserve"> ou à des parties ou composantes génétiques de celui-ci, fourni en vertu </w:t>
      </w:r>
      <w:r>
        <w:rPr>
          <w:b/>
          <w:bCs/>
          <w:noProof/>
        </w:rPr>
        <w:t>du présent accord</w:t>
      </w:r>
      <w:r>
        <w:rPr>
          <w:noProof/>
        </w:rPr>
        <w:t xml:space="preserve">, sous la forme reçue du </w:t>
      </w:r>
      <w:r>
        <w:rPr>
          <w:b/>
          <w:bCs/>
          <w:noProof/>
        </w:rPr>
        <w:t>système multilatéral</w:t>
      </w:r>
      <w:r>
        <w:rPr>
          <w:noProof/>
        </w:rPr>
        <w:t>.</w:t>
      </w:r>
    </w:p>
    <w:p>
      <w:pPr>
        <w:pStyle w:val="ManualNumPar1"/>
        <w:rPr>
          <w:noProof/>
        </w:rPr>
      </w:pPr>
      <w:r>
        <w:rPr>
          <w:noProof/>
        </w:rPr>
        <w:t>6.3</w:t>
      </w:r>
      <w:r>
        <w:rPr>
          <w:noProof/>
        </w:rPr>
        <w:tab/>
        <w:t xml:space="preserve">Si le </w:t>
      </w:r>
      <w:r>
        <w:rPr>
          <w:b/>
          <w:bCs/>
          <w:noProof/>
        </w:rPr>
        <w:t>bénéficiaire</w:t>
      </w:r>
      <w:r>
        <w:rPr>
          <w:noProof/>
        </w:rPr>
        <w:t xml:space="preserve"> conserve le </w:t>
      </w:r>
      <w:r>
        <w:rPr>
          <w:b/>
          <w:bCs/>
          <w:noProof/>
        </w:rPr>
        <w:t>matériel</w:t>
      </w:r>
      <w:r>
        <w:rPr>
          <w:noProof/>
        </w:rPr>
        <w:t xml:space="preserve"> fourni, il le tient à la disposition du </w:t>
      </w:r>
      <w:r>
        <w:rPr>
          <w:b/>
          <w:bCs/>
          <w:noProof/>
        </w:rPr>
        <w:t>système multilatéral</w:t>
      </w:r>
      <w:r>
        <w:rPr>
          <w:noProof/>
        </w:rPr>
        <w:t>, de même que les informations y relatives visées à l’article 5, point b), par l’intermédiaire de l’accord type de transfert de matériel.</w:t>
      </w:r>
    </w:p>
    <w:p>
      <w:pPr>
        <w:pStyle w:val="ManualNumPar1"/>
        <w:rPr>
          <w:noProof/>
        </w:rPr>
      </w:pPr>
      <w:r>
        <w:rPr>
          <w:noProof/>
        </w:rPr>
        <w:t>6.4</w:t>
      </w:r>
      <w:r>
        <w:rPr>
          <w:noProof/>
        </w:rPr>
        <w:tab/>
        <w:t xml:space="preserve">S’il transfère le </w:t>
      </w:r>
      <w:r>
        <w:rPr>
          <w:b/>
          <w:bCs/>
          <w:noProof/>
        </w:rPr>
        <w:t xml:space="preserve">matériel </w:t>
      </w:r>
      <w:r>
        <w:rPr>
          <w:noProof/>
        </w:rPr>
        <w:t xml:space="preserve">fourni au titre du </w:t>
      </w:r>
      <w:r>
        <w:rPr>
          <w:b/>
          <w:bCs/>
          <w:noProof/>
        </w:rPr>
        <w:t>présent accord</w:t>
      </w:r>
      <w:r>
        <w:rPr>
          <w:noProof/>
        </w:rPr>
        <w:t xml:space="preserve"> à une autre personne physique ou morale (ci-après le «</w:t>
      </w:r>
      <w:r>
        <w:rPr>
          <w:b/>
          <w:bCs/>
          <w:noProof/>
        </w:rPr>
        <w:t>bénéficiaire suivant</w:t>
      </w:r>
      <w:r>
        <w:rPr>
          <w:noProof/>
        </w:rPr>
        <w:t xml:space="preserve">»), le </w:t>
      </w:r>
      <w:r>
        <w:rPr>
          <w:b/>
          <w:bCs/>
          <w:noProof/>
        </w:rPr>
        <w:t>bénéficiaire</w:t>
      </w:r>
      <w:r>
        <w:rPr>
          <w:noProof/>
        </w:rPr>
        <w:t>:</w:t>
      </w:r>
    </w:p>
    <w:p>
      <w:pPr>
        <w:pStyle w:val="Text1"/>
        <w:rPr>
          <w:noProof/>
        </w:rPr>
      </w:pPr>
      <w:r>
        <w:rPr>
          <w:noProof/>
        </w:rPr>
        <w:t>se conforme aux modalités et conditions de l’accord type de transfert de matériel, dans le cadre d’un nouvel accord type de transfert de matériel; et</w:t>
      </w:r>
    </w:p>
    <w:p>
      <w:pPr>
        <w:pStyle w:val="Text1"/>
        <w:rPr>
          <w:noProof/>
        </w:rPr>
      </w:pPr>
      <w:r>
        <w:rPr>
          <w:noProof/>
        </w:rPr>
        <w:t>en informe l’</w:t>
      </w:r>
      <w:r>
        <w:rPr>
          <w:b/>
          <w:bCs/>
          <w:noProof/>
        </w:rPr>
        <w:t>organe directeur</w:t>
      </w:r>
      <w:r>
        <w:rPr>
          <w:noProof/>
        </w:rPr>
        <w:t>, conformément aux dispositions de l’article 5, point e).</w:t>
      </w:r>
    </w:p>
    <w:p>
      <w:pPr>
        <w:pStyle w:val="Text1"/>
        <w:rPr>
          <w:noProof/>
        </w:rPr>
      </w:pPr>
      <w:r>
        <w:rPr>
          <w:noProof/>
        </w:rPr>
        <w:t xml:space="preserve">Après observation des dispositions ci-dessus, le </w:t>
      </w:r>
      <w:r>
        <w:rPr>
          <w:b/>
          <w:bCs/>
          <w:noProof/>
        </w:rPr>
        <w:t>bénéficiaire</w:t>
      </w:r>
      <w:r>
        <w:rPr>
          <w:noProof/>
        </w:rPr>
        <w:t xml:space="preserve"> n’a plus aucune obligation concernant les mesures prises par le </w:t>
      </w:r>
      <w:r>
        <w:rPr>
          <w:b/>
          <w:bCs/>
          <w:noProof/>
        </w:rPr>
        <w:t>bénéficiaire suivant</w:t>
      </w:r>
      <w:r>
        <w:rPr>
          <w:noProof/>
        </w:rPr>
        <w:t>.</w:t>
      </w:r>
    </w:p>
    <w:p>
      <w:pPr>
        <w:pStyle w:val="ManualNumPar1"/>
        <w:rPr>
          <w:noProof/>
        </w:rPr>
      </w:pPr>
      <w:r>
        <w:rPr>
          <w:noProof/>
        </w:rPr>
        <w:t>6.5</w:t>
      </w:r>
      <w:r>
        <w:rPr>
          <w:noProof/>
        </w:rPr>
        <w:tab/>
        <w:t xml:space="preserve">S’il transfère une </w:t>
      </w:r>
      <w:r>
        <w:rPr>
          <w:b/>
          <w:bCs/>
          <w:noProof/>
        </w:rPr>
        <w:t>ressource phytogénétique pour l’alimentation et l’agriculture en cours de mise au point</w:t>
      </w:r>
      <w:r>
        <w:rPr>
          <w:noProof/>
        </w:rPr>
        <w:t xml:space="preserve"> à une autre personne physique ou morale, le </w:t>
      </w:r>
      <w:r>
        <w:rPr>
          <w:b/>
          <w:bCs/>
          <w:noProof/>
        </w:rPr>
        <w:t>bénéficiaire</w:t>
      </w:r>
      <w:r>
        <w:rPr>
          <w:noProof/>
        </w:rPr>
        <w:t xml:space="preserve">, pendant une période de douze ans après la signature ou l’acceptation du </w:t>
      </w:r>
      <w:r>
        <w:rPr>
          <w:b/>
          <w:bCs/>
          <w:noProof/>
        </w:rPr>
        <w:t>présent accord</w:t>
      </w:r>
      <w:r>
        <w:rPr>
          <w:noProof/>
        </w:rPr>
        <w:t>:</w:t>
      </w:r>
    </w:p>
    <w:p>
      <w:pPr>
        <w:pStyle w:val="Point1"/>
        <w:rPr>
          <w:noProof/>
        </w:rPr>
      </w:pPr>
      <w:r>
        <w:rPr>
          <w:noProof/>
        </w:rPr>
        <w:t>a)</w:t>
      </w:r>
      <w:r>
        <w:rPr>
          <w:noProof/>
        </w:rPr>
        <w:tab/>
        <w:t>le fait en vertu des dispositions de l’accord type de transfert de matériel, au moyen d’un nouvel accord type de transfert de matériel, sous réserve que les dispositions de l’article 5, point a), de l’accord type de transfert de matériel, ne s’appliquent pas;</w:t>
      </w:r>
    </w:p>
    <w:p>
      <w:pPr>
        <w:pStyle w:val="Point1"/>
        <w:rPr>
          <w:noProof/>
        </w:rPr>
      </w:pPr>
      <w:r>
        <w:rPr>
          <w:noProof/>
        </w:rPr>
        <w:t>b)</w:t>
      </w:r>
      <w:r>
        <w:rPr>
          <w:noProof/>
        </w:rPr>
        <w:tab/>
        <w:t xml:space="preserve">identifie, dans l’annexe 1 du nouvel accord type de transfert de matériel, le </w:t>
      </w:r>
      <w:r>
        <w:rPr>
          <w:b/>
          <w:bCs/>
          <w:noProof/>
        </w:rPr>
        <w:t>matériel</w:t>
      </w:r>
      <w:r>
        <w:rPr>
          <w:noProof/>
        </w:rPr>
        <w:t xml:space="preserve"> reçu du </w:t>
      </w:r>
      <w:r>
        <w:rPr>
          <w:b/>
          <w:bCs/>
          <w:noProof/>
        </w:rPr>
        <w:t>système multilatéral</w:t>
      </w:r>
      <w:r>
        <w:rPr>
          <w:noProof/>
        </w:rPr>
        <w:t xml:space="preserve">, et précise que les </w:t>
      </w:r>
      <w:r>
        <w:rPr>
          <w:b/>
          <w:bCs/>
          <w:noProof/>
        </w:rPr>
        <w:t>ressources phytogénétiques pour l’alimentation et l’agriculture en cours de mise au point</w:t>
      </w:r>
      <w:r>
        <w:rPr>
          <w:noProof/>
        </w:rPr>
        <w:t xml:space="preserve"> qui sont transférées ont été obtenues à partir du </w:t>
      </w:r>
      <w:r>
        <w:rPr>
          <w:b/>
          <w:bCs/>
          <w:noProof/>
        </w:rPr>
        <w:t>matériel</w:t>
      </w:r>
      <w:r>
        <w:rPr>
          <w:noProof/>
        </w:rPr>
        <w:t>;</w:t>
      </w:r>
    </w:p>
    <w:p>
      <w:pPr>
        <w:pStyle w:val="Text1"/>
        <w:rPr>
          <w:noProof/>
        </w:rPr>
      </w:pPr>
      <w:r>
        <w:rPr>
          <w:noProof/>
        </w:rPr>
        <w:t>en informe l’</w:t>
      </w:r>
      <w:r>
        <w:rPr>
          <w:b/>
          <w:bCs/>
          <w:noProof/>
        </w:rPr>
        <w:t>organe directeur</w:t>
      </w:r>
      <w:r>
        <w:rPr>
          <w:noProof/>
        </w:rPr>
        <w:t>, conformément aux dispositions de l’article 5, point e); et</w:t>
      </w:r>
    </w:p>
    <w:p>
      <w:pPr>
        <w:pStyle w:val="Point1"/>
        <w:rPr>
          <w:noProof/>
        </w:rPr>
      </w:pPr>
      <w:r>
        <w:rPr>
          <w:noProof/>
        </w:rPr>
        <w:t>d)</w:t>
      </w:r>
      <w:r>
        <w:rPr>
          <w:noProof/>
        </w:rPr>
        <w:tab/>
        <w:t xml:space="preserve">n’a plus aucune obligation concernant les mesures prises par le </w:t>
      </w:r>
      <w:r>
        <w:rPr>
          <w:b/>
          <w:bCs/>
          <w:noProof/>
        </w:rPr>
        <w:t>bénéficiaire suivant</w:t>
      </w:r>
      <w:r>
        <w:rPr>
          <w:noProof/>
        </w:rPr>
        <w:t>.</w:t>
      </w:r>
    </w:p>
    <w:p>
      <w:pPr>
        <w:pStyle w:val="Point1"/>
        <w:rPr>
          <w:noProof/>
        </w:rPr>
      </w:pPr>
      <w:r>
        <w:rPr>
          <w:noProof/>
        </w:rPr>
        <w:t>e)</w:t>
      </w:r>
      <w:r>
        <w:rPr>
          <w:noProof/>
        </w:rPr>
        <w:tab/>
        <w:t xml:space="preserve">Les obligations découlant du présent article 6.5 ne s’appliquent pas aux </w:t>
      </w:r>
      <w:r>
        <w:rPr>
          <w:b/>
          <w:bCs/>
          <w:noProof/>
        </w:rPr>
        <w:t>ressources phytogénétiques pour l’alimentation et l’agriculture en cours de mise au point</w:t>
      </w:r>
      <w:r>
        <w:rPr>
          <w:noProof/>
        </w:rPr>
        <w:t xml:space="preserve"> qui répondent aux deux conditions suivantes: elles contiennent une contribution génétique inférieure à 12,5 pour cent par pedigree du </w:t>
      </w:r>
      <w:r>
        <w:rPr>
          <w:b/>
          <w:bCs/>
          <w:noProof/>
        </w:rPr>
        <w:t>matériel</w:t>
      </w:r>
      <w:r>
        <w:rPr>
          <w:noProof/>
        </w:rPr>
        <w:t xml:space="preserve"> et aucun de leurs caractères ayant une valeur commerciale ne provient du </w:t>
      </w:r>
      <w:r>
        <w:rPr>
          <w:b/>
          <w:bCs/>
          <w:noProof/>
        </w:rPr>
        <w:t>matériel</w:t>
      </w:r>
      <w:r>
        <w:rPr>
          <w:noProof/>
        </w:rPr>
        <w:t>.</w:t>
      </w:r>
    </w:p>
    <w:p>
      <w:pPr>
        <w:pStyle w:val="ManualNumPar1"/>
        <w:rPr>
          <w:noProof/>
        </w:rPr>
      </w:pPr>
      <w:r>
        <w:rPr>
          <w:noProof/>
        </w:rPr>
        <w:t>6.6</w:t>
      </w:r>
      <w:r>
        <w:rPr>
          <w:noProof/>
        </w:rPr>
        <w:tab/>
        <w:t>La conclusion d’un accord type de transfert de matériel en vertu des dispositions de l’article 6.5 ne porte pas atteinte au droit des parties d’introduire des conditions supplémentaires liées à la mise au point ultérieure d’un produit, y compris, le cas échéant, un paiement.</w:t>
      </w:r>
    </w:p>
    <w:p>
      <w:pPr>
        <w:pStyle w:val="ManualNumPar1"/>
        <w:rPr>
          <w:noProof/>
        </w:rPr>
      </w:pPr>
      <w:r>
        <w:rPr>
          <w:noProof/>
        </w:rPr>
        <w:t>6.7</w:t>
      </w:r>
      <w:r>
        <w:rPr>
          <w:noProof/>
        </w:rPr>
        <w:tab/>
        <w:t xml:space="preserve">Le </w:t>
      </w:r>
      <w:r>
        <w:rPr>
          <w:b/>
          <w:bCs/>
          <w:noProof/>
        </w:rPr>
        <w:t>bénéficiaire</w:t>
      </w:r>
      <w:r>
        <w:rPr>
          <w:noProof/>
        </w:rPr>
        <w:t xml:space="preserve"> peut, au moment de la signature du </w:t>
      </w:r>
      <w:r>
        <w:rPr>
          <w:b/>
          <w:bCs/>
          <w:noProof/>
        </w:rPr>
        <w:t>présent accord</w:t>
      </w:r>
      <w:r>
        <w:rPr>
          <w:noProof/>
        </w:rPr>
        <w:t xml:space="preserve"> ou au moment de l’acceptation du </w:t>
      </w:r>
      <w:r>
        <w:rPr>
          <w:b/>
          <w:bCs/>
          <w:noProof/>
        </w:rPr>
        <w:t>présent accord</w:t>
      </w:r>
      <w:r>
        <w:rPr>
          <w:noProof/>
        </w:rPr>
        <w:t xml:space="preserve"> ou à tout moment par la suite, opter pour le </w:t>
      </w:r>
      <w:r>
        <w:rPr>
          <w:b/>
          <w:bCs/>
          <w:noProof/>
        </w:rPr>
        <w:t>système de souscription</w:t>
      </w:r>
      <w:r>
        <w:rPr>
          <w:noProof/>
        </w:rPr>
        <w:t>, décrit à l’</w:t>
      </w:r>
      <w:r>
        <w:rPr>
          <w:i/>
          <w:iCs/>
          <w:noProof/>
        </w:rPr>
        <w:t>annexe 3</w:t>
      </w:r>
      <w:r>
        <w:rPr>
          <w:noProof/>
        </w:rPr>
        <w:t xml:space="preserve"> du </w:t>
      </w:r>
      <w:r>
        <w:rPr>
          <w:b/>
          <w:bCs/>
          <w:noProof/>
        </w:rPr>
        <w:t>présent accord</w:t>
      </w:r>
      <w:r>
        <w:rPr>
          <w:noProof/>
        </w:rPr>
        <w:t xml:space="preserve">, en renvoyant, après l’avoir dûment rempli et signé, le </w:t>
      </w:r>
      <w:r>
        <w:rPr>
          <w:b/>
          <w:bCs/>
          <w:noProof/>
        </w:rPr>
        <w:t>formulaire d’inscription</w:t>
      </w:r>
      <w:r>
        <w:rPr>
          <w:noProof/>
        </w:rPr>
        <w:t xml:space="preserve"> figurant à l’</w:t>
      </w:r>
      <w:r>
        <w:rPr>
          <w:i/>
          <w:iCs/>
          <w:noProof/>
        </w:rPr>
        <w:t>annexe 4</w:t>
      </w:r>
      <w:r>
        <w:rPr>
          <w:noProof/>
        </w:rPr>
        <w:t xml:space="preserve"> du </w:t>
      </w:r>
      <w:r>
        <w:rPr>
          <w:b/>
          <w:bCs/>
          <w:noProof/>
        </w:rPr>
        <w:t>présent accord</w:t>
      </w:r>
      <w:r>
        <w:rPr>
          <w:noProof/>
        </w:rPr>
        <w:t>, à l’</w:t>
      </w:r>
      <w:r>
        <w:rPr>
          <w:b/>
          <w:bCs/>
          <w:noProof/>
        </w:rPr>
        <w:t>organe directeur</w:t>
      </w:r>
      <w:r>
        <w:rPr>
          <w:noProof/>
        </w:rPr>
        <w:t xml:space="preserve"> du </w:t>
      </w:r>
      <w:r>
        <w:rPr>
          <w:b/>
          <w:bCs/>
          <w:noProof/>
        </w:rPr>
        <w:t>traité</w:t>
      </w:r>
      <w:r>
        <w:rPr>
          <w:noProof/>
        </w:rPr>
        <w:t>, par l’intermédiaire de son secrétaire (ci-après la «</w:t>
      </w:r>
      <w:r>
        <w:rPr>
          <w:b/>
          <w:bCs/>
          <w:noProof/>
        </w:rPr>
        <w:t>souscription</w:t>
      </w:r>
      <w:r>
        <w:rPr>
          <w:noProof/>
        </w:rPr>
        <w:t xml:space="preserve">»). Si le </w:t>
      </w:r>
      <w:r>
        <w:rPr>
          <w:b/>
          <w:bCs/>
          <w:noProof/>
        </w:rPr>
        <w:t>formulaire d’inscription</w:t>
      </w:r>
      <w:r>
        <w:rPr>
          <w:noProof/>
        </w:rPr>
        <w:t xml:space="preserve"> n’est pas reçu par le secrétaire, la modalité de paiement prévue aux articles 6.7 et 6.8 s’applique, à moins que le </w:t>
      </w:r>
      <w:r>
        <w:rPr>
          <w:b/>
          <w:bCs/>
          <w:noProof/>
        </w:rPr>
        <w:t>bénéficiaire</w:t>
      </w:r>
      <w:r>
        <w:rPr>
          <w:noProof/>
        </w:rPr>
        <w:t xml:space="preserve"> ait déjà opté pour le </w:t>
      </w:r>
      <w:r>
        <w:rPr>
          <w:b/>
          <w:bCs/>
          <w:noProof/>
        </w:rPr>
        <w:t>système de souscription</w:t>
      </w:r>
      <w:r>
        <w:rPr>
          <w:noProof/>
        </w:rPr>
        <w:t xml:space="preserve"> auparavant.</w:t>
      </w:r>
    </w:p>
    <w:p>
      <w:pPr>
        <w:pStyle w:val="ManualNumPar1"/>
        <w:rPr>
          <w:noProof/>
        </w:rPr>
      </w:pPr>
      <w:r>
        <w:rPr>
          <w:noProof/>
        </w:rPr>
        <w:t>6.8</w:t>
      </w:r>
      <w:r>
        <w:rPr>
          <w:noProof/>
        </w:rPr>
        <w:tab/>
        <w:t xml:space="preserve">Si le </w:t>
      </w:r>
      <w:r>
        <w:rPr>
          <w:b/>
          <w:bCs/>
          <w:noProof/>
        </w:rPr>
        <w:t>bénéficiaire</w:t>
      </w:r>
      <w:r>
        <w:rPr>
          <w:noProof/>
        </w:rPr>
        <w:t xml:space="preserve"> opte pour le </w:t>
      </w:r>
      <w:r>
        <w:rPr>
          <w:b/>
          <w:bCs/>
          <w:noProof/>
        </w:rPr>
        <w:t>système de souscription</w:t>
      </w:r>
      <w:r>
        <w:rPr>
          <w:noProof/>
        </w:rPr>
        <w:t xml:space="preserve">, les modalités et conditions du </w:t>
      </w:r>
      <w:r>
        <w:rPr>
          <w:b/>
          <w:bCs/>
          <w:noProof/>
        </w:rPr>
        <w:t>système de souscription</w:t>
      </w:r>
      <w:r>
        <w:rPr>
          <w:noProof/>
        </w:rPr>
        <w:t xml:space="preserve"> décrites à l’</w:t>
      </w:r>
      <w:r>
        <w:rPr>
          <w:i/>
          <w:iCs/>
          <w:noProof/>
        </w:rPr>
        <w:t>annexe 3</w:t>
      </w:r>
      <w:r>
        <w:rPr>
          <w:noProof/>
        </w:rPr>
        <w:t xml:space="preserve"> du </w:t>
      </w:r>
      <w:r>
        <w:rPr>
          <w:b/>
          <w:bCs/>
          <w:noProof/>
        </w:rPr>
        <w:t>présent accord</w:t>
      </w:r>
      <w:r>
        <w:rPr>
          <w:noProof/>
        </w:rPr>
        <w:t xml:space="preserve"> s’appliquent. Dans ce cas, l’</w:t>
      </w:r>
      <w:r>
        <w:rPr>
          <w:i/>
          <w:iCs/>
          <w:noProof/>
        </w:rPr>
        <w:t>annexe 3</w:t>
      </w:r>
      <w:r>
        <w:rPr>
          <w:noProof/>
        </w:rPr>
        <w:t xml:space="preserve"> du </w:t>
      </w:r>
      <w:r>
        <w:rPr>
          <w:b/>
          <w:bCs/>
          <w:noProof/>
        </w:rPr>
        <w:t>présent accord</w:t>
      </w:r>
      <w:r>
        <w:rPr>
          <w:noProof/>
        </w:rPr>
        <w:t xml:space="preserve"> fait partie intégrante du </w:t>
      </w:r>
      <w:r>
        <w:rPr>
          <w:b/>
          <w:bCs/>
          <w:noProof/>
        </w:rPr>
        <w:t>présent accord</w:t>
      </w:r>
      <w:r>
        <w:rPr>
          <w:noProof/>
        </w:rPr>
        <w:t xml:space="preserve"> et toute référence au </w:t>
      </w:r>
      <w:r>
        <w:rPr>
          <w:b/>
          <w:bCs/>
          <w:noProof/>
        </w:rPr>
        <w:t>présent accord</w:t>
      </w:r>
      <w:r>
        <w:rPr>
          <w:noProof/>
        </w:rPr>
        <w:t xml:space="preserve"> doit être comprise, si le contexte le permet et </w:t>
      </w:r>
      <w:r>
        <w:rPr>
          <w:i/>
          <w:iCs/>
          <w:noProof/>
        </w:rPr>
        <w:t>mutatis mutandis</w:t>
      </w:r>
      <w:r>
        <w:rPr>
          <w:noProof/>
        </w:rPr>
        <w:t>, comme incluant aussi l’</w:t>
      </w:r>
      <w:r>
        <w:rPr>
          <w:i/>
          <w:iCs/>
          <w:noProof/>
        </w:rPr>
        <w:t>annexe 3</w:t>
      </w:r>
      <w:r>
        <w:rPr>
          <w:noProof/>
        </w:rPr>
        <w:t>.</w:t>
      </w:r>
    </w:p>
    <w:p>
      <w:pPr>
        <w:pStyle w:val="ManualNumPar1"/>
        <w:rPr>
          <w:noProof/>
        </w:rPr>
      </w:pPr>
      <w:r>
        <w:rPr>
          <w:noProof/>
        </w:rPr>
        <w:t>6.9</w:t>
      </w:r>
      <w:r>
        <w:rPr>
          <w:noProof/>
        </w:rPr>
        <w:tab/>
        <w:t xml:space="preserve">En optant pour le </w:t>
      </w:r>
      <w:r>
        <w:rPr>
          <w:b/>
          <w:bCs/>
          <w:noProof/>
        </w:rPr>
        <w:t>système de souscription</w:t>
      </w:r>
      <w:r>
        <w:rPr>
          <w:noProof/>
        </w:rPr>
        <w:t xml:space="preserve">, le </w:t>
      </w:r>
      <w:r>
        <w:rPr>
          <w:b/>
          <w:bCs/>
          <w:noProof/>
        </w:rPr>
        <w:t>bénéficiaire</w:t>
      </w:r>
      <w:r>
        <w:rPr>
          <w:noProof/>
        </w:rPr>
        <w:t xml:space="preserve">, en tant que </w:t>
      </w:r>
      <w:r>
        <w:rPr>
          <w:b/>
          <w:bCs/>
          <w:noProof/>
        </w:rPr>
        <w:t>souscripteur</w:t>
      </w:r>
      <w:r>
        <w:rPr>
          <w:noProof/>
        </w:rPr>
        <w:t xml:space="preserve">, n’a pas d’autres obligations de paiement, s’agissant du </w:t>
      </w:r>
      <w:r>
        <w:rPr>
          <w:b/>
          <w:bCs/>
          <w:noProof/>
        </w:rPr>
        <w:t>matériel</w:t>
      </w:r>
      <w:r>
        <w:rPr>
          <w:noProof/>
        </w:rPr>
        <w:t xml:space="preserve"> reçu pendant la durée de la </w:t>
      </w:r>
      <w:r>
        <w:rPr>
          <w:b/>
          <w:bCs/>
          <w:noProof/>
        </w:rPr>
        <w:t>souscription</w:t>
      </w:r>
      <w:r>
        <w:rPr>
          <w:noProof/>
        </w:rPr>
        <w:t xml:space="preserve"> et du </w:t>
      </w:r>
      <w:r>
        <w:rPr>
          <w:b/>
          <w:bCs/>
          <w:noProof/>
        </w:rPr>
        <w:t>produit</w:t>
      </w:r>
      <w:r>
        <w:rPr>
          <w:noProof/>
        </w:rPr>
        <w:t xml:space="preserve"> incorporant du </w:t>
      </w:r>
      <w:r>
        <w:rPr>
          <w:b/>
          <w:noProof/>
        </w:rPr>
        <w:t>matériel</w:t>
      </w:r>
      <w:r>
        <w:rPr>
          <w:noProof/>
        </w:rPr>
        <w:t xml:space="preserve">, que les obligations prévues au titre du </w:t>
      </w:r>
      <w:r>
        <w:rPr>
          <w:b/>
          <w:bCs/>
          <w:noProof/>
        </w:rPr>
        <w:t>système de souscription</w:t>
      </w:r>
      <w:r>
        <w:rPr>
          <w:noProof/>
        </w:rPr>
        <w:t>.</w:t>
      </w:r>
    </w:p>
    <w:p>
      <w:pPr>
        <w:pStyle w:val="ManualNumPar1"/>
        <w:rPr>
          <w:noProof/>
        </w:rPr>
      </w:pPr>
      <w:r>
        <w:rPr>
          <w:noProof/>
        </w:rPr>
        <w:t>6.10</w:t>
      </w:r>
      <w:r>
        <w:rPr>
          <w:noProof/>
        </w:rPr>
        <w:tab/>
        <w:t xml:space="preserve">Si le </w:t>
      </w:r>
      <w:r>
        <w:rPr>
          <w:b/>
          <w:bCs/>
          <w:noProof/>
        </w:rPr>
        <w:t>bénéficiaire</w:t>
      </w:r>
      <w:r>
        <w:rPr>
          <w:noProof/>
        </w:rPr>
        <w:t xml:space="preserve"> n’opte pas pour le système de souscription et si le </w:t>
      </w:r>
      <w:r>
        <w:rPr>
          <w:b/>
          <w:bCs/>
          <w:noProof/>
        </w:rPr>
        <w:t>bénéficiaire</w:t>
      </w:r>
      <w:r>
        <w:rPr>
          <w:noProof/>
        </w:rPr>
        <w:t xml:space="preserve"> ou l’une de ses filiales </w:t>
      </w:r>
      <w:r>
        <w:rPr>
          <w:b/>
          <w:bCs/>
          <w:noProof/>
        </w:rPr>
        <w:t>commercialise</w:t>
      </w:r>
      <w:r>
        <w:rPr>
          <w:noProof/>
        </w:rPr>
        <w:t xml:space="preserve"> un </w:t>
      </w:r>
      <w:r>
        <w:rPr>
          <w:b/>
          <w:bCs/>
          <w:noProof/>
        </w:rPr>
        <w:t>produit</w:t>
      </w:r>
      <w:r>
        <w:rPr>
          <w:noProof/>
        </w:rPr>
        <w:t xml:space="preserve"> qui est une </w:t>
      </w:r>
      <w:r>
        <w:rPr>
          <w:b/>
          <w:bCs/>
          <w:noProof/>
        </w:rPr>
        <w:t>ressource phytogénétique pour l’alimentation et l’agriculture</w:t>
      </w:r>
      <w:r>
        <w:rPr>
          <w:noProof/>
        </w:rPr>
        <w:t xml:space="preserve"> incorporant du </w:t>
      </w:r>
      <w:r>
        <w:rPr>
          <w:b/>
          <w:bCs/>
          <w:noProof/>
        </w:rPr>
        <w:t>matériel</w:t>
      </w:r>
      <w:r>
        <w:rPr>
          <w:noProof/>
        </w:rPr>
        <w:t xml:space="preserve"> visé à l’article 3 du </w:t>
      </w:r>
      <w:r>
        <w:rPr>
          <w:b/>
          <w:bCs/>
          <w:noProof/>
        </w:rPr>
        <w:t>présent accord</w:t>
      </w:r>
      <w:r>
        <w:rPr>
          <w:noProof/>
        </w:rPr>
        <w:t xml:space="preserve">, et que </w:t>
      </w:r>
      <w:r>
        <w:rPr>
          <w:b/>
          <w:bCs/>
          <w:noProof/>
        </w:rPr>
        <w:t>ce produit n’est pas disponible sans restriction</w:t>
      </w:r>
      <w:r>
        <w:rPr>
          <w:noProof/>
        </w:rPr>
        <w:t xml:space="preserve"> pour autrui à des fins de recherche et de sélection, le </w:t>
      </w:r>
      <w:r>
        <w:rPr>
          <w:b/>
          <w:bCs/>
          <w:noProof/>
        </w:rPr>
        <w:t>bénéficiaire</w:t>
      </w:r>
      <w:r>
        <w:rPr>
          <w:noProof/>
        </w:rPr>
        <w:t xml:space="preserve"> verse, pendant la période d’application de la restriction, un pourcentage fixe des </w:t>
      </w:r>
      <w:r>
        <w:rPr>
          <w:b/>
          <w:bCs/>
          <w:noProof/>
        </w:rPr>
        <w:t>ventes</w:t>
      </w:r>
      <w:r>
        <w:rPr>
          <w:noProof/>
        </w:rPr>
        <w:t xml:space="preserve"> du </w:t>
      </w:r>
      <w:r>
        <w:rPr>
          <w:b/>
          <w:bCs/>
          <w:noProof/>
        </w:rPr>
        <w:t>produit commercialisé</w:t>
      </w:r>
      <w:r>
        <w:rPr>
          <w:noProof/>
        </w:rPr>
        <w:t xml:space="preserve"> au mécanisme établi par l’</w:t>
      </w:r>
      <w:r>
        <w:rPr>
          <w:b/>
          <w:bCs/>
          <w:noProof/>
        </w:rPr>
        <w:t>organe directeur</w:t>
      </w:r>
      <w:r>
        <w:rPr>
          <w:noProof/>
        </w:rPr>
        <w:t xml:space="preserve"> à cet effet, comme le prévoit l’</w:t>
      </w:r>
      <w:r>
        <w:rPr>
          <w:i/>
          <w:iCs/>
          <w:noProof/>
        </w:rPr>
        <w:t>annexe 2</w:t>
      </w:r>
      <w:r>
        <w:rPr>
          <w:noProof/>
        </w:rPr>
        <w:t xml:space="preserve"> du </w:t>
      </w:r>
      <w:r>
        <w:rPr>
          <w:b/>
          <w:bCs/>
          <w:noProof/>
        </w:rPr>
        <w:t>présent accord</w:t>
      </w:r>
      <w:r>
        <w:rPr>
          <w:noProof/>
        </w:rPr>
        <w:t>.</w:t>
      </w:r>
    </w:p>
    <w:p>
      <w:pPr>
        <w:pStyle w:val="ManualNumPar1"/>
        <w:rPr>
          <w:noProof/>
        </w:rPr>
      </w:pPr>
      <w:r>
        <w:rPr>
          <w:noProof/>
        </w:rPr>
        <w:t>6.11</w:t>
      </w:r>
      <w:r>
        <w:rPr>
          <w:noProof/>
        </w:rPr>
        <w:tab/>
        <w:t xml:space="preserve">Si le </w:t>
      </w:r>
      <w:r>
        <w:rPr>
          <w:b/>
          <w:bCs/>
          <w:noProof/>
        </w:rPr>
        <w:t>bénéficiaire</w:t>
      </w:r>
      <w:r>
        <w:rPr>
          <w:noProof/>
        </w:rPr>
        <w:t xml:space="preserve"> n’opte pas pour le système de souscription et si le </w:t>
      </w:r>
      <w:r>
        <w:rPr>
          <w:b/>
          <w:bCs/>
          <w:noProof/>
        </w:rPr>
        <w:t>bénéficiaire</w:t>
      </w:r>
      <w:r>
        <w:rPr>
          <w:noProof/>
        </w:rPr>
        <w:t xml:space="preserve"> ou l’une de ses filiales </w:t>
      </w:r>
      <w:r>
        <w:rPr>
          <w:b/>
          <w:bCs/>
          <w:noProof/>
        </w:rPr>
        <w:t>commercialise</w:t>
      </w:r>
      <w:r>
        <w:rPr>
          <w:noProof/>
        </w:rPr>
        <w:t xml:space="preserve"> un </w:t>
      </w:r>
      <w:r>
        <w:rPr>
          <w:b/>
          <w:bCs/>
          <w:noProof/>
        </w:rPr>
        <w:t>produit</w:t>
      </w:r>
      <w:r>
        <w:rPr>
          <w:noProof/>
        </w:rPr>
        <w:t xml:space="preserve"> qui est une </w:t>
      </w:r>
      <w:r>
        <w:rPr>
          <w:b/>
          <w:bCs/>
          <w:noProof/>
        </w:rPr>
        <w:t>ressource phytogénétique pour l’alimentation et l’agriculture</w:t>
      </w:r>
      <w:r>
        <w:rPr>
          <w:noProof/>
        </w:rPr>
        <w:t xml:space="preserve"> incorporant du </w:t>
      </w:r>
      <w:r>
        <w:rPr>
          <w:b/>
          <w:bCs/>
          <w:noProof/>
        </w:rPr>
        <w:t>matériel</w:t>
      </w:r>
      <w:r>
        <w:rPr>
          <w:noProof/>
        </w:rPr>
        <w:t xml:space="preserve"> visé à l’article 3 du </w:t>
      </w:r>
      <w:r>
        <w:rPr>
          <w:b/>
          <w:bCs/>
          <w:noProof/>
        </w:rPr>
        <w:t>présent accord</w:t>
      </w:r>
      <w:r>
        <w:rPr>
          <w:noProof/>
        </w:rPr>
        <w:t xml:space="preserve">, et que ce </w:t>
      </w:r>
      <w:r>
        <w:rPr>
          <w:b/>
          <w:bCs/>
          <w:noProof/>
        </w:rPr>
        <w:t>produit</w:t>
      </w:r>
      <w:r>
        <w:rPr>
          <w:noProof/>
        </w:rPr>
        <w:t xml:space="preserve"> est </w:t>
      </w:r>
      <w:r>
        <w:rPr>
          <w:b/>
          <w:bCs/>
          <w:noProof/>
        </w:rPr>
        <w:t>disponible sans restriction</w:t>
      </w:r>
      <w:r>
        <w:rPr>
          <w:noProof/>
        </w:rPr>
        <w:t xml:space="preserve"> pour autrui à des fins de recherche et de sélection, le </w:t>
      </w:r>
      <w:r>
        <w:rPr>
          <w:b/>
          <w:bCs/>
          <w:noProof/>
        </w:rPr>
        <w:t>bénéficiaire</w:t>
      </w:r>
      <w:r>
        <w:rPr>
          <w:noProof/>
        </w:rPr>
        <w:t xml:space="preserve"> verse, pendant une période de dix ans, un pourcentage fixe des </w:t>
      </w:r>
      <w:r>
        <w:rPr>
          <w:b/>
          <w:bCs/>
          <w:noProof/>
        </w:rPr>
        <w:t>ventes</w:t>
      </w:r>
      <w:r>
        <w:rPr>
          <w:noProof/>
        </w:rPr>
        <w:t xml:space="preserve"> du </w:t>
      </w:r>
      <w:r>
        <w:rPr>
          <w:b/>
          <w:bCs/>
          <w:noProof/>
        </w:rPr>
        <w:t>produit commercialisé</w:t>
      </w:r>
      <w:r>
        <w:rPr>
          <w:noProof/>
        </w:rPr>
        <w:t xml:space="preserve"> au mécanisme établi par l’</w:t>
      </w:r>
      <w:r>
        <w:rPr>
          <w:b/>
          <w:bCs/>
          <w:noProof/>
        </w:rPr>
        <w:t>organe directeur</w:t>
      </w:r>
      <w:r>
        <w:rPr>
          <w:noProof/>
        </w:rPr>
        <w:t xml:space="preserve"> à cet effet, comme le prévoit l’</w:t>
      </w:r>
      <w:r>
        <w:rPr>
          <w:i/>
          <w:iCs/>
          <w:noProof/>
        </w:rPr>
        <w:t>annexe 2</w:t>
      </w:r>
      <w:r>
        <w:rPr>
          <w:noProof/>
        </w:rPr>
        <w:t xml:space="preserve"> du </w:t>
      </w:r>
      <w:r>
        <w:rPr>
          <w:b/>
          <w:bCs/>
          <w:noProof/>
        </w:rPr>
        <w:t>présent accord</w:t>
      </w:r>
      <w:r>
        <w:rPr>
          <w:noProof/>
        </w:rPr>
        <w:t>.</w:t>
      </w:r>
    </w:p>
    <w:p>
      <w:pPr>
        <w:pStyle w:val="ManualNumPar1"/>
        <w:rPr>
          <w:noProof/>
        </w:rPr>
      </w:pPr>
      <w:r>
        <w:rPr>
          <w:noProof/>
        </w:rPr>
        <w:t>6.12</w:t>
      </w:r>
      <w:r>
        <w:rPr>
          <w:noProof/>
        </w:rPr>
        <w:tab/>
        <w:t xml:space="preserve">Le </w:t>
      </w:r>
      <w:r>
        <w:rPr>
          <w:b/>
          <w:bCs/>
          <w:noProof/>
        </w:rPr>
        <w:t>bénéficiaire</w:t>
      </w:r>
      <w:r>
        <w:rPr>
          <w:noProof/>
        </w:rPr>
        <w:t xml:space="preserve"> met à la disposition du </w:t>
      </w:r>
      <w:r>
        <w:rPr>
          <w:b/>
          <w:bCs/>
          <w:noProof/>
        </w:rPr>
        <w:t>système multilatéral</w:t>
      </w:r>
      <w:r>
        <w:rPr>
          <w:noProof/>
        </w:rPr>
        <w:t xml:space="preserve">, par l’intermédiaire du système d’information visé à l’article 17 du </w:t>
      </w:r>
      <w:r>
        <w:rPr>
          <w:b/>
          <w:bCs/>
          <w:noProof/>
        </w:rPr>
        <w:t>traité</w:t>
      </w:r>
      <w:r>
        <w:rPr>
          <w:noProof/>
        </w:rPr>
        <w:t xml:space="preserve">, toute information non confidentielle résultant de la recherche et développement effectuée sur le </w:t>
      </w:r>
      <w:r>
        <w:rPr>
          <w:b/>
          <w:noProof/>
        </w:rPr>
        <w:t>matériel</w:t>
      </w:r>
      <w:r>
        <w:rPr>
          <w:noProof/>
        </w:rPr>
        <w:t xml:space="preserve">, et est encouragé à partager, par l’intermédiaire du </w:t>
      </w:r>
      <w:r>
        <w:rPr>
          <w:b/>
          <w:bCs/>
          <w:noProof/>
        </w:rPr>
        <w:t>système multilatéral</w:t>
      </w:r>
      <w:r>
        <w:rPr>
          <w:noProof/>
        </w:rPr>
        <w:t xml:space="preserve">, les avantages non monétaires identifiés expressément à l’article 13.2 du </w:t>
      </w:r>
      <w:r>
        <w:rPr>
          <w:b/>
          <w:bCs/>
          <w:noProof/>
        </w:rPr>
        <w:t>traité</w:t>
      </w:r>
      <w:r>
        <w:rPr>
          <w:noProof/>
        </w:rPr>
        <w:t xml:space="preserve"> qui résultent de cette recherche et développement. Le </w:t>
      </w:r>
      <w:r>
        <w:rPr>
          <w:b/>
          <w:bCs/>
          <w:noProof/>
        </w:rPr>
        <w:t>bénéficiaire</w:t>
      </w:r>
      <w:r>
        <w:rPr>
          <w:noProof/>
        </w:rPr>
        <w:t xml:space="preserve"> est encouragé à placer un échantillon de tout </w:t>
      </w:r>
      <w:r>
        <w:rPr>
          <w:b/>
          <w:bCs/>
          <w:noProof/>
        </w:rPr>
        <w:t>produit</w:t>
      </w:r>
      <w:r>
        <w:rPr>
          <w:noProof/>
        </w:rPr>
        <w:t xml:space="preserve"> incorporant du </w:t>
      </w:r>
      <w:r>
        <w:rPr>
          <w:b/>
          <w:bCs/>
          <w:noProof/>
        </w:rPr>
        <w:t xml:space="preserve">matériel </w:t>
      </w:r>
      <w:r>
        <w:rPr>
          <w:noProof/>
        </w:rPr>
        <w:t xml:space="preserve">dans une collection faisant partie du </w:t>
      </w:r>
      <w:r>
        <w:rPr>
          <w:b/>
          <w:bCs/>
          <w:noProof/>
        </w:rPr>
        <w:t>système multilatéral</w:t>
      </w:r>
      <w:r>
        <w:rPr>
          <w:noProof/>
        </w:rPr>
        <w:t xml:space="preserve"> à des fins de recherche et de sélection.</w:t>
      </w:r>
    </w:p>
    <w:p>
      <w:pPr>
        <w:pStyle w:val="ManualNumPar1"/>
        <w:rPr>
          <w:noProof/>
        </w:rPr>
      </w:pPr>
      <w:r>
        <w:rPr>
          <w:noProof/>
        </w:rPr>
        <w:t>6.13</w:t>
      </w:r>
      <w:r>
        <w:rPr>
          <w:noProof/>
        </w:rPr>
        <w:tab/>
        <w:t xml:space="preserve">Un </w:t>
      </w:r>
      <w:r>
        <w:rPr>
          <w:b/>
          <w:bCs/>
          <w:noProof/>
        </w:rPr>
        <w:t>bénéficiaire</w:t>
      </w:r>
      <w:r>
        <w:rPr>
          <w:noProof/>
        </w:rPr>
        <w:t xml:space="preserve"> qui a demandé ou obtenu des droits de propriété intellectuelle sur un </w:t>
      </w:r>
      <w:r>
        <w:rPr>
          <w:b/>
          <w:bCs/>
          <w:noProof/>
        </w:rPr>
        <w:t>produit</w:t>
      </w:r>
      <w:r>
        <w:rPr>
          <w:noProof/>
        </w:rPr>
        <w:t xml:space="preserve"> mis au point à partir du </w:t>
      </w:r>
      <w:r>
        <w:rPr>
          <w:b/>
          <w:bCs/>
          <w:noProof/>
        </w:rPr>
        <w:t>matériel</w:t>
      </w:r>
      <w:r>
        <w:rPr>
          <w:noProof/>
        </w:rPr>
        <w:t xml:space="preserve"> ou de ses composantes issus du </w:t>
      </w:r>
      <w:r>
        <w:rPr>
          <w:b/>
          <w:bCs/>
          <w:noProof/>
        </w:rPr>
        <w:t>système multilatéral</w:t>
      </w:r>
      <w:r>
        <w:rPr>
          <w:noProof/>
        </w:rPr>
        <w:t xml:space="preserve">, et qui cède cette demande ou ces droits à une tierce partie, transfère à cette dernière les obligations relatives au partage des avantages découlant du </w:t>
      </w:r>
      <w:r>
        <w:rPr>
          <w:b/>
          <w:bCs/>
          <w:noProof/>
        </w:rPr>
        <w:t>présent accord</w:t>
      </w:r>
      <w:r>
        <w:rPr>
          <w:noProof/>
        </w:rPr>
        <w:t>.</w:t>
      </w:r>
    </w:p>
    <w:p>
      <w:pPr>
        <w:pStyle w:val="Titreobjet"/>
        <w:rPr>
          <w:noProof/>
        </w:rPr>
      </w:pPr>
      <w:r>
        <w:rPr>
          <w:noProof/>
        </w:rPr>
        <w:t>ARTICLE 7 – DROIT APPLICABLE</w:t>
      </w:r>
    </w:p>
    <w:p>
      <w:pPr>
        <w:spacing w:before="0" w:after="200" w:line="276" w:lineRule="auto"/>
        <w:rPr>
          <w:noProof/>
          <w:szCs w:val="24"/>
        </w:rPr>
      </w:pPr>
      <w:r>
        <w:rPr>
          <w:noProof/>
        </w:rPr>
        <w:t xml:space="preserve">Le droit applicable est constitué par les principes généraux du droit, y compris les principes UNIDROIT relatifs aux contrats du commerce international (2016 et mises à jour ultérieures), les objectifs et dispositions pertinentes du </w:t>
      </w:r>
      <w:r>
        <w:rPr>
          <w:b/>
          <w:bCs/>
          <w:noProof/>
        </w:rPr>
        <w:t>traité</w:t>
      </w:r>
      <w:r>
        <w:rPr>
          <w:noProof/>
        </w:rPr>
        <w:t xml:space="preserve"> et, si l’interprétation l’exige, les décisions de l’</w:t>
      </w:r>
      <w:r>
        <w:rPr>
          <w:b/>
          <w:bCs/>
          <w:noProof/>
        </w:rPr>
        <w:t>organe directeur</w:t>
      </w:r>
      <w:r>
        <w:rPr>
          <w:noProof/>
        </w:rPr>
        <w:t>.</w:t>
      </w:r>
    </w:p>
    <w:p>
      <w:pPr>
        <w:pStyle w:val="Titreobjet"/>
        <w:rPr>
          <w:noProof/>
        </w:rPr>
      </w:pPr>
      <w:r>
        <w:rPr>
          <w:noProof/>
        </w:rPr>
        <w:t>ARTICLE 8 — RÈGLEMENT DES DIFFÉRENDS</w:t>
      </w:r>
    </w:p>
    <w:p>
      <w:pPr>
        <w:pStyle w:val="ManualNumPar1"/>
        <w:rPr>
          <w:noProof/>
        </w:rPr>
      </w:pPr>
      <w:r>
        <w:rPr>
          <w:noProof/>
        </w:rPr>
        <w:t>8.1</w:t>
      </w:r>
      <w:r>
        <w:rPr>
          <w:noProof/>
        </w:rPr>
        <w:tab/>
        <w:t xml:space="preserve">Le règlement des différends peut être demandé par le </w:t>
      </w:r>
      <w:r>
        <w:rPr>
          <w:b/>
          <w:bCs/>
          <w:noProof/>
        </w:rPr>
        <w:t>fournisseur</w:t>
      </w:r>
      <w:r>
        <w:rPr>
          <w:noProof/>
        </w:rPr>
        <w:t xml:space="preserve">, le </w:t>
      </w:r>
      <w:r>
        <w:rPr>
          <w:b/>
          <w:bCs/>
          <w:noProof/>
        </w:rPr>
        <w:t>bénéficiaire</w:t>
      </w:r>
      <w:r>
        <w:rPr>
          <w:noProof/>
        </w:rPr>
        <w:t xml:space="preserve"> ou la tierce partie bénéficiaire agissant au nom de l’</w:t>
      </w:r>
      <w:r>
        <w:rPr>
          <w:b/>
          <w:bCs/>
          <w:noProof/>
        </w:rPr>
        <w:t>organe directeur</w:t>
      </w:r>
      <w:r>
        <w:rPr>
          <w:noProof/>
        </w:rPr>
        <w:t xml:space="preserve"> </w:t>
      </w:r>
      <w:r>
        <w:rPr>
          <w:b/>
          <w:bCs/>
          <w:noProof/>
        </w:rPr>
        <w:t>du traité</w:t>
      </w:r>
      <w:r>
        <w:rPr>
          <w:noProof/>
        </w:rPr>
        <w:t xml:space="preserve"> et du </w:t>
      </w:r>
      <w:r>
        <w:rPr>
          <w:b/>
          <w:bCs/>
          <w:noProof/>
        </w:rPr>
        <w:t>système multilatéral</w:t>
      </w:r>
      <w:r>
        <w:rPr>
          <w:noProof/>
        </w:rPr>
        <w:t>.</w:t>
      </w:r>
    </w:p>
    <w:p>
      <w:pPr>
        <w:pStyle w:val="ManualNumPar1"/>
        <w:rPr>
          <w:noProof/>
        </w:rPr>
      </w:pPr>
      <w:r>
        <w:rPr>
          <w:noProof/>
        </w:rPr>
        <w:t>8.2</w:t>
      </w:r>
      <w:r>
        <w:rPr>
          <w:noProof/>
        </w:rPr>
        <w:tab/>
        <w:t xml:space="preserve">Les parties au </w:t>
      </w:r>
      <w:r>
        <w:rPr>
          <w:b/>
          <w:bCs/>
          <w:noProof/>
        </w:rPr>
        <w:t>présent accord</w:t>
      </w:r>
      <w:r>
        <w:rPr>
          <w:noProof/>
        </w:rPr>
        <w:t xml:space="preserve"> conviennent que l’Organisation des Nations unies pour l’alimentation et l’agriculture, qui représente l’</w:t>
      </w:r>
      <w:r>
        <w:rPr>
          <w:b/>
          <w:bCs/>
          <w:noProof/>
        </w:rPr>
        <w:t>organe directeur</w:t>
      </w:r>
      <w:r>
        <w:rPr>
          <w:noProof/>
        </w:rPr>
        <w:t xml:space="preserve"> et le </w:t>
      </w:r>
      <w:r>
        <w:rPr>
          <w:b/>
          <w:bCs/>
          <w:noProof/>
        </w:rPr>
        <w:t>système multilatéral</w:t>
      </w:r>
      <w:r>
        <w:rPr>
          <w:noProof/>
        </w:rPr>
        <w:t xml:space="preserve">, est habilitée, en tant que tierce partie bénéficiaire, à engager des procédures de règlement des différends concernant les droits et obligations du </w:t>
      </w:r>
      <w:r>
        <w:rPr>
          <w:b/>
          <w:bCs/>
          <w:noProof/>
        </w:rPr>
        <w:t>fournisseur</w:t>
      </w:r>
      <w:r>
        <w:rPr>
          <w:noProof/>
        </w:rPr>
        <w:t xml:space="preserve"> et du </w:t>
      </w:r>
      <w:r>
        <w:rPr>
          <w:b/>
          <w:bCs/>
          <w:noProof/>
        </w:rPr>
        <w:t>bénéficiaire</w:t>
      </w:r>
      <w:r>
        <w:rPr>
          <w:noProof/>
        </w:rPr>
        <w:t xml:space="preserve"> au titre du </w:t>
      </w:r>
      <w:r>
        <w:rPr>
          <w:b/>
          <w:bCs/>
          <w:noProof/>
        </w:rPr>
        <w:t>présent accord</w:t>
      </w:r>
      <w:r>
        <w:rPr>
          <w:noProof/>
        </w:rPr>
        <w:t>.</w:t>
      </w:r>
    </w:p>
    <w:p>
      <w:pPr>
        <w:pStyle w:val="ManualNumPar1"/>
        <w:rPr>
          <w:noProof/>
        </w:rPr>
      </w:pPr>
      <w:r>
        <w:rPr>
          <w:noProof/>
        </w:rPr>
        <w:t>8.3</w:t>
      </w:r>
      <w:r>
        <w:rPr>
          <w:noProof/>
        </w:rPr>
        <w:tab/>
        <w:t xml:space="preserve">La tierce partie bénéficiaire a le droit de demander que les informations appropriées, y compris des échantillons, si nécessaire, soient mises à disposition par le </w:t>
      </w:r>
      <w:r>
        <w:rPr>
          <w:b/>
          <w:bCs/>
          <w:noProof/>
        </w:rPr>
        <w:t>fournisseur</w:t>
      </w:r>
      <w:r>
        <w:rPr>
          <w:noProof/>
        </w:rPr>
        <w:t xml:space="preserve"> et le </w:t>
      </w:r>
      <w:r>
        <w:rPr>
          <w:b/>
          <w:bCs/>
          <w:noProof/>
        </w:rPr>
        <w:t>bénéficiaire</w:t>
      </w:r>
      <w:r>
        <w:rPr>
          <w:noProof/>
        </w:rPr>
        <w:t xml:space="preserve"> dans le cadre de leurs obligations au titre du </w:t>
      </w:r>
      <w:r>
        <w:rPr>
          <w:b/>
          <w:bCs/>
          <w:noProof/>
        </w:rPr>
        <w:t>présent accord</w:t>
      </w:r>
      <w:r>
        <w:rPr>
          <w:noProof/>
        </w:rPr>
        <w:t xml:space="preserve">. Les informations ou échantillons ainsi demandés sont fournis, selon le cas, par le </w:t>
      </w:r>
      <w:r>
        <w:rPr>
          <w:b/>
          <w:bCs/>
          <w:noProof/>
        </w:rPr>
        <w:t>fournisseur</w:t>
      </w:r>
      <w:r>
        <w:rPr>
          <w:noProof/>
        </w:rPr>
        <w:t xml:space="preserve"> ou le </w:t>
      </w:r>
      <w:r>
        <w:rPr>
          <w:b/>
          <w:bCs/>
          <w:noProof/>
        </w:rPr>
        <w:t>bénéficiaire</w:t>
      </w:r>
      <w:r>
        <w:rPr>
          <w:noProof/>
        </w:rPr>
        <w:t>.</w:t>
      </w:r>
    </w:p>
    <w:p>
      <w:pPr>
        <w:pStyle w:val="ManualNumPar1"/>
        <w:rPr>
          <w:noProof/>
        </w:rPr>
      </w:pPr>
      <w:r>
        <w:rPr>
          <w:noProof/>
        </w:rPr>
        <w:t>8.4</w:t>
      </w:r>
      <w:r>
        <w:rPr>
          <w:noProof/>
        </w:rPr>
        <w:tab/>
        <w:t xml:space="preserve">Tout différend découlant du </w:t>
      </w:r>
      <w:r>
        <w:rPr>
          <w:b/>
          <w:bCs/>
          <w:noProof/>
        </w:rPr>
        <w:t>présent accord</w:t>
      </w:r>
      <w:r>
        <w:rPr>
          <w:noProof/>
        </w:rPr>
        <w:t xml:space="preserve"> est résolu de la manière suivante:</w:t>
      </w:r>
    </w:p>
    <w:p>
      <w:pPr>
        <w:pStyle w:val="Text1"/>
        <w:rPr>
          <w:noProof/>
        </w:rPr>
      </w:pPr>
      <w:r>
        <w:rPr>
          <w:noProof/>
        </w:rPr>
        <w:t>Règlement à l’amiable: les parties tentent en toute bonne foi de résoudre le différend par la négociation.</w:t>
      </w:r>
    </w:p>
    <w:p>
      <w:pPr>
        <w:pStyle w:val="Text1"/>
        <w:rPr>
          <w:noProof/>
        </w:rPr>
      </w:pPr>
      <w:r>
        <w:rPr>
          <w:noProof/>
        </w:rPr>
        <w:t>Médiation: si le différend n’est pas résolu par la négociation, les parties peuvent choisir de faire appel à la médiation d’une tierce partie neutre désignée d’un commun accord.</w:t>
      </w:r>
    </w:p>
    <w:p>
      <w:pPr>
        <w:pStyle w:val="Text1"/>
        <w:rPr>
          <w:noProof/>
        </w:rPr>
      </w:pPr>
      <w:r>
        <w:rPr>
          <w:noProof/>
        </w:rPr>
        <w:t>Arbitrage: si le différend n’est pas résolu par la négociation ni par la médiation, l’une ou l’autre des parties peut le soumettre à un arbitrage fondé sur les règles d’arbitrage d’un organisme international, choisi d’un commun accord par les parties au litige. À défaut d’accord, le différend est réglé en vertu des règles d’arbitrage de la Chambre de commerce internationale, par un ou plusieurs arbitres nommés conformément à ces règles. Chaque partie au différend peut, si elle le souhaite, nommer son arbitre en le choisissant sur une liste d’experts que l’organe directeur peut établir à cet effet; les deux parties ou les arbitres nommés par celles-ci, peuvent décider de nommer un seul arbitre ou, selon le cas, un arbitre président, parmi ceux figurant sur la liste.</w:t>
      </w:r>
      <w:r>
        <w:rPr>
          <w:i/>
          <w:noProof/>
        </w:rPr>
        <w:t xml:space="preserve"> </w:t>
      </w:r>
      <w:r>
        <w:rPr>
          <w:noProof/>
        </w:rPr>
        <w:t>Le résultat de cet arbitrage est contraignant.</w:t>
      </w:r>
    </w:p>
    <w:p>
      <w:pPr>
        <w:pStyle w:val="Text1"/>
        <w:rPr>
          <w:noProof/>
        </w:rPr>
      </w:pPr>
      <w:r>
        <w:rPr>
          <w:noProof/>
        </w:rPr>
        <w:t>Les parties lésées peuvent se prévaloir des possibilités de recours qui leur sont proposées en vertu des dispositions de l’article 12.5 du traité.</w:t>
      </w:r>
    </w:p>
    <w:p>
      <w:pPr>
        <w:pStyle w:val="Titreobjet"/>
        <w:rPr>
          <w:noProof/>
        </w:rPr>
      </w:pPr>
      <w:r>
        <w:rPr>
          <w:noProof/>
        </w:rPr>
        <w:t>ARTICLE 9 — POINTS SUPPLÉMENTAIRES</w:t>
      </w:r>
    </w:p>
    <w:p>
      <w:pPr>
        <w:keepNext/>
        <w:spacing w:before="0" w:after="200" w:line="276" w:lineRule="auto"/>
        <w:jc w:val="left"/>
        <w:outlineLvl w:val="0"/>
        <w:rPr>
          <w:b/>
          <w:noProof/>
          <w:szCs w:val="24"/>
          <w:u w:val="single"/>
        </w:rPr>
      </w:pPr>
      <w:r>
        <w:rPr>
          <w:b/>
          <w:noProof/>
          <w:u w:val="single"/>
        </w:rPr>
        <w:t>Garantie</w:t>
      </w:r>
    </w:p>
    <w:p>
      <w:pPr>
        <w:pStyle w:val="ManualNumPar1"/>
        <w:rPr>
          <w:b/>
          <w:noProof/>
        </w:rPr>
      </w:pPr>
      <w:r>
        <w:rPr>
          <w:noProof/>
        </w:rPr>
        <w:t>9.1</w:t>
      </w:r>
      <w:r>
        <w:rPr>
          <w:noProof/>
        </w:rPr>
        <w:tab/>
        <w:t xml:space="preserve">Le </w:t>
      </w:r>
      <w:r>
        <w:rPr>
          <w:b/>
          <w:bCs/>
          <w:noProof/>
        </w:rPr>
        <w:t>fournisseur</w:t>
      </w:r>
      <w:r>
        <w:rPr>
          <w:noProof/>
        </w:rPr>
        <w:t xml:space="preserve"> n’apporte aucune garantie dans le cadre du </w:t>
      </w:r>
      <w:r>
        <w:rPr>
          <w:b/>
          <w:bCs/>
          <w:noProof/>
        </w:rPr>
        <w:t>présent accord</w:t>
      </w:r>
      <w:r>
        <w:rPr>
          <w:noProof/>
        </w:rPr>
        <w:t xml:space="preserve"> quant au droit au </w:t>
      </w:r>
      <w:r>
        <w:rPr>
          <w:b/>
          <w:bCs/>
          <w:noProof/>
        </w:rPr>
        <w:t>matériel</w:t>
      </w:r>
      <w:r>
        <w:rPr>
          <w:noProof/>
        </w:rPr>
        <w:t xml:space="preserve"> ou à la sécurité de celui-ci, ni en ce qui concerne la précision ou l’exactitude de toute donnée de passeport ou autre fournie avec le </w:t>
      </w:r>
      <w:r>
        <w:rPr>
          <w:b/>
          <w:bCs/>
          <w:noProof/>
        </w:rPr>
        <w:t>matériel</w:t>
      </w:r>
      <w:r>
        <w:rPr>
          <w:noProof/>
        </w:rPr>
        <w:t xml:space="preserve">. Il n’apporte pas davantage de garanties s’agissant de la qualité, la viabilité ou la pureté (génétique ou mécanique) du </w:t>
      </w:r>
      <w:r>
        <w:rPr>
          <w:b/>
          <w:bCs/>
          <w:noProof/>
        </w:rPr>
        <w:t>matériel</w:t>
      </w:r>
      <w:r>
        <w:rPr>
          <w:noProof/>
        </w:rPr>
        <w:t xml:space="preserve"> fourni. L’état phytosanitaire du </w:t>
      </w:r>
      <w:r>
        <w:rPr>
          <w:b/>
          <w:bCs/>
          <w:noProof/>
        </w:rPr>
        <w:t>matériel</w:t>
      </w:r>
      <w:r>
        <w:rPr>
          <w:noProof/>
        </w:rPr>
        <w:t xml:space="preserve"> n’est garanti que dans la mesure des indications figurant dans un éventuel certificat phytosanitaire l’accompagnant. Le </w:t>
      </w:r>
      <w:r>
        <w:rPr>
          <w:b/>
          <w:bCs/>
          <w:noProof/>
        </w:rPr>
        <w:t>bénéficiaire</w:t>
      </w:r>
      <w:r>
        <w:rPr>
          <w:noProof/>
        </w:rPr>
        <w:t xml:space="preserve"> assume l’entière responsabilité du respect des réglementations et règles de son pays relatives aux mesures de quarantaine, aux espèces exotiques envahissantes et à la biosécurité applicables à l’importation ou à la mise en circulation de </w:t>
      </w:r>
      <w:r>
        <w:rPr>
          <w:b/>
          <w:bCs/>
          <w:noProof/>
        </w:rPr>
        <w:t>matériel génétique</w:t>
      </w:r>
      <w:r>
        <w:rPr>
          <w:noProof/>
        </w:rPr>
        <w:t>.</w:t>
      </w:r>
    </w:p>
    <w:p>
      <w:pPr>
        <w:spacing w:before="0" w:after="200" w:line="276" w:lineRule="auto"/>
        <w:jc w:val="left"/>
        <w:rPr>
          <w:b/>
          <w:noProof/>
          <w:szCs w:val="24"/>
          <w:u w:val="single"/>
        </w:rPr>
      </w:pPr>
      <w:r>
        <w:rPr>
          <w:b/>
          <w:noProof/>
          <w:u w:val="single"/>
        </w:rPr>
        <w:t>Dénonciation du présent accord</w:t>
      </w:r>
    </w:p>
    <w:p>
      <w:pPr>
        <w:pStyle w:val="ManualNumPar1"/>
        <w:rPr>
          <w:noProof/>
        </w:rPr>
      </w:pPr>
      <w:r>
        <w:rPr>
          <w:noProof/>
        </w:rPr>
        <w:t>9.2</w:t>
      </w:r>
      <w:r>
        <w:rPr>
          <w:noProof/>
        </w:rPr>
        <w:tab/>
        <w:t xml:space="preserve">Le </w:t>
      </w:r>
      <w:r>
        <w:rPr>
          <w:b/>
          <w:bCs/>
          <w:noProof/>
        </w:rPr>
        <w:t>bénéficiaire</w:t>
      </w:r>
      <w:r>
        <w:rPr>
          <w:noProof/>
        </w:rPr>
        <w:t xml:space="preserve"> peut dénoncer le </w:t>
      </w:r>
      <w:r>
        <w:rPr>
          <w:b/>
          <w:bCs/>
          <w:noProof/>
        </w:rPr>
        <w:t>présent accord</w:t>
      </w:r>
      <w:r>
        <w:rPr>
          <w:noProof/>
        </w:rPr>
        <w:t xml:space="preserve"> conformément aux dispositions de l’annexe 3 (système de souscription) ou de l’annexe 2 (système d’accès unique), respectivement.</w:t>
      </w:r>
    </w:p>
    <w:p>
      <w:pPr>
        <w:spacing w:before="0" w:after="200" w:line="276" w:lineRule="auto"/>
        <w:jc w:val="left"/>
        <w:rPr>
          <w:b/>
          <w:noProof/>
          <w:szCs w:val="24"/>
          <w:u w:val="single"/>
        </w:rPr>
      </w:pPr>
      <w:r>
        <w:rPr>
          <w:b/>
          <w:noProof/>
          <w:u w:val="single"/>
        </w:rPr>
        <w:t>Modifications apportées à l’accord type de transfert de matériel</w:t>
      </w:r>
    </w:p>
    <w:p>
      <w:pPr>
        <w:pStyle w:val="ManualNumPar1"/>
        <w:rPr>
          <w:noProof/>
        </w:rPr>
      </w:pPr>
      <w:r>
        <w:rPr>
          <w:noProof/>
        </w:rPr>
        <w:t>9.3</w:t>
      </w:r>
      <w:r>
        <w:rPr>
          <w:noProof/>
        </w:rPr>
        <w:tab/>
        <w:t>Si l’</w:t>
      </w:r>
      <w:r>
        <w:rPr>
          <w:b/>
          <w:bCs/>
          <w:noProof/>
        </w:rPr>
        <w:t>organe directeur</w:t>
      </w:r>
      <w:r>
        <w:rPr>
          <w:noProof/>
        </w:rPr>
        <w:t xml:space="preserve"> modifie les modalités et conditions de l’accord type de transfert de matériel, le </w:t>
      </w:r>
      <w:r>
        <w:rPr>
          <w:b/>
          <w:bCs/>
          <w:noProof/>
        </w:rPr>
        <w:t>bénéficiaire</w:t>
      </w:r>
      <w:r>
        <w:rPr>
          <w:noProof/>
        </w:rPr>
        <w:t xml:space="preserve"> utilisera, à compter de la date arrêtée par l’</w:t>
      </w:r>
      <w:r>
        <w:rPr>
          <w:b/>
          <w:bCs/>
          <w:noProof/>
        </w:rPr>
        <w:t>organe directeur</w:t>
      </w:r>
      <w:r>
        <w:rPr>
          <w:noProof/>
        </w:rPr>
        <w:t xml:space="preserve">, la version modifiée de l’accord type pour tout transfert ultérieur de </w:t>
      </w:r>
      <w:r>
        <w:rPr>
          <w:b/>
          <w:bCs/>
          <w:noProof/>
        </w:rPr>
        <w:t>matériel</w:t>
      </w:r>
      <w:r>
        <w:rPr>
          <w:noProof/>
        </w:rPr>
        <w:t xml:space="preserve"> à des tierces parties. Les autres droits et obligations du </w:t>
      </w:r>
      <w:r>
        <w:rPr>
          <w:b/>
          <w:bCs/>
          <w:noProof/>
        </w:rPr>
        <w:t>bénéficiaire</w:t>
      </w:r>
      <w:r>
        <w:rPr>
          <w:noProof/>
        </w:rPr>
        <w:t xml:space="preserve"> demeurent inchangés, à moins que le </w:t>
      </w:r>
      <w:r>
        <w:rPr>
          <w:b/>
          <w:bCs/>
          <w:noProof/>
        </w:rPr>
        <w:t>bénéficiaire</w:t>
      </w:r>
      <w:r>
        <w:rPr>
          <w:noProof/>
        </w:rPr>
        <w:t xml:space="preserve"> n’accepte expressément, par écrit, la version modifiée de l’accord type de transfert de matériel.</w:t>
      </w:r>
    </w:p>
    <w:p>
      <w:pPr>
        <w:pStyle w:val="Titreobjet"/>
        <w:rPr>
          <w:noProof/>
        </w:rPr>
      </w:pPr>
      <w:r>
        <w:rPr>
          <w:noProof/>
        </w:rPr>
        <w:t>ARTICLE 10 — SIGNATURE/ACCEPTATION</w:t>
      </w:r>
    </w:p>
    <w:p>
      <w:pPr>
        <w:spacing w:before="0" w:after="200" w:line="276" w:lineRule="auto"/>
        <w:jc w:val="left"/>
        <w:rPr>
          <w:noProof/>
          <w:szCs w:val="24"/>
        </w:rPr>
      </w:pPr>
      <w:r>
        <w:rPr>
          <w:noProof/>
        </w:rPr>
        <w:t xml:space="preserve">Le </w:t>
      </w:r>
      <w:r>
        <w:rPr>
          <w:b/>
          <w:bCs/>
          <w:noProof/>
        </w:rPr>
        <w:t>fournisseur</w:t>
      </w:r>
      <w:r>
        <w:rPr>
          <w:noProof/>
        </w:rPr>
        <w:t xml:space="preserve"> et le </w:t>
      </w:r>
      <w:r>
        <w:rPr>
          <w:b/>
          <w:bCs/>
          <w:noProof/>
        </w:rPr>
        <w:t>bénéficiaire</w:t>
      </w:r>
      <w:r>
        <w:rPr>
          <w:noProof/>
        </w:rPr>
        <w:t xml:space="preserve"> peuvent choisir la méthode d’acceptation à moins que l’une des parties exige que le </w:t>
      </w:r>
      <w:r>
        <w:rPr>
          <w:b/>
          <w:bCs/>
          <w:noProof/>
        </w:rPr>
        <w:t>présent accord</w:t>
      </w:r>
      <w:r>
        <w:rPr>
          <w:noProof/>
        </w:rPr>
        <w:t xml:space="preserve"> soit signé.</w:t>
      </w:r>
    </w:p>
    <w:p>
      <w:pPr>
        <w:spacing w:before="0" w:after="200" w:line="276" w:lineRule="auto"/>
        <w:jc w:val="left"/>
        <w:rPr>
          <w:noProof/>
          <w:szCs w:val="24"/>
        </w:rPr>
      </w:pPr>
      <w:r>
        <w:rPr>
          <w:b/>
          <w:bCs/>
          <w:noProof/>
          <w:u w:val="single"/>
        </w:rPr>
        <w:t>Option 1 — Signature</w:t>
      </w:r>
      <w:r>
        <w:rPr>
          <w:noProof/>
          <w:vertAlign w:val="superscript"/>
        </w:rPr>
        <w:footnoteReference w:customMarkFollows="1" w:id="6"/>
        <w:sym w:font="Symbol" w:char="F02A"/>
      </w:r>
      <w:r>
        <w:rPr>
          <w:noProof/>
          <w:vertAlign w:val="superscript"/>
        </w:rPr>
        <w:t xml:space="preserve"> </w:t>
      </w:r>
    </w:p>
    <w:p>
      <w:pPr>
        <w:pStyle w:val="Point0"/>
        <w:rPr>
          <w:noProof/>
        </w:rPr>
      </w:pPr>
      <w:r>
        <w:rPr>
          <w:noProof/>
        </w:rPr>
        <w:tab/>
        <w:t>Je soussigné (</w:t>
      </w:r>
      <w:r>
        <w:rPr>
          <w:i/>
          <w:iCs/>
          <w:noProof/>
        </w:rPr>
        <w:t>nom complet du responsable autorisé</w:t>
      </w:r>
      <w:r>
        <w:rPr>
          <w:noProof/>
        </w:rPr>
        <w:t xml:space="preserve">) déclare et certifie que je suis habilité à appliquer le </w:t>
      </w:r>
      <w:r>
        <w:rPr>
          <w:b/>
          <w:bCs/>
          <w:noProof/>
        </w:rPr>
        <w:t>présent accord</w:t>
      </w:r>
      <w:r>
        <w:rPr>
          <w:noProof/>
        </w:rPr>
        <w:t xml:space="preserve"> au nom du </w:t>
      </w:r>
      <w:r>
        <w:rPr>
          <w:b/>
          <w:bCs/>
          <w:noProof/>
        </w:rPr>
        <w:t>fournisseur</w:t>
      </w:r>
      <w:r>
        <w:rPr>
          <w:noProof/>
        </w:rPr>
        <w:t xml:space="preserve"> et reconnais que mon institution a la responsabilité et l’obligation de se conformer à la lettre et à l’esprit du </w:t>
      </w:r>
      <w:r>
        <w:rPr>
          <w:b/>
          <w:bCs/>
          <w:noProof/>
        </w:rPr>
        <w:t>présent accord</w:t>
      </w:r>
      <w:r>
        <w:rPr>
          <w:noProof/>
        </w:rPr>
        <w:t xml:space="preserve"> afin d’encourager la conservation et l’utilisation durable des </w:t>
      </w:r>
      <w:r>
        <w:rPr>
          <w:b/>
          <w:bCs/>
          <w:noProof/>
        </w:rPr>
        <w:t>ressources phytogénétiques pour l’alimentation et l’agriculture</w:t>
      </w:r>
      <w:r>
        <w:rPr>
          <w:noProof/>
        </w:rPr>
        <w:t>.</w:t>
      </w:r>
    </w:p>
    <w:p>
      <w:pPr>
        <w:pStyle w:val="Point0"/>
        <w:rPr>
          <w:noProof/>
        </w:rPr>
      </w:pPr>
      <w:r>
        <w:rPr>
          <w:noProof/>
        </w:rPr>
        <w:tab/>
        <w:t xml:space="preserve">Je reconnais que la tierce partie bénéficiaire jouit des droits énoncés aux articles 4 et 8 du </w:t>
      </w:r>
      <w:r>
        <w:rPr>
          <w:b/>
          <w:bCs/>
          <w:noProof/>
        </w:rPr>
        <w:t>présent accord</w:t>
      </w:r>
      <w:r>
        <w:rPr>
          <w:noProof/>
        </w:rPr>
        <w:t xml:space="preserve"> et l’accepte expressément.</w:t>
      </w:r>
    </w:p>
    <w:p>
      <w:pPr>
        <w:pStyle w:val="Point0"/>
        <w:rPr>
          <w:noProof/>
        </w:rPr>
      </w:pPr>
    </w:p>
    <w:p>
      <w:pPr>
        <w:pStyle w:val="Point0"/>
        <w:rPr>
          <w:noProof/>
        </w:rPr>
      </w:pPr>
      <w:r>
        <w:rPr>
          <w:noProof/>
        </w:rPr>
        <w:tab/>
        <w:t>Signature………………………………………….Date……………………………………….</w:t>
      </w:r>
    </w:p>
    <w:p>
      <w:pPr>
        <w:pStyle w:val="Point0"/>
        <w:rPr>
          <w:noProof/>
        </w:rPr>
      </w:pPr>
    </w:p>
    <w:p>
      <w:pPr>
        <w:pStyle w:val="Point0"/>
        <w:rPr>
          <w:noProof/>
        </w:rPr>
      </w:pPr>
      <w:r>
        <w:rPr>
          <w:noProof/>
        </w:rPr>
        <w:tab/>
        <w:t xml:space="preserve">Nom du </w:t>
      </w:r>
      <w:r>
        <w:rPr>
          <w:b/>
          <w:noProof/>
        </w:rPr>
        <w:t>fournisseur</w:t>
      </w:r>
      <w:r>
        <w:rPr>
          <w:noProof/>
        </w:rPr>
        <w:t xml:space="preserve"> …………………</w:t>
      </w:r>
    </w:p>
    <w:p>
      <w:pPr>
        <w:pStyle w:val="Point0"/>
        <w:rPr>
          <w:noProof/>
        </w:rPr>
      </w:pPr>
      <w:r>
        <w:rPr>
          <w:noProof/>
        </w:rPr>
        <w:tab/>
        <w:t>Je soussigné (</w:t>
      </w:r>
      <w:r>
        <w:rPr>
          <w:i/>
          <w:iCs/>
          <w:noProof/>
        </w:rPr>
        <w:t>nom complet du responsable autorisé</w:t>
      </w:r>
      <w:r>
        <w:rPr>
          <w:noProof/>
        </w:rPr>
        <w:t xml:space="preserve">) déclare et certifie que je suis habilité à appliquer le </w:t>
      </w:r>
      <w:r>
        <w:rPr>
          <w:b/>
          <w:bCs/>
          <w:noProof/>
        </w:rPr>
        <w:t>présent accord</w:t>
      </w:r>
      <w:r>
        <w:rPr>
          <w:noProof/>
        </w:rPr>
        <w:t xml:space="preserve"> au nom du </w:t>
      </w:r>
      <w:r>
        <w:rPr>
          <w:b/>
          <w:bCs/>
          <w:noProof/>
        </w:rPr>
        <w:t>bénéficiaire</w:t>
      </w:r>
      <w:r>
        <w:rPr>
          <w:noProof/>
        </w:rPr>
        <w:t xml:space="preserve"> et reconnais que mon institution a la responsabilité et l’obligation de se conformer à la lettre et à l’esprit du </w:t>
      </w:r>
      <w:r>
        <w:rPr>
          <w:b/>
          <w:bCs/>
          <w:noProof/>
        </w:rPr>
        <w:t>présent accord</w:t>
      </w:r>
      <w:r>
        <w:rPr>
          <w:noProof/>
        </w:rPr>
        <w:t xml:space="preserve"> afin d’encourager la conservation et l’utilisation durable des </w:t>
      </w:r>
      <w:r>
        <w:rPr>
          <w:b/>
          <w:bCs/>
          <w:noProof/>
        </w:rPr>
        <w:t>ressources phytogénétiques pour l’alimentation et l’agriculture</w:t>
      </w:r>
      <w:r>
        <w:rPr>
          <w:noProof/>
        </w:rPr>
        <w:t>.</w:t>
      </w:r>
    </w:p>
    <w:p>
      <w:pPr>
        <w:pStyle w:val="Point0"/>
        <w:rPr>
          <w:noProof/>
        </w:rPr>
      </w:pPr>
      <w:r>
        <w:rPr>
          <w:noProof/>
        </w:rPr>
        <w:tab/>
        <w:t xml:space="preserve">Je reconnais que la tierce partie bénéficiaire jouit des droits énoncés aux articles 4 et 8 du </w:t>
      </w:r>
      <w:r>
        <w:rPr>
          <w:b/>
          <w:bCs/>
          <w:noProof/>
        </w:rPr>
        <w:t>présent accord</w:t>
      </w:r>
      <w:r>
        <w:rPr>
          <w:noProof/>
        </w:rPr>
        <w:t xml:space="preserve"> et l’accepte expressément.</w:t>
      </w:r>
    </w:p>
    <w:p>
      <w:pPr>
        <w:pStyle w:val="Point1"/>
        <w:rPr>
          <w:noProof/>
        </w:rPr>
      </w:pPr>
      <w:r>
        <w:rPr>
          <w:noProof/>
        </w:rPr>
        <w:t>□</w:t>
      </w:r>
      <w:r>
        <w:rPr>
          <w:noProof/>
        </w:rPr>
        <w:tab/>
        <w:t xml:space="preserve">(Uniquement pour les souscripteurs) Je déclare par les présentes que les </w:t>
      </w:r>
      <w:r>
        <w:rPr>
          <w:b/>
          <w:noProof/>
        </w:rPr>
        <w:t>ventes</w:t>
      </w:r>
      <w:r>
        <w:rPr>
          <w:noProof/>
        </w:rPr>
        <w:t xml:space="preserve"> du </w:t>
      </w:r>
      <w:r>
        <w:rPr>
          <w:b/>
          <w:bCs/>
          <w:noProof/>
        </w:rPr>
        <w:t>bénéficiaire</w:t>
      </w:r>
      <w:r>
        <w:rPr>
          <w:noProof/>
        </w:rPr>
        <w:t xml:space="preserve"> ne dépassent pas le montant de [xx] USD, visé à l’article 3.3 de l’</w:t>
      </w:r>
      <w:r>
        <w:rPr>
          <w:i/>
          <w:iCs/>
          <w:noProof/>
        </w:rPr>
        <w:t>annexe 3</w:t>
      </w:r>
      <w:r>
        <w:rPr>
          <w:noProof/>
        </w:rPr>
        <w:t xml:space="preserve">. Le </w:t>
      </w:r>
      <w:r>
        <w:rPr>
          <w:b/>
          <w:bCs/>
          <w:noProof/>
        </w:rPr>
        <w:t>bénéficiaire</w:t>
      </w:r>
      <w:r>
        <w:rPr>
          <w:noProof/>
        </w:rPr>
        <w:t xml:space="preserve"> s’engage à verser des redevances annuelles et à communiquer des rapports annuels dès l’instant où ses </w:t>
      </w:r>
      <w:r>
        <w:rPr>
          <w:b/>
          <w:bCs/>
          <w:noProof/>
        </w:rPr>
        <w:t>ventes</w:t>
      </w:r>
      <w:r>
        <w:rPr>
          <w:noProof/>
        </w:rPr>
        <w:t xml:space="preserve"> dépassent un montant de [xx] USD. Le droit de la tierce partie bénéficiaire de demander des informations appropriées, conformément aux dispositions de l’article 4.4 du </w:t>
      </w:r>
      <w:r>
        <w:rPr>
          <w:b/>
          <w:bCs/>
          <w:noProof/>
        </w:rPr>
        <w:t>présent accord</w:t>
      </w:r>
      <w:r>
        <w:rPr>
          <w:noProof/>
        </w:rPr>
        <w:t>, est reconnu et expressément accepté.</w:t>
      </w:r>
    </w:p>
    <w:p>
      <w:pPr>
        <w:pStyle w:val="Point1"/>
        <w:rPr>
          <w:noProof/>
        </w:rPr>
      </w:pPr>
    </w:p>
    <w:p>
      <w:pPr>
        <w:pStyle w:val="Point0"/>
        <w:rPr>
          <w:noProof/>
        </w:rPr>
      </w:pPr>
      <w:r>
        <w:rPr>
          <w:noProof/>
        </w:rPr>
        <w:tab/>
        <w:t>Signature………………………………………….Date……………………………………….</w:t>
      </w:r>
    </w:p>
    <w:p>
      <w:pPr>
        <w:tabs>
          <w:tab w:val="left" w:pos="1276"/>
          <w:tab w:val="left" w:pos="4820"/>
        </w:tabs>
        <w:spacing w:before="0" w:after="200" w:line="276" w:lineRule="auto"/>
        <w:ind w:left="556" w:hanging="556"/>
        <w:jc w:val="left"/>
        <w:rPr>
          <w:noProof/>
          <w:szCs w:val="24"/>
        </w:rPr>
      </w:pPr>
      <w:r>
        <w:rPr>
          <w:noProof/>
        </w:rPr>
        <w:tab/>
      </w:r>
    </w:p>
    <w:p>
      <w:pPr>
        <w:pStyle w:val="Point0"/>
        <w:rPr>
          <w:noProof/>
        </w:rPr>
      </w:pPr>
      <w:r>
        <w:rPr>
          <w:noProof/>
        </w:rPr>
        <w:tab/>
        <w:t xml:space="preserve">Nom du </w:t>
      </w:r>
      <w:r>
        <w:rPr>
          <w:b/>
          <w:noProof/>
        </w:rPr>
        <w:t>bénéficiaire</w:t>
      </w:r>
      <w:r>
        <w:rPr>
          <w:noProof/>
        </w:rPr>
        <w:t xml:space="preserve"> …………………</w:t>
      </w:r>
    </w:p>
    <w:p>
      <w:pPr>
        <w:spacing w:before="0" w:after="200" w:line="276" w:lineRule="auto"/>
        <w:jc w:val="left"/>
        <w:rPr>
          <w:b/>
          <w:noProof/>
          <w:szCs w:val="24"/>
          <w:u w:val="single"/>
        </w:rPr>
      </w:pPr>
      <w:r>
        <w:rPr>
          <w:b/>
          <w:noProof/>
          <w:u w:val="single"/>
        </w:rPr>
        <w:t xml:space="preserve">Option 2 – Accord type de transfert de matériel «sous plastique»* </w:t>
      </w:r>
    </w:p>
    <w:p>
      <w:pPr>
        <w:pStyle w:val="Point0"/>
        <w:rPr>
          <w:noProof/>
        </w:rPr>
      </w:pPr>
      <w:r>
        <w:rPr>
          <w:noProof/>
        </w:rPr>
        <w:tab/>
        <w:t xml:space="preserve">La fourniture du </w:t>
      </w:r>
      <w:r>
        <w:rPr>
          <w:b/>
          <w:bCs/>
          <w:noProof/>
        </w:rPr>
        <w:t>matériel</w:t>
      </w:r>
      <w:r>
        <w:rPr>
          <w:noProof/>
        </w:rPr>
        <w:t xml:space="preserve"> est expressément subordonnée à l’acceptation des conditions du </w:t>
      </w:r>
      <w:r>
        <w:rPr>
          <w:b/>
          <w:bCs/>
          <w:noProof/>
        </w:rPr>
        <w:t>présent accord</w:t>
      </w:r>
      <w:r>
        <w:rPr>
          <w:noProof/>
        </w:rPr>
        <w:t xml:space="preserve">. La mise à disposition du </w:t>
      </w:r>
      <w:r>
        <w:rPr>
          <w:b/>
          <w:bCs/>
          <w:noProof/>
        </w:rPr>
        <w:t>matériel</w:t>
      </w:r>
      <w:r>
        <w:rPr>
          <w:noProof/>
        </w:rPr>
        <w:t xml:space="preserve"> par le </w:t>
      </w:r>
      <w:r>
        <w:rPr>
          <w:b/>
          <w:bCs/>
          <w:noProof/>
        </w:rPr>
        <w:t>fournisseur</w:t>
      </w:r>
      <w:r>
        <w:rPr>
          <w:noProof/>
        </w:rPr>
        <w:t xml:space="preserve"> et l’acceptation et l’utilisation du </w:t>
      </w:r>
      <w:r>
        <w:rPr>
          <w:b/>
          <w:bCs/>
          <w:noProof/>
        </w:rPr>
        <w:t>matériel</w:t>
      </w:r>
      <w:r>
        <w:rPr>
          <w:noProof/>
        </w:rPr>
        <w:t xml:space="preserve"> par le </w:t>
      </w:r>
      <w:r>
        <w:rPr>
          <w:b/>
          <w:bCs/>
          <w:noProof/>
        </w:rPr>
        <w:t>bénéficiaire</w:t>
      </w:r>
      <w:r>
        <w:rPr>
          <w:noProof/>
        </w:rPr>
        <w:t xml:space="preserve"> constituent une acceptation des conditions du </w:t>
      </w:r>
      <w:r>
        <w:rPr>
          <w:b/>
          <w:bCs/>
          <w:noProof/>
        </w:rPr>
        <w:t>présent accord</w:t>
      </w:r>
      <w:r>
        <w:rPr>
          <w:noProof/>
        </w:rPr>
        <w:t>.</w:t>
      </w:r>
    </w:p>
    <w:p>
      <w:pPr>
        <w:pStyle w:val="Point0"/>
        <w:rPr>
          <w:noProof/>
        </w:rPr>
      </w:pPr>
      <w:r>
        <w:rPr>
          <w:noProof/>
        </w:rPr>
        <w:tab/>
        <w:t xml:space="preserve">Le </w:t>
      </w:r>
      <w:r>
        <w:rPr>
          <w:b/>
          <w:bCs/>
          <w:noProof/>
        </w:rPr>
        <w:t>bénéficiaire</w:t>
      </w:r>
      <w:r>
        <w:rPr>
          <w:noProof/>
        </w:rPr>
        <w:t xml:space="preserve"> reconnaît que la tierce partie bénéficiaire jouit des droits énoncés aux articles 4 et 8 du </w:t>
      </w:r>
      <w:r>
        <w:rPr>
          <w:b/>
          <w:bCs/>
          <w:noProof/>
        </w:rPr>
        <w:t>présent accord</w:t>
      </w:r>
      <w:r>
        <w:rPr>
          <w:noProof/>
        </w:rPr>
        <w:t xml:space="preserve"> et l’accepte expressément.</w:t>
      </w:r>
    </w:p>
    <w:p>
      <w:pPr>
        <w:pStyle w:val="Point0"/>
        <w:rPr>
          <w:noProof/>
        </w:rPr>
      </w:pPr>
      <w:r>
        <w:rPr>
          <w:noProof/>
        </w:rPr>
        <w:tab/>
        <w:t xml:space="preserve">(Uniquement pour les souscripteurs) Si le </w:t>
      </w:r>
      <w:r>
        <w:rPr>
          <w:b/>
          <w:bCs/>
          <w:noProof/>
        </w:rPr>
        <w:t>bénéficiaire</w:t>
      </w:r>
      <w:r>
        <w:rPr>
          <w:noProof/>
        </w:rPr>
        <w:t xml:space="preserve"> est un souscripteur et si ses </w:t>
      </w:r>
      <w:r>
        <w:rPr>
          <w:b/>
          <w:bCs/>
          <w:noProof/>
        </w:rPr>
        <w:t>ventes</w:t>
      </w:r>
      <w:r>
        <w:rPr>
          <w:noProof/>
        </w:rPr>
        <w:t xml:space="preserve"> ne dépassent pas un montant de [xx] USD, il doit communiquer par écrit, à l’</w:t>
      </w:r>
      <w:r>
        <w:rPr>
          <w:b/>
          <w:bCs/>
          <w:noProof/>
        </w:rPr>
        <w:t>organe directeur</w:t>
      </w:r>
      <w:r>
        <w:rPr>
          <w:noProof/>
        </w:rPr>
        <w:t>, par l’intermédiaire de son secrétaire, la communication suivante, dûment signée, faute de quoi l’exemption énoncée à l’article 3.3 de l’</w:t>
      </w:r>
      <w:r>
        <w:rPr>
          <w:i/>
          <w:iCs/>
          <w:noProof/>
        </w:rPr>
        <w:t>annexe 3</w:t>
      </w:r>
      <w:r>
        <w:rPr>
          <w:noProof/>
        </w:rPr>
        <w:t xml:space="preserve"> ne s’applique pas: «Je déclare par la présente que les </w:t>
      </w:r>
      <w:r>
        <w:rPr>
          <w:b/>
          <w:bCs/>
          <w:noProof/>
        </w:rPr>
        <w:t>ventes du</w:t>
      </w:r>
      <w:r>
        <w:rPr>
          <w:noProof/>
        </w:rPr>
        <w:t xml:space="preserve"> </w:t>
      </w:r>
      <w:r>
        <w:rPr>
          <w:b/>
          <w:bCs/>
          <w:noProof/>
        </w:rPr>
        <w:t>bénéficiaire</w:t>
      </w:r>
      <w:r>
        <w:rPr>
          <w:noProof/>
        </w:rPr>
        <w:t xml:space="preserve"> ne dépassent pas le montant de [xx] USD, visé à l’article 3.3 de l’</w:t>
      </w:r>
      <w:r>
        <w:rPr>
          <w:i/>
          <w:iCs/>
          <w:noProof/>
        </w:rPr>
        <w:t>annexe 3</w:t>
      </w:r>
      <w:r>
        <w:rPr>
          <w:noProof/>
        </w:rPr>
        <w:t xml:space="preserve">. Le </w:t>
      </w:r>
      <w:r>
        <w:rPr>
          <w:b/>
          <w:bCs/>
          <w:noProof/>
        </w:rPr>
        <w:t>bénéficiaire</w:t>
      </w:r>
      <w:r>
        <w:rPr>
          <w:noProof/>
        </w:rPr>
        <w:t xml:space="preserve"> s’engage à verser des redevances annuelles et à communiquer des rapports annuels dès l’instant où ses </w:t>
      </w:r>
      <w:r>
        <w:rPr>
          <w:b/>
          <w:bCs/>
          <w:noProof/>
        </w:rPr>
        <w:t>ventes</w:t>
      </w:r>
      <w:r>
        <w:rPr>
          <w:noProof/>
        </w:rPr>
        <w:t xml:space="preserve"> dépassent un montant de [xx] USD. Le droit de la tierce partie bénéficiaire de demander des informations appropriées, conformément aux dispositions de l’article 4.4 du </w:t>
      </w:r>
      <w:r>
        <w:rPr>
          <w:b/>
          <w:bCs/>
          <w:noProof/>
        </w:rPr>
        <w:t>présent accord</w:t>
      </w:r>
      <w:r>
        <w:rPr>
          <w:noProof/>
        </w:rPr>
        <w:t>, est reconnu et expressément accepté.»</w:t>
      </w:r>
    </w:p>
    <w:p>
      <w:pPr>
        <w:spacing w:before="0" w:after="200" w:line="276" w:lineRule="auto"/>
        <w:jc w:val="left"/>
        <w:outlineLvl w:val="0"/>
        <w:rPr>
          <w:b/>
          <w:noProof/>
          <w:szCs w:val="24"/>
        </w:rPr>
      </w:pPr>
      <w:r>
        <w:rPr>
          <w:b/>
          <w:noProof/>
        </w:rPr>
        <w:t>Option 3 – Accord type de transfert de matériel «au clic»*</w:t>
      </w:r>
      <w:r>
        <w:rPr>
          <w:b/>
          <w:noProof/>
          <w:vertAlign w:val="superscript"/>
        </w:rPr>
        <w:t xml:space="preserve"> </w:t>
      </w:r>
    </w:p>
    <w:p>
      <w:pPr>
        <w:spacing w:before="0" w:after="200" w:line="276" w:lineRule="auto"/>
        <w:ind w:left="1134" w:hanging="567"/>
        <w:rPr>
          <w:noProof/>
          <w:szCs w:val="24"/>
        </w:rPr>
      </w:pPr>
      <w:r>
        <w:rPr>
          <w:noProof/>
        </w:rPr>
        <w:t>□</w:t>
      </w:r>
      <w:r>
        <w:rPr>
          <w:noProof/>
        </w:rPr>
        <w:tab/>
        <w:t>J’accepte les conditions susmentionnées.</w:t>
      </w:r>
    </w:p>
    <w:p>
      <w:pPr>
        <w:spacing w:before="0" w:after="200" w:line="276" w:lineRule="auto"/>
        <w:ind w:left="1134" w:hanging="567"/>
        <w:rPr>
          <w:noProof/>
          <w:szCs w:val="24"/>
        </w:rPr>
      </w:pPr>
      <w:r>
        <w:rPr>
          <w:noProof/>
        </w:rPr>
        <w:t>□</w:t>
      </w:r>
      <w:r>
        <w:rPr>
          <w:noProof/>
        </w:rPr>
        <w:tab/>
        <w:t xml:space="preserve">Je reconnais que la tierce partie bénéficiaire jouit des droits énoncés aux articles 4 et 8 du </w:t>
      </w:r>
      <w:r>
        <w:rPr>
          <w:b/>
          <w:bCs/>
          <w:noProof/>
        </w:rPr>
        <w:t>présent accord</w:t>
      </w:r>
      <w:r>
        <w:rPr>
          <w:noProof/>
        </w:rPr>
        <w:t xml:space="preserve"> et l’accepte expressément.</w:t>
      </w:r>
    </w:p>
    <w:p>
      <w:pPr>
        <w:spacing w:before="0" w:after="200" w:line="276" w:lineRule="auto"/>
        <w:ind w:left="1134" w:hanging="567"/>
        <w:rPr>
          <w:noProof/>
          <w:szCs w:val="24"/>
        </w:rPr>
      </w:pPr>
      <w:r>
        <w:rPr>
          <w:noProof/>
        </w:rPr>
        <w:t>□</w:t>
      </w:r>
      <w:r>
        <w:rPr>
          <w:noProof/>
        </w:rPr>
        <w:tab/>
        <w:t xml:space="preserve">(Uniquement pour les souscripteurs) Je déclare par la présente que les </w:t>
      </w:r>
      <w:r>
        <w:rPr>
          <w:b/>
          <w:bCs/>
          <w:noProof/>
        </w:rPr>
        <w:t>ventes</w:t>
      </w:r>
      <w:r>
        <w:rPr>
          <w:noProof/>
        </w:rPr>
        <w:t xml:space="preserve"> du </w:t>
      </w:r>
      <w:r>
        <w:rPr>
          <w:b/>
          <w:bCs/>
          <w:noProof/>
        </w:rPr>
        <w:t>bénéficiaire</w:t>
      </w:r>
      <w:r>
        <w:rPr>
          <w:noProof/>
        </w:rPr>
        <w:t xml:space="preserve"> ne dépassent pas le montant de [xx] USD, visé à l’article 3.3 de l’</w:t>
      </w:r>
      <w:r>
        <w:rPr>
          <w:i/>
          <w:iCs/>
          <w:noProof/>
        </w:rPr>
        <w:t>annexe 3</w:t>
      </w:r>
      <w:r>
        <w:rPr>
          <w:noProof/>
        </w:rPr>
        <w:t xml:space="preserve">. Le </w:t>
      </w:r>
      <w:r>
        <w:rPr>
          <w:b/>
          <w:bCs/>
          <w:noProof/>
        </w:rPr>
        <w:t>bénéficiaire</w:t>
      </w:r>
      <w:r>
        <w:rPr>
          <w:noProof/>
        </w:rPr>
        <w:t xml:space="preserve"> s’engage à verser des redevances annuelles et à communiquer des rapports annuels dès l’instant où ses </w:t>
      </w:r>
      <w:r>
        <w:rPr>
          <w:b/>
          <w:bCs/>
          <w:noProof/>
        </w:rPr>
        <w:t>ventes</w:t>
      </w:r>
      <w:r>
        <w:rPr>
          <w:noProof/>
        </w:rPr>
        <w:t xml:space="preserve"> dépassent un montant de [xx] USD. Le droit de la tierce partie bénéficiaire de demander des informations appropriées, conformément aux dispositions de l’article 4.4 du </w:t>
      </w:r>
      <w:r>
        <w:rPr>
          <w:b/>
          <w:bCs/>
          <w:noProof/>
        </w:rPr>
        <w:t>présent accord</w:t>
      </w:r>
      <w:r>
        <w:rPr>
          <w:noProof/>
        </w:rPr>
        <w:t>, est reconnu et expressément accepté.</w:t>
      </w:r>
    </w:p>
    <w:p>
      <w:pPr>
        <w:tabs>
          <w:tab w:val="right" w:pos="8647"/>
        </w:tabs>
        <w:spacing w:before="0" w:after="200" w:line="276" w:lineRule="auto"/>
        <w:jc w:val="left"/>
        <w:rPr>
          <w:noProof/>
          <w:szCs w:val="24"/>
          <w:u w:val="single"/>
        </w:rPr>
      </w:pPr>
      <w:r>
        <w:rPr>
          <w:noProof/>
          <w:u w:val="single"/>
        </w:rPr>
        <w:tab/>
      </w:r>
    </w:p>
    <w:p>
      <w:pPr>
        <w:spacing w:before="0" w:after="200" w:line="276" w:lineRule="auto"/>
        <w:rPr>
          <w:noProof/>
          <w:szCs w:val="24"/>
        </w:rPr>
      </w:pPr>
      <w:r>
        <w:rPr>
          <w:noProof/>
          <w:vertAlign w:val="superscript"/>
        </w:rPr>
        <w:t>*</w:t>
      </w:r>
      <w:r>
        <w:rPr>
          <w:noProof/>
        </w:rPr>
        <w:t xml:space="preserve">Lorsque le </w:t>
      </w:r>
      <w:r>
        <w:rPr>
          <w:b/>
          <w:bCs/>
          <w:noProof/>
        </w:rPr>
        <w:t>fournisseur</w:t>
      </w:r>
      <w:r>
        <w:rPr>
          <w:noProof/>
        </w:rPr>
        <w:t xml:space="preserve"> choisit la signature, seule la formulation de l’option 1 apparaît dans l’accord type de transfert de matériel. De même, lorsque le </w:t>
      </w:r>
      <w:r>
        <w:rPr>
          <w:b/>
          <w:bCs/>
          <w:noProof/>
        </w:rPr>
        <w:t>fournisseur</w:t>
      </w:r>
      <w:r>
        <w:rPr>
          <w:noProof/>
        </w:rPr>
        <w:t xml:space="preserve"> choisit l’approbation «sous plastique» ou «au clic», seule la formulation de l’option 2 ou de l’option 3, selon le cas, apparaît dans l’accord type de transfert de matériel. Lorsque l’acceptation «au clic» est choisie, le </w:t>
      </w:r>
      <w:r>
        <w:rPr>
          <w:b/>
          <w:bCs/>
          <w:noProof/>
        </w:rPr>
        <w:t>matériel</w:t>
      </w:r>
      <w:r>
        <w:rPr>
          <w:noProof/>
        </w:rPr>
        <w:t xml:space="preserve"> doit également être accompagné d’une copie écrite de l’accord type de transfert de matériel.</w:t>
      </w:r>
      <w:r>
        <w:rPr>
          <w:noProof/>
        </w:rPr>
        <w:br w:type="page"/>
      </w:r>
    </w:p>
    <w:p>
      <w:pPr>
        <w:pBdr>
          <w:top w:val="single" w:sz="4" w:space="1" w:color="auto"/>
          <w:bottom w:val="single" w:sz="4" w:space="1" w:color="auto"/>
        </w:pBdr>
        <w:spacing w:before="0" w:after="200" w:line="276" w:lineRule="auto"/>
        <w:jc w:val="center"/>
        <w:rPr>
          <w:b/>
          <w:i/>
          <w:noProof/>
          <w:szCs w:val="24"/>
        </w:rPr>
      </w:pPr>
    </w:p>
    <w:p>
      <w:pPr>
        <w:pBdr>
          <w:top w:val="single" w:sz="4" w:space="1" w:color="auto"/>
          <w:bottom w:val="single" w:sz="4" w:space="1" w:color="auto"/>
        </w:pBdr>
        <w:spacing w:before="0" w:after="200" w:line="276" w:lineRule="auto"/>
        <w:jc w:val="center"/>
        <w:outlineLvl w:val="0"/>
        <w:rPr>
          <w:noProof/>
          <w:szCs w:val="24"/>
        </w:rPr>
      </w:pPr>
      <w:r>
        <w:rPr>
          <w:b/>
          <w:i/>
          <w:noProof/>
        </w:rPr>
        <w:t xml:space="preserve">Annexe I </w:t>
      </w:r>
    </w:p>
    <w:p>
      <w:pPr>
        <w:pBdr>
          <w:top w:val="single" w:sz="4" w:space="1" w:color="auto"/>
          <w:bottom w:val="single" w:sz="4" w:space="1" w:color="auto"/>
        </w:pBdr>
        <w:spacing w:before="0" w:after="200" w:line="276" w:lineRule="auto"/>
        <w:jc w:val="right"/>
        <w:rPr>
          <w:i/>
          <w:noProof/>
          <w:szCs w:val="24"/>
        </w:rPr>
      </w:pPr>
    </w:p>
    <w:p>
      <w:pPr>
        <w:spacing w:before="0" w:after="200" w:line="276" w:lineRule="auto"/>
        <w:jc w:val="right"/>
        <w:rPr>
          <w:noProof/>
          <w:szCs w:val="24"/>
        </w:rPr>
      </w:pPr>
    </w:p>
    <w:p>
      <w:pPr>
        <w:spacing w:before="0" w:after="200" w:line="276" w:lineRule="auto"/>
        <w:jc w:val="center"/>
        <w:outlineLvl w:val="0"/>
        <w:rPr>
          <w:b/>
          <w:noProof/>
          <w:szCs w:val="24"/>
        </w:rPr>
      </w:pPr>
      <w:r>
        <w:rPr>
          <w:b/>
          <w:noProof/>
        </w:rPr>
        <w:t>LISTE DU MATÉRIEL FOURNI</w:t>
      </w:r>
    </w:p>
    <w:p>
      <w:pPr>
        <w:spacing w:before="0" w:after="200" w:line="276" w:lineRule="auto"/>
        <w:rPr>
          <w:noProof/>
          <w:szCs w:val="24"/>
        </w:rPr>
      </w:pPr>
      <w:r>
        <w:rPr>
          <w:noProof/>
        </w:rPr>
        <w:t xml:space="preserve">La présente </w:t>
      </w:r>
      <w:r>
        <w:rPr>
          <w:i/>
          <w:iCs/>
          <w:noProof/>
        </w:rPr>
        <w:t>annexe</w:t>
      </w:r>
      <w:r>
        <w:rPr>
          <w:noProof/>
        </w:rPr>
        <w:t xml:space="preserve"> contient la liste du </w:t>
      </w:r>
      <w:r>
        <w:rPr>
          <w:b/>
          <w:bCs/>
          <w:noProof/>
        </w:rPr>
        <w:t>matériel</w:t>
      </w:r>
      <w:r>
        <w:rPr>
          <w:noProof/>
        </w:rPr>
        <w:t xml:space="preserve"> fourni au titre du </w:t>
      </w:r>
      <w:r>
        <w:rPr>
          <w:b/>
          <w:bCs/>
          <w:noProof/>
        </w:rPr>
        <w:t>présent accord</w:t>
      </w:r>
      <w:r>
        <w:rPr>
          <w:noProof/>
        </w:rPr>
        <w:t xml:space="preserve"> et les informations y relatives visées à l’article 5, point b).</w:t>
      </w:r>
    </w:p>
    <w:p>
      <w:pPr>
        <w:spacing w:before="0" w:after="200" w:line="276" w:lineRule="auto"/>
        <w:rPr>
          <w:noProof/>
          <w:szCs w:val="24"/>
        </w:rPr>
      </w:pPr>
      <w:r>
        <w:rPr>
          <w:noProof/>
        </w:rPr>
        <w:t xml:space="preserve">Pour chaque </w:t>
      </w:r>
      <w:r>
        <w:rPr>
          <w:b/>
          <w:bCs/>
          <w:noProof/>
        </w:rPr>
        <w:t>matériel</w:t>
      </w:r>
      <w:r>
        <w:rPr>
          <w:noProof/>
        </w:rPr>
        <w:t xml:space="preserve"> figurant sur la liste, les renseignements ci-après (ou la source permettant de se procurer ces renseignements) sont fournis: toutes les données de passeport qui sont disponibles et, sous réserve de la législation applicable, toute autre information descriptive connexe non confidentielle.</w:t>
      </w:r>
    </w:p>
    <w:p>
      <w:pPr>
        <w:spacing w:before="0" w:after="200" w:line="276" w:lineRule="auto"/>
        <w:jc w:val="center"/>
        <w:outlineLvl w:val="0"/>
        <w:rPr>
          <w:b/>
          <w:noProof/>
          <w:szCs w:val="24"/>
        </w:rPr>
      </w:pPr>
      <w:r>
        <w:rPr>
          <w:b/>
          <w:noProof/>
        </w:rPr>
        <w:t>Tableau A</w:t>
      </w:r>
    </w:p>
    <w:p>
      <w:pPr>
        <w:spacing w:before="0" w:after="200" w:line="276" w:lineRule="auto"/>
        <w:jc w:val="left"/>
        <w:outlineLvl w:val="0"/>
        <w:rPr>
          <w:b/>
          <w:noProof/>
          <w:szCs w:val="24"/>
          <w:u w:val="double"/>
        </w:rPr>
      </w:pPr>
      <w:r>
        <w:rPr>
          <w:b/>
          <w:noProof/>
        </w:rPr>
        <w:t>Matériel:</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378"/>
      </w:tblGrid>
      <w:tr>
        <w:tc>
          <w:tcPr>
            <w:tcW w:w="8472" w:type="dxa"/>
            <w:gridSpan w:val="2"/>
            <w:tcBorders>
              <w:top w:val="double" w:sz="4" w:space="0" w:color="auto"/>
              <w:left w:val="nil"/>
              <w:bottom w:val="double" w:sz="4" w:space="0" w:color="auto"/>
              <w:right w:val="nil"/>
            </w:tcBorders>
            <w:shd w:val="clear" w:color="auto" w:fill="auto"/>
          </w:tcPr>
          <w:p>
            <w:pPr>
              <w:spacing w:before="0" w:after="200" w:line="276" w:lineRule="auto"/>
              <w:jc w:val="left"/>
              <w:rPr>
                <w:noProof/>
                <w:kern w:val="22"/>
                <w:szCs w:val="24"/>
              </w:rPr>
            </w:pPr>
            <w:r>
              <w:rPr>
                <w:noProof/>
              </w:rPr>
              <w:t>Espèce cultivée:</w:t>
            </w:r>
          </w:p>
        </w:tc>
      </w:tr>
      <w:tr>
        <w:tc>
          <w:tcPr>
            <w:tcW w:w="2094" w:type="dxa"/>
            <w:tcBorders>
              <w:top w:val="nil"/>
              <w:left w:val="nil"/>
              <w:bottom w:val="double" w:sz="4" w:space="0" w:color="auto"/>
              <w:right w:val="single" w:sz="4" w:space="0" w:color="auto"/>
            </w:tcBorders>
            <w:shd w:val="clear" w:color="auto" w:fill="auto"/>
          </w:tcPr>
          <w:p>
            <w:pPr>
              <w:spacing w:before="0" w:after="200" w:line="276" w:lineRule="auto"/>
              <w:jc w:val="center"/>
              <w:rPr>
                <w:noProof/>
                <w:kern w:val="22"/>
                <w:szCs w:val="24"/>
              </w:rPr>
            </w:pPr>
            <w:r>
              <w:rPr>
                <w:noProof/>
              </w:rPr>
              <w:t xml:space="preserve">Numéro d’entrée </w:t>
            </w:r>
            <w:r>
              <w:rPr>
                <w:noProof/>
              </w:rPr>
              <w:br/>
              <w:t xml:space="preserve">ou autre identifiant </w:t>
            </w:r>
          </w:p>
        </w:tc>
        <w:tc>
          <w:tcPr>
            <w:tcW w:w="6378" w:type="dxa"/>
            <w:tcBorders>
              <w:top w:val="nil"/>
              <w:left w:val="single" w:sz="4" w:space="0" w:color="auto"/>
              <w:bottom w:val="double" w:sz="4" w:space="0" w:color="auto"/>
              <w:right w:val="nil"/>
            </w:tcBorders>
            <w:shd w:val="clear" w:color="auto" w:fill="auto"/>
          </w:tcPr>
          <w:p>
            <w:pPr>
              <w:spacing w:before="0" w:after="200" w:line="276" w:lineRule="auto"/>
              <w:jc w:val="center"/>
              <w:rPr>
                <w:noProof/>
                <w:kern w:val="22"/>
                <w:szCs w:val="24"/>
              </w:rPr>
            </w:pPr>
            <w:r>
              <w:rPr>
                <w:noProof/>
              </w:rPr>
              <w:t>Renseignements connexes, s’ils sont disponibles,</w:t>
            </w:r>
            <w:r>
              <w:rPr>
                <w:noProof/>
              </w:rPr>
              <w:br/>
              <w:t>ou source auprès de laquelle ils peuvent être obtenus (URL)</w:t>
            </w:r>
          </w:p>
        </w:tc>
      </w:tr>
      <w:tr>
        <w:tc>
          <w:tcPr>
            <w:tcW w:w="2094" w:type="dxa"/>
            <w:tcBorders>
              <w:top w:val="double" w:sz="4" w:space="0" w:color="auto"/>
              <w:left w:val="nil"/>
              <w:right w:val="nil"/>
            </w:tcBorders>
            <w:shd w:val="clear" w:color="auto" w:fill="auto"/>
          </w:tcPr>
          <w:p>
            <w:pPr>
              <w:spacing w:before="0" w:after="200" w:line="276" w:lineRule="auto"/>
              <w:jc w:val="center"/>
              <w:rPr>
                <w:noProof/>
                <w:kern w:val="1"/>
                <w:szCs w:val="24"/>
              </w:rPr>
            </w:pPr>
          </w:p>
        </w:tc>
        <w:tc>
          <w:tcPr>
            <w:tcW w:w="6378" w:type="dxa"/>
            <w:tcBorders>
              <w:top w:val="double" w:sz="4" w:space="0" w:color="auto"/>
              <w:right w:val="nil"/>
            </w:tcBorders>
            <w:shd w:val="clear" w:color="auto" w:fill="auto"/>
          </w:tcPr>
          <w:p>
            <w:pPr>
              <w:spacing w:before="0" w:after="200" w:line="276" w:lineRule="auto"/>
              <w:jc w:val="center"/>
              <w:rPr>
                <w:noProof/>
                <w:kern w:val="1"/>
                <w:szCs w:val="24"/>
              </w:rPr>
            </w:pPr>
          </w:p>
        </w:tc>
      </w:tr>
      <w:tr>
        <w:tc>
          <w:tcPr>
            <w:tcW w:w="2094" w:type="dxa"/>
            <w:tcBorders>
              <w:left w:val="nil"/>
              <w:right w:val="nil"/>
            </w:tcBorders>
            <w:shd w:val="clear" w:color="auto" w:fill="auto"/>
          </w:tcPr>
          <w:p>
            <w:pPr>
              <w:spacing w:before="0" w:after="200" w:line="276" w:lineRule="auto"/>
              <w:jc w:val="center"/>
              <w:rPr>
                <w:noProof/>
                <w:kern w:val="1"/>
                <w:szCs w:val="24"/>
              </w:rPr>
            </w:pPr>
          </w:p>
        </w:tc>
        <w:tc>
          <w:tcPr>
            <w:tcW w:w="6378" w:type="dxa"/>
            <w:tcBorders>
              <w:right w:val="nil"/>
            </w:tcBorders>
            <w:shd w:val="clear" w:color="auto" w:fill="auto"/>
          </w:tcPr>
          <w:p>
            <w:pPr>
              <w:spacing w:before="0" w:after="200" w:line="276" w:lineRule="auto"/>
              <w:jc w:val="center"/>
              <w:rPr>
                <w:noProof/>
                <w:kern w:val="1"/>
                <w:szCs w:val="24"/>
              </w:rPr>
            </w:pPr>
          </w:p>
        </w:tc>
      </w:tr>
      <w:tr>
        <w:tc>
          <w:tcPr>
            <w:tcW w:w="2094" w:type="dxa"/>
            <w:tcBorders>
              <w:left w:val="nil"/>
              <w:right w:val="nil"/>
            </w:tcBorders>
            <w:shd w:val="clear" w:color="auto" w:fill="auto"/>
          </w:tcPr>
          <w:p>
            <w:pPr>
              <w:spacing w:before="0" w:after="200" w:line="276" w:lineRule="auto"/>
              <w:jc w:val="center"/>
              <w:rPr>
                <w:noProof/>
                <w:kern w:val="1"/>
                <w:szCs w:val="24"/>
              </w:rPr>
            </w:pPr>
          </w:p>
        </w:tc>
        <w:tc>
          <w:tcPr>
            <w:tcW w:w="6378" w:type="dxa"/>
            <w:tcBorders>
              <w:right w:val="nil"/>
            </w:tcBorders>
            <w:shd w:val="clear" w:color="auto" w:fill="auto"/>
          </w:tcPr>
          <w:p>
            <w:pPr>
              <w:spacing w:before="0" w:after="200" w:line="276" w:lineRule="auto"/>
              <w:jc w:val="center"/>
              <w:rPr>
                <w:noProof/>
                <w:kern w:val="1"/>
                <w:szCs w:val="24"/>
              </w:rPr>
            </w:pPr>
          </w:p>
        </w:tc>
      </w:tr>
      <w:tr>
        <w:tc>
          <w:tcPr>
            <w:tcW w:w="2094" w:type="dxa"/>
            <w:tcBorders>
              <w:left w:val="nil"/>
              <w:right w:val="nil"/>
            </w:tcBorders>
            <w:shd w:val="clear" w:color="auto" w:fill="auto"/>
          </w:tcPr>
          <w:p>
            <w:pPr>
              <w:spacing w:before="0" w:after="200" w:line="276" w:lineRule="auto"/>
              <w:jc w:val="center"/>
              <w:rPr>
                <w:noProof/>
                <w:kern w:val="1"/>
                <w:szCs w:val="24"/>
              </w:rPr>
            </w:pPr>
          </w:p>
        </w:tc>
        <w:tc>
          <w:tcPr>
            <w:tcW w:w="6378" w:type="dxa"/>
            <w:tcBorders>
              <w:right w:val="nil"/>
            </w:tcBorders>
            <w:shd w:val="clear" w:color="auto" w:fill="auto"/>
          </w:tcPr>
          <w:p>
            <w:pPr>
              <w:spacing w:before="0" w:after="200" w:line="276" w:lineRule="auto"/>
              <w:jc w:val="center"/>
              <w:rPr>
                <w:noProof/>
                <w:kern w:val="1"/>
                <w:szCs w:val="24"/>
              </w:rPr>
            </w:pPr>
          </w:p>
        </w:tc>
      </w:tr>
    </w:tbl>
    <w:p>
      <w:pPr>
        <w:spacing w:before="0" w:after="200" w:line="276" w:lineRule="auto"/>
        <w:jc w:val="center"/>
        <w:rPr>
          <w:b/>
          <w:noProof/>
          <w:szCs w:val="24"/>
          <w:u w:val="double"/>
        </w:rPr>
      </w:pPr>
    </w:p>
    <w:p>
      <w:pPr>
        <w:keepNext/>
        <w:spacing w:before="0" w:after="200" w:line="276" w:lineRule="auto"/>
        <w:jc w:val="center"/>
        <w:outlineLvl w:val="0"/>
        <w:rPr>
          <w:b/>
          <w:noProof/>
          <w:szCs w:val="24"/>
        </w:rPr>
      </w:pPr>
      <w:r>
        <w:rPr>
          <w:b/>
          <w:noProof/>
        </w:rPr>
        <w:t>Tableau B</w:t>
      </w:r>
    </w:p>
    <w:p>
      <w:pPr>
        <w:spacing w:before="0" w:after="200" w:line="276" w:lineRule="auto"/>
        <w:jc w:val="left"/>
        <w:outlineLvl w:val="0"/>
        <w:rPr>
          <w:noProof/>
          <w:szCs w:val="24"/>
          <w:u w:val="double"/>
        </w:rPr>
      </w:pPr>
      <w:r>
        <w:rPr>
          <w:b/>
          <w:bCs/>
          <w:noProof/>
        </w:rPr>
        <w:t>Matériel</w:t>
      </w:r>
      <w:r>
        <w:rPr>
          <w:noProof/>
        </w:rPr>
        <w:t xml:space="preserve"> qui constitue une </w:t>
      </w:r>
      <w:r>
        <w:rPr>
          <w:b/>
          <w:bCs/>
          <w:noProof/>
        </w:rPr>
        <w:t>ressource phytogénétique pour l’alimentation et l’agriculture en cours de mise au point</w:t>
      </w:r>
      <w:r>
        <w:rPr>
          <w:noProof/>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378"/>
      </w:tblGrid>
      <w:tr>
        <w:tc>
          <w:tcPr>
            <w:tcW w:w="8472" w:type="dxa"/>
            <w:gridSpan w:val="2"/>
            <w:tcBorders>
              <w:top w:val="double" w:sz="4" w:space="0" w:color="auto"/>
              <w:left w:val="nil"/>
              <w:bottom w:val="double" w:sz="4" w:space="0" w:color="auto"/>
              <w:right w:val="nil"/>
            </w:tcBorders>
            <w:shd w:val="clear" w:color="auto" w:fill="auto"/>
          </w:tcPr>
          <w:p>
            <w:pPr>
              <w:spacing w:before="0" w:after="200" w:line="276" w:lineRule="auto"/>
              <w:jc w:val="left"/>
              <w:rPr>
                <w:noProof/>
                <w:kern w:val="22"/>
                <w:szCs w:val="24"/>
              </w:rPr>
            </w:pPr>
            <w:r>
              <w:rPr>
                <w:noProof/>
              </w:rPr>
              <w:t>Espèce cultivée:</w:t>
            </w:r>
          </w:p>
        </w:tc>
      </w:tr>
      <w:tr>
        <w:tc>
          <w:tcPr>
            <w:tcW w:w="2094" w:type="dxa"/>
            <w:tcBorders>
              <w:top w:val="nil"/>
              <w:left w:val="nil"/>
              <w:bottom w:val="double" w:sz="4" w:space="0" w:color="auto"/>
              <w:right w:val="single" w:sz="4" w:space="0" w:color="auto"/>
            </w:tcBorders>
            <w:shd w:val="clear" w:color="auto" w:fill="auto"/>
          </w:tcPr>
          <w:p>
            <w:pPr>
              <w:spacing w:before="0" w:after="200" w:line="276" w:lineRule="auto"/>
              <w:jc w:val="center"/>
              <w:rPr>
                <w:noProof/>
                <w:kern w:val="22"/>
                <w:szCs w:val="24"/>
              </w:rPr>
            </w:pPr>
            <w:r>
              <w:rPr>
                <w:noProof/>
              </w:rPr>
              <w:t xml:space="preserve">Numéro d’entrée </w:t>
            </w:r>
            <w:r>
              <w:rPr>
                <w:noProof/>
              </w:rPr>
              <w:br/>
              <w:t xml:space="preserve">ou autre identifiant </w:t>
            </w:r>
          </w:p>
        </w:tc>
        <w:tc>
          <w:tcPr>
            <w:tcW w:w="6378" w:type="dxa"/>
            <w:tcBorders>
              <w:top w:val="nil"/>
              <w:left w:val="single" w:sz="4" w:space="0" w:color="auto"/>
              <w:bottom w:val="double" w:sz="4" w:space="0" w:color="auto"/>
              <w:right w:val="nil"/>
            </w:tcBorders>
            <w:shd w:val="clear" w:color="auto" w:fill="auto"/>
          </w:tcPr>
          <w:p>
            <w:pPr>
              <w:spacing w:before="0" w:after="200" w:line="276" w:lineRule="auto"/>
              <w:jc w:val="center"/>
              <w:rPr>
                <w:noProof/>
                <w:kern w:val="22"/>
                <w:szCs w:val="24"/>
              </w:rPr>
            </w:pPr>
            <w:r>
              <w:rPr>
                <w:noProof/>
              </w:rPr>
              <w:t>Renseignements connexes, s’ils sont disponibles,</w:t>
            </w:r>
            <w:r>
              <w:rPr>
                <w:noProof/>
              </w:rPr>
              <w:br/>
              <w:t>ou source auprès de laquelle ils peuvent être obtenus (URL)</w:t>
            </w:r>
          </w:p>
        </w:tc>
      </w:tr>
      <w:tr>
        <w:tc>
          <w:tcPr>
            <w:tcW w:w="2094" w:type="dxa"/>
            <w:tcBorders>
              <w:top w:val="double" w:sz="4" w:space="0" w:color="auto"/>
              <w:left w:val="nil"/>
              <w:right w:val="nil"/>
            </w:tcBorders>
            <w:shd w:val="clear" w:color="auto" w:fill="auto"/>
          </w:tcPr>
          <w:p>
            <w:pPr>
              <w:spacing w:before="0" w:after="200" w:line="276" w:lineRule="auto"/>
              <w:jc w:val="center"/>
              <w:rPr>
                <w:noProof/>
                <w:kern w:val="1"/>
                <w:szCs w:val="24"/>
              </w:rPr>
            </w:pPr>
          </w:p>
        </w:tc>
        <w:tc>
          <w:tcPr>
            <w:tcW w:w="6378" w:type="dxa"/>
            <w:tcBorders>
              <w:top w:val="double" w:sz="4" w:space="0" w:color="auto"/>
              <w:right w:val="nil"/>
            </w:tcBorders>
            <w:shd w:val="clear" w:color="auto" w:fill="auto"/>
          </w:tcPr>
          <w:p>
            <w:pPr>
              <w:spacing w:before="0" w:after="200" w:line="276" w:lineRule="auto"/>
              <w:jc w:val="center"/>
              <w:rPr>
                <w:noProof/>
                <w:kern w:val="1"/>
                <w:szCs w:val="24"/>
              </w:rPr>
            </w:pPr>
          </w:p>
        </w:tc>
      </w:tr>
      <w:tr>
        <w:tc>
          <w:tcPr>
            <w:tcW w:w="2094" w:type="dxa"/>
            <w:tcBorders>
              <w:left w:val="nil"/>
              <w:right w:val="nil"/>
            </w:tcBorders>
            <w:shd w:val="clear" w:color="auto" w:fill="auto"/>
          </w:tcPr>
          <w:p>
            <w:pPr>
              <w:spacing w:before="0" w:after="200" w:line="276" w:lineRule="auto"/>
              <w:jc w:val="center"/>
              <w:rPr>
                <w:noProof/>
                <w:kern w:val="1"/>
                <w:szCs w:val="24"/>
              </w:rPr>
            </w:pPr>
          </w:p>
        </w:tc>
        <w:tc>
          <w:tcPr>
            <w:tcW w:w="6378" w:type="dxa"/>
            <w:tcBorders>
              <w:right w:val="nil"/>
            </w:tcBorders>
            <w:shd w:val="clear" w:color="auto" w:fill="auto"/>
          </w:tcPr>
          <w:p>
            <w:pPr>
              <w:spacing w:before="0" w:after="200" w:line="276" w:lineRule="auto"/>
              <w:jc w:val="center"/>
              <w:rPr>
                <w:noProof/>
                <w:kern w:val="1"/>
                <w:szCs w:val="24"/>
              </w:rPr>
            </w:pPr>
          </w:p>
        </w:tc>
      </w:tr>
      <w:tr>
        <w:tc>
          <w:tcPr>
            <w:tcW w:w="2094" w:type="dxa"/>
            <w:tcBorders>
              <w:left w:val="nil"/>
              <w:right w:val="nil"/>
            </w:tcBorders>
            <w:shd w:val="clear" w:color="auto" w:fill="auto"/>
          </w:tcPr>
          <w:p>
            <w:pPr>
              <w:spacing w:before="0" w:after="200" w:line="276" w:lineRule="auto"/>
              <w:jc w:val="center"/>
              <w:rPr>
                <w:noProof/>
                <w:kern w:val="1"/>
                <w:szCs w:val="24"/>
              </w:rPr>
            </w:pPr>
          </w:p>
        </w:tc>
        <w:tc>
          <w:tcPr>
            <w:tcW w:w="6378" w:type="dxa"/>
            <w:tcBorders>
              <w:right w:val="nil"/>
            </w:tcBorders>
            <w:shd w:val="clear" w:color="auto" w:fill="auto"/>
          </w:tcPr>
          <w:p>
            <w:pPr>
              <w:spacing w:before="0" w:after="200" w:line="276" w:lineRule="auto"/>
              <w:jc w:val="center"/>
              <w:rPr>
                <w:noProof/>
                <w:kern w:val="1"/>
                <w:szCs w:val="24"/>
              </w:rPr>
            </w:pPr>
          </w:p>
        </w:tc>
      </w:tr>
      <w:tr>
        <w:tc>
          <w:tcPr>
            <w:tcW w:w="2094" w:type="dxa"/>
            <w:tcBorders>
              <w:left w:val="nil"/>
              <w:right w:val="nil"/>
            </w:tcBorders>
            <w:shd w:val="clear" w:color="auto" w:fill="auto"/>
          </w:tcPr>
          <w:p>
            <w:pPr>
              <w:spacing w:before="0" w:after="200" w:line="276" w:lineRule="auto"/>
              <w:jc w:val="center"/>
              <w:rPr>
                <w:noProof/>
                <w:kern w:val="1"/>
                <w:szCs w:val="24"/>
              </w:rPr>
            </w:pPr>
          </w:p>
        </w:tc>
        <w:tc>
          <w:tcPr>
            <w:tcW w:w="6378" w:type="dxa"/>
            <w:tcBorders>
              <w:right w:val="nil"/>
            </w:tcBorders>
            <w:shd w:val="clear" w:color="auto" w:fill="auto"/>
          </w:tcPr>
          <w:p>
            <w:pPr>
              <w:spacing w:before="0" w:after="200" w:line="276" w:lineRule="auto"/>
              <w:jc w:val="center"/>
              <w:rPr>
                <w:noProof/>
                <w:kern w:val="1"/>
                <w:szCs w:val="24"/>
              </w:rPr>
            </w:pPr>
          </w:p>
        </w:tc>
      </w:tr>
    </w:tbl>
    <w:p>
      <w:pPr>
        <w:widowControl w:val="0"/>
        <w:autoSpaceDE w:val="0"/>
        <w:autoSpaceDN w:val="0"/>
        <w:adjustRightInd w:val="0"/>
        <w:spacing w:before="0" w:after="200" w:line="276" w:lineRule="auto"/>
        <w:jc w:val="left"/>
        <w:rPr>
          <w:noProof/>
          <w:szCs w:val="24"/>
          <w:u w:val="double"/>
        </w:rPr>
      </w:pPr>
    </w:p>
    <w:p>
      <w:pPr>
        <w:widowControl w:val="0"/>
        <w:autoSpaceDE w:val="0"/>
        <w:autoSpaceDN w:val="0"/>
        <w:adjustRightInd w:val="0"/>
        <w:spacing w:before="0" w:after="200" w:line="276" w:lineRule="auto"/>
        <w:rPr>
          <w:noProof/>
          <w:szCs w:val="24"/>
        </w:rPr>
      </w:pPr>
      <w:r>
        <w:rPr>
          <w:noProof/>
        </w:rPr>
        <w:t xml:space="preserve">Conformément aux dispositions de l’article 6.5, point b), les informations fournies ci-après concernent le matériel reçu dans le cadre d’un accord type de transfert de matériel ou le matériel versé dans le </w:t>
      </w:r>
      <w:r>
        <w:rPr>
          <w:b/>
          <w:bCs/>
          <w:noProof/>
        </w:rPr>
        <w:t>système multilatéral</w:t>
      </w:r>
      <w:r>
        <w:rPr>
          <w:noProof/>
        </w:rPr>
        <w:t xml:space="preserve"> dans le cadre d’un accord conclu en vertu de l’article 15 du </w:t>
      </w:r>
      <w:r>
        <w:rPr>
          <w:b/>
          <w:bCs/>
          <w:noProof/>
        </w:rPr>
        <w:t>traité</w:t>
      </w:r>
      <w:r>
        <w:rPr>
          <w:noProof/>
        </w:rPr>
        <w:t xml:space="preserve">, dont les </w:t>
      </w:r>
      <w:r>
        <w:rPr>
          <w:b/>
          <w:bCs/>
          <w:noProof/>
        </w:rPr>
        <w:t>ressources phytogénétiques pour l’alimentation et l’agriculture en cours de mise au point</w:t>
      </w:r>
      <w:r>
        <w:rPr>
          <w:noProof/>
        </w:rPr>
        <w:t xml:space="preserve"> énumérées dans le tableau B sont issues: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378"/>
      </w:tblGrid>
      <w:tr>
        <w:tc>
          <w:tcPr>
            <w:tcW w:w="8472" w:type="dxa"/>
            <w:gridSpan w:val="2"/>
            <w:tcBorders>
              <w:top w:val="double" w:sz="4" w:space="0" w:color="auto"/>
              <w:left w:val="nil"/>
              <w:bottom w:val="double" w:sz="4" w:space="0" w:color="auto"/>
              <w:right w:val="nil"/>
            </w:tcBorders>
            <w:shd w:val="clear" w:color="auto" w:fill="auto"/>
          </w:tcPr>
          <w:p>
            <w:pPr>
              <w:spacing w:before="0" w:after="200" w:line="276" w:lineRule="auto"/>
              <w:jc w:val="left"/>
              <w:rPr>
                <w:noProof/>
                <w:kern w:val="22"/>
                <w:szCs w:val="24"/>
              </w:rPr>
            </w:pPr>
            <w:r>
              <w:rPr>
                <w:noProof/>
              </w:rPr>
              <w:t>Espèce cultivée:</w:t>
            </w:r>
          </w:p>
        </w:tc>
      </w:tr>
      <w:tr>
        <w:tc>
          <w:tcPr>
            <w:tcW w:w="2094" w:type="dxa"/>
            <w:tcBorders>
              <w:top w:val="nil"/>
              <w:left w:val="nil"/>
              <w:bottom w:val="double" w:sz="4" w:space="0" w:color="auto"/>
              <w:right w:val="single" w:sz="4" w:space="0" w:color="auto"/>
            </w:tcBorders>
            <w:shd w:val="clear" w:color="auto" w:fill="auto"/>
          </w:tcPr>
          <w:p>
            <w:pPr>
              <w:spacing w:before="0" w:after="200" w:line="276" w:lineRule="auto"/>
              <w:jc w:val="center"/>
              <w:rPr>
                <w:noProof/>
                <w:kern w:val="22"/>
                <w:szCs w:val="24"/>
              </w:rPr>
            </w:pPr>
            <w:r>
              <w:rPr>
                <w:noProof/>
              </w:rPr>
              <w:t xml:space="preserve">Numéro d’entrée </w:t>
            </w:r>
            <w:r>
              <w:rPr>
                <w:noProof/>
              </w:rPr>
              <w:br/>
              <w:t xml:space="preserve">ou autre identifiant </w:t>
            </w:r>
          </w:p>
        </w:tc>
        <w:tc>
          <w:tcPr>
            <w:tcW w:w="6378" w:type="dxa"/>
            <w:tcBorders>
              <w:top w:val="nil"/>
              <w:left w:val="single" w:sz="4" w:space="0" w:color="auto"/>
              <w:bottom w:val="double" w:sz="4" w:space="0" w:color="auto"/>
              <w:right w:val="nil"/>
            </w:tcBorders>
            <w:shd w:val="clear" w:color="auto" w:fill="auto"/>
          </w:tcPr>
          <w:p>
            <w:pPr>
              <w:spacing w:before="0" w:after="200" w:line="276" w:lineRule="auto"/>
              <w:jc w:val="center"/>
              <w:rPr>
                <w:noProof/>
                <w:kern w:val="22"/>
                <w:szCs w:val="24"/>
              </w:rPr>
            </w:pPr>
            <w:r>
              <w:rPr>
                <w:noProof/>
              </w:rPr>
              <w:t>Renseignements connexes, s’ils sont disponibles,</w:t>
            </w:r>
            <w:r>
              <w:rPr>
                <w:noProof/>
              </w:rPr>
              <w:br/>
              <w:t>ou source auprès de laquelle ils peuvent être obtenus (URL)</w:t>
            </w:r>
          </w:p>
        </w:tc>
      </w:tr>
      <w:tr>
        <w:tc>
          <w:tcPr>
            <w:tcW w:w="2094" w:type="dxa"/>
            <w:tcBorders>
              <w:top w:val="double" w:sz="4" w:space="0" w:color="auto"/>
              <w:left w:val="nil"/>
              <w:right w:val="nil"/>
            </w:tcBorders>
            <w:shd w:val="clear" w:color="auto" w:fill="auto"/>
          </w:tcPr>
          <w:p>
            <w:pPr>
              <w:spacing w:before="0" w:after="200" w:line="276" w:lineRule="auto"/>
              <w:jc w:val="center"/>
              <w:rPr>
                <w:noProof/>
                <w:kern w:val="1"/>
                <w:szCs w:val="24"/>
              </w:rPr>
            </w:pPr>
          </w:p>
        </w:tc>
        <w:tc>
          <w:tcPr>
            <w:tcW w:w="6378" w:type="dxa"/>
            <w:tcBorders>
              <w:top w:val="double" w:sz="4" w:space="0" w:color="auto"/>
              <w:right w:val="nil"/>
            </w:tcBorders>
            <w:shd w:val="clear" w:color="auto" w:fill="auto"/>
          </w:tcPr>
          <w:p>
            <w:pPr>
              <w:spacing w:before="0" w:after="200" w:line="276" w:lineRule="auto"/>
              <w:jc w:val="center"/>
              <w:rPr>
                <w:noProof/>
                <w:kern w:val="1"/>
                <w:szCs w:val="24"/>
              </w:rPr>
            </w:pPr>
          </w:p>
        </w:tc>
      </w:tr>
      <w:tr>
        <w:tc>
          <w:tcPr>
            <w:tcW w:w="2094" w:type="dxa"/>
            <w:tcBorders>
              <w:left w:val="nil"/>
              <w:right w:val="nil"/>
            </w:tcBorders>
            <w:shd w:val="clear" w:color="auto" w:fill="auto"/>
          </w:tcPr>
          <w:p>
            <w:pPr>
              <w:spacing w:before="0" w:after="200" w:line="276" w:lineRule="auto"/>
              <w:jc w:val="center"/>
              <w:rPr>
                <w:noProof/>
                <w:kern w:val="1"/>
                <w:szCs w:val="24"/>
              </w:rPr>
            </w:pPr>
          </w:p>
        </w:tc>
        <w:tc>
          <w:tcPr>
            <w:tcW w:w="6378" w:type="dxa"/>
            <w:tcBorders>
              <w:right w:val="nil"/>
            </w:tcBorders>
            <w:shd w:val="clear" w:color="auto" w:fill="auto"/>
          </w:tcPr>
          <w:p>
            <w:pPr>
              <w:spacing w:before="0" w:after="200" w:line="276" w:lineRule="auto"/>
              <w:jc w:val="center"/>
              <w:rPr>
                <w:noProof/>
                <w:kern w:val="1"/>
                <w:szCs w:val="24"/>
              </w:rPr>
            </w:pPr>
          </w:p>
        </w:tc>
      </w:tr>
      <w:tr>
        <w:tc>
          <w:tcPr>
            <w:tcW w:w="2094" w:type="dxa"/>
            <w:tcBorders>
              <w:left w:val="nil"/>
              <w:right w:val="nil"/>
            </w:tcBorders>
            <w:shd w:val="clear" w:color="auto" w:fill="auto"/>
          </w:tcPr>
          <w:p>
            <w:pPr>
              <w:spacing w:before="0" w:after="200" w:line="276" w:lineRule="auto"/>
              <w:jc w:val="center"/>
              <w:rPr>
                <w:noProof/>
                <w:kern w:val="1"/>
                <w:szCs w:val="24"/>
              </w:rPr>
            </w:pPr>
          </w:p>
        </w:tc>
        <w:tc>
          <w:tcPr>
            <w:tcW w:w="6378" w:type="dxa"/>
            <w:tcBorders>
              <w:right w:val="nil"/>
            </w:tcBorders>
            <w:shd w:val="clear" w:color="auto" w:fill="auto"/>
          </w:tcPr>
          <w:p>
            <w:pPr>
              <w:spacing w:before="0" w:after="200" w:line="276" w:lineRule="auto"/>
              <w:jc w:val="center"/>
              <w:rPr>
                <w:noProof/>
                <w:kern w:val="1"/>
                <w:szCs w:val="24"/>
              </w:rPr>
            </w:pPr>
          </w:p>
        </w:tc>
      </w:tr>
      <w:tr>
        <w:tc>
          <w:tcPr>
            <w:tcW w:w="2094" w:type="dxa"/>
            <w:tcBorders>
              <w:left w:val="nil"/>
              <w:right w:val="nil"/>
            </w:tcBorders>
            <w:shd w:val="clear" w:color="auto" w:fill="auto"/>
          </w:tcPr>
          <w:p>
            <w:pPr>
              <w:spacing w:before="0" w:after="200" w:line="276" w:lineRule="auto"/>
              <w:jc w:val="center"/>
              <w:rPr>
                <w:noProof/>
                <w:kern w:val="1"/>
                <w:szCs w:val="24"/>
              </w:rPr>
            </w:pPr>
          </w:p>
        </w:tc>
        <w:tc>
          <w:tcPr>
            <w:tcW w:w="6378" w:type="dxa"/>
            <w:tcBorders>
              <w:right w:val="nil"/>
            </w:tcBorders>
            <w:shd w:val="clear" w:color="auto" w:fill="auto"/>
          </w:tcPr>
          <w:p>
            <w:pPr>
              <w:spacing w:before="0" w:after="200" w:line="276" w:lineRule="auto"/>
              <w:jc w:val="center"/>
              <w:rPr>
                <w:noProof/>
                <w:kern w:val="1"/>
                <w:szCs w:val="24"/>
              </w:rPr>
            </w:pPr>
          </w:p>
        </w:tc>
      </w:tr>
    </w:tbl>
    <w:p>
      <w:pPr>
        <w:spacing w:before="0" w:after="200" w:line="276" w:lineRule="auto"/>
        <w:jc w:val="left"/>
        <w:rPr>
          <w:b/>
          <w:i/>
          <w:noProof/>
          <w:szCs w:val="24"/>
        </w:rPr>
      </w:pPr>
      <w:r>
        <w:rPr>
          <w:noProof/>
        </w:rPr>
        <w:br w:type="page"/>
      </w:r>
    </w:p>
    <w:p>
      <w:pPr>
        <w:pBdr>
          <w:top w:val="single" w:sz="4" w:space="1" w:color="auto"/>
          <w:bottom w:val="single" w:sz="4" w:space="1" w:color="auto"/>
        </w:pBdr>
        <w:spacing w:before="0" w:after="200" w:line="276" w:lineRule="auto"/>
        <w:jc w:val="center"/>
        <w:rPr>
          <w:b/>
          <w:i/>
          <w:noProof/>
          <w:szCs w:val="24"/>
        </w:rPr>
      </w:pPr>
    </w:p>
    <w:p>
      <w:pPr>
        <w:pBdr>
          <w:top w:val="single" w:sz="4" w:space="1" w:color="auto"/>
          <w:bottom w:val="single" w:sz="4" w:space="1" w:color="auto"/>
        </w:pBdr>
        <w:spacing w:before="0" w:after="200" w:line="276" w:lineRule="auto"/>
        <w:jc w:val="center"/>
        <w:outlineLvl w:val="0"/>
        <w:rPr>
          <w:b/>
          <w:i/>
          <w:noProof/>
          <w:szCs w:val="24"/>
        </w:rPr>
      </w:pPr>
      <w:r>
        <w:rPr>
          <w:b/>
          <w:i/>
          <w:noProof/>
        </w:rPr>
        <w:t>Annexe 2</w:t>
      </w:r>
    </w:p>
    <w:p>
      <w:pPr>
        <w:pBdr>
          <w:top w:val="single" w:sz="4" w:space="1" w:color="auto"/>
          <w:bottom w:val="single" w:sz="4" w:space="1" w:color="auto"/>
        </w:pBdr>
        <w:spacing w:before="0" w:after="200" w:line="276" w:lineRule="auto"/>
        <w:jc w:val="left"/>
        <w:rPr>
          <w:b/>
          <w:i/>
          <w:noProof/>
          <w:szCs w:val="24"/>
        </w:rPr>
      </w:pPr>
    </w:p>
    <w:p>
      <w:pPr>
        <w:widowControl w:val="0"/>
        <w:autoSpaceDE w:val="0"/>
        <w:autoSpaceDN w:val="0"/>
        <w:adjustRightInd w:val="0"/>
        <w:spacing w:before="0" w:after="200" w:line="276" w:lineRule="auto"/>
        <w:jc w:val="center"/>
        <w:rPr>
          <w:b/>
          <w:noProof/>
          <w:kern w:val="1"/>
          <w:szCs w:val="24"/>
          <w:u w:val="single"/>
        </w:rPr>
      </w:pPr>
    </w:p>
    <w:p>
      <w:pPr>
        <w:widowControl w:val="0"/>
        <w:autoSpaceDE w:val="0"/>
        <w:autoSpaceDN w:val="0"/>
        <w:adjustRightInd w:val="0"/>
        <w:spacing w:before="0" w:after="200" w:line="276" w:lineRule="auto"/>
        <w:jc w:val="center"/>
        <w:rPr>
          <w:b/>
          <w:noProof/>
          <w:kern w:val="1"/>
          <w:szCs w:val="24"/>
          <w:u w:val="double"/>
        </w:rPr>
      </w:pPr>
      <w:r>
        <w:rPr>
          <w:b/>
          <w:noProof/>
          <w:u w:val="double"/>
        </w:rPr>
        <w:t>Conditions du «système d’accès unique» (articles 6.7 et 6.8)</w:t>
      </w:r>
    </w:p>
    <w:p>
      <w:pPr>
        <w:pStyle w:val="Point0"/>
        <w:rPr>
          <w:strike/>
          <w:noProof/>
          <w:kern w:val="1"/>
          <w:szCs w:val="24"/>
        </w:rPr>
      </w:pPr>
      <w:r>
        <w:rPr>
          <w:noProof/>
        </w:rPr>
        <w:t>1.</w:t>
      </w:r>
      <w:r>
        <w:rPr>
          <w:noProof/>
        </w:rPr>
        <w:tab/>
        <w:t xml:space="preserve">Si un </w:t>
      </w:r>
      <w:r>
        <w:rPr>
          <w:b/>
          <w:bCs/>
          <w:noProof/>
        </w:rPr>
        <w:t>bénéficiaire</w:t>
      </w:r>
      <w:r>
        <w:rPr>
          <w:noProof/>
        </w:rPr>
        <w:t xml:space="preserve"> ou l’une de ses filiales </w:t>
      </w:r>
      <w:r>
        <w:rPr>
          <w:b/>
          <w:bCs/>
          <w:noProof/>
        </w:rPr>
        <w:t>commercialise</w:t>
      </w:r>
      <w:r>
        <w:rPr>
          <w:noProof/>
        </w:rPr>
        <w:t xml:space="preserve"> un ou plusieurs </w:t>
      </w:r>
      <w:r>
        <w:rPr>
          <w:b/>
          <w:bCs/>
          <w:noProof/>
        </w:rPr>
        <w:t>produits</w:t>
      </w:r>
      <w:r>
        <w:rPr>
          <w:noProof/>
        </w:rPr>
        <w:t xml:space="preserve"> qui ne sont pas </w:t>
      </w:r>
      <w:r>
        <w:rPr>
          <w:b/>
          <w:bCs/>
          <w:noProof/>
        </w:rPr>
        <w:t>disponibles sans restriction</w:t>
      </w:r>
      <w:r>
        <w:rPr>
          <w:noProof/>
        </w:rPr>
        <w:t xml:space="preserve"> pour autrui à des fins de recherche et de sélection conformément aux dispositions de l’article 2 du </w:t>
      </w:r>
      <w:r>
        <w:rPr>
          <w:b/>
          <w:bCs/>
          <w:noProof/>
        </w:rPr>
        <w:t>présent accord</w:t>
      </w:r>
      <w:r>
        <w:rPr>
          <w:noProof/>
        </w:rPr>
        <w:t xml:space="preserve">, le </w:t>
      </w:r>
      <w:r>
        <w:rPr>
          <w:b/>
          <w:bCs/>
          <w:noProof/>
        </w:rPr>
        <w:t>bénéficiaire</w:t>
      </w:r>
      <w:r>
        <w:rPr>
          <w:noProof/>
        </w:rPr>
        <w:t xml:space="preserve"> verse chaque année un virgule zéro pour cent (1,0 %) des </w:t>
      </w:r>
      <w:r>
        <w:rPr>
          <w:b/>
          <w:bCs/>
          <w:noProof/>
        </w:rPr>
        <w:t>ventes</w:t>
      </w:r>
      <w:r>
        <w:rPr>
          <w:noProof/>
        </w:rPr>
        <w:t xml:space="preserve"> annuelles </w:t>
      </w:r>
      <w:r>
        <w:rPr>
          <w:b/>
          <w:bCs/>
          <w:noProof/>
        </w:rPr>
        <w:t>du ou des</w:t>
      </w:r>
      <w:r>
        <w:rPr>
          <w:noProof/>
        </w:rPr>
        <w:t xml:space="preserve"> </w:t>
      </w:r>
      <w:r>
        <w:rPr>
          <w:b/>
          <w:bCs/>
          <w:noProof/>
        </w:rPr>
        <w:t>produits</w:t>
      </w:r>
      <w:r>
        <w:rPr>
          <w:noProof/>
        </w:rPr>
        <w:t xml:space="preserve"> moins trente pour cent (30 %).</w:t>
      </w:r>
    </w:p>
    <w:p>
      <w:pPr>
        <w:pStyle w:val="Point0"/>
        <w:rPr>
          <w:noProof/>
          <w:kern w:val="1"/>
          <w:szCs w:val="24"/>
        </w:rPr>
      </w:pPr>
      <w:r>
        <w:rPr>
          <w:noProof/>
        </w:rPr>
        <w:t>2.</w:t>
      </w:r>
      <w:r>
        <w:rPr>
          <w:noProof/>
        </w:rPr>
        <w:tab/>
        <w:t xml:space="preserve">Si un </w:t>
      </w:r>
      <w:r>
        <w:rPr>
          <w:b/>
          <w:bCs/>
          <w:noProof/>
        </w:rPr>
        <w:t>bénéficiaire</w:t>
      </w:r>
      <w:r>
        <w:rPr>
          <w:noProof/>
        </w:rPr>
        <w:t xml:space="preserve"> ou l’une de ses filiales </w:t>
      </w:r>
      <w:r>
        <w:rPr>
          <w:b/>
          <w:bCs/>
          <w:noProof/>
        </w:rPr>
        <w:t>commercialise</w:t>
      </w:r>
      <w:r>
        <w:rPr>
          <w:noProof/>
        </w:rPr>
        <w:t xml:space="preserve"> un ou plusieurs </w:t>
      </w:r>
      <w:r>
        <w:rPr>
          <w:b/>
          <w:bCs/>
          <w:noProof/>
        </w:rPr>
        <w:t>produits</w:t>
      </w:r>
      <w:r>
        <w:rPr>
          <w:noProof/>
        </w:rPr>
        <w:t xml:space="preserve"> qui sont </w:t>
      </w:r>
      <w:r>
        <w:rPr>
          <w:b/>
          <w:bCs/>
          <w:noProof/>
        </w:rPr>
        <w:t>disponibles sans restriction</w:t>
      </w:r>
      <w:r>
        <w:rPr>
          <w:noProof/>
        </w:rPr>
        <w:t xml:space="preserve"> pour autrui à des fins de recherche et de sélection conformément aux dispositions de l’article 2 du </w:t>
      </w:r>
      <w:r>
        <w:rPr>
          <w:b/>
          <w:bCs/>
          <w:noProof/>
        </w:rPr>
        <w:t>présent accord</w:t>
      </w:r>
      <w:r>
        <w:rPr>
          <w:noProof/>
        </w:rPr>
        <w:t xml:space="preserve">, le </w:t>
      </w:r>
      <w:r>
        <w:rPr>
          <w:b/>
          <w:noProof/>
        </w:rPr>
        <w:t>bénéficiaire</w:t>
      </w:r>
      <w:r>
        <w:rPr>
          <w:noProof/>
        </w:rPr>
        <w:t xml:space="preserve"> verse chaque année zéro virgule un pour cent (0,1 %) des </w:t>
      </w:r>
      <w:r>
        <w:rPr>
          <w:b/>
          <w:bCs/>
          <w:noProof/>
        </w:rPr>
        <w:t>ventes</w:t>
      </w:r>
      <w:r>
        <w:rPr>
          <w:noProof/>
        </w:rPr>
        <w:t xml:space="preserve"> annuelles </w:t>
      </w:r>
      <w:r>
        <w:rPr>
          <w:b/>
          <w:bCs/>
          <w:noProof/>
        </w:rPr>
        <w:t>du ou des</w:t>
      </w:r>
      <w:r>
        <w:rPr>
          <w:noProof/>
        </w:rPr>
        <w:t xml:space="preserve"> </w:t>
      </w:r>
      <w:r>
        <w:rPr>
          <w:b/>
          <w:bCs/>
          <w:noProof/>
        </w:rPr>
        <w:t xml:space="preserve">produits </w:t>
      </w:r>
      <w:r>
        <w:rPr>
          <w:noProof/>
        </w:rPr>
        <w:t>moins trente pour cent (30 %).</w:t>
      </w:r>
    </w:p>
    <w:p>
      <w:pPr>
        <w:pStyle w:val="Point0"/>
        <w:rPr>
          <w:noProof/>
          <w:kern w:val="1"/>
          <w:szCs w:val="24"/>
        </w:rPr>
      </w:pPr>
      <w:r>
        <w:rPr>
          <w:noProof/>
        </w:rPr>
        <w:t>3.</w:t>
      </w:r>
      <w:r>
        <w:rPr>
          <w:noProof/>
        </w:rPr>
        <w:tab/>
        <w:t xml:space="preserve">Aucun paiement n’est dû par le </w:t>
      </w:r>
      <w:r>
        <w:rPr>
          <w:b/>
          <w:bCs/>
          <w:noProof/>
        </w:rPr>
        <w:t>bénéficiaire</w:t>
      </w:r>
      <w:r>
        <w:rPr>
          <w:noProof/>
        </w:rPr>
        <w:t xml:space="preserve"> pour </w:t>
      </w:r>
      <w:r>
        <w:rPr>
          <w:b/>
          <w:noProof/>
        </w:rPr>
        <w:t>un ou des produits</w:t>
      </w:r>
      <w:r>
        <w:rPr>
          <w:noProof/>
        </w:rPr>
        <w:t>:</w:t>
      </w:r>
    </w:p>
    <w:p>
      <w:pPr>
        <w:pStyle w:val="Point1"/>
        <w:rPr>
          <w:noProof/>
        </w:rPr>
      </w:pPr>
      <w:r>
        <w:rPr>
          <w:noProof/>
        </w:rPr>
        <w:t>a)</w:t>
      </w:r>
      <w:r>
        <w:rPr>
          <w:noProof/>
        </w:rPr>
        <w:tab/>
        <w:t xml:space="preserve">acheté(s) ou obtenu(s) d’une autre façon auprès d’une personne physique ou morale qui s’est déjà acquittée des redevances relatives </w:t>
      </w:r>
      <w:r>
        <w:rPr>
          <w:b/>
          <w:noProof/>
        </w:rPr>
        <w:t>au(x) produit(s)</w:t>
      </w:r>
      <w:r>
        <w:rPr>
          <w:noProof/>
        </w:rPr>
        <w:t xml:space="preserve">; </w:t>
      </w:r>
    </w:p>
    <w:p>
      <w:pPr>
        <w:pStyle w:val="Point1"/>
        <w:rPr>
          <w:noProof/>
          <w:kern w:val="1"/>
          <w:szCs w:val="24"/>
        </w:rPr>
      </w:pPr>
      <w:r>
        <w:rPr>
          <w:noProof/>
        </w:rPr>
        <w:t>b)</w:t>
      </w:r>
      <w:r>
        <w:rPr>
          <w:noProof/>
        </w:rPr>
        <w:tab/>
        <w:t xml:space="preserve">vendu(s) ou négocié(s) en tant que marchandise(s); ou </w:t>
      </w:r>
    </w:p>
    <w:p>
      <w:pPr>
        <w:pStyle w:val="Point1"/>
        <w:rPr>
          <w:rFonts w:eastAsia="Times New Roman"/>
          <w:noProof/>
          <w:szCs w:val="24"/>
        </w:rPr>
      </w:pPr>
      <w:r>
        <w:rPr>
          <w:noProof/>
        </w:rPr>
        <w:t>c)</w:t>
      </w:r>
      <w:r>
        <w:rPr>
          <w:noProof/>
        </w:rPr>
        <w:tab/>
        <w:t xml:space="preserve">contenant une contribution génétique inférieure à 6,25 % par pedigree du </w:t>
      </w:r>
      <w:r>
        <w:rPr>
          <w:b/>
          <w:bCs/>
          <w:noProof/>
        </w:rPr>
        <w:t>matériel</w:t>
      </w:r>
      <w:r>
        <w:rPr>
          <w:noProof/>
        </w:rPr>
        <w:t xml:space="preserve"> et dont aucun des caractères ayant une valeur commerciale ne provient du </w:t>
      </w:r>
      <w:r>
        <w:rPr>
          <w:b/>
          <w:bCs/>
          <w:noProof/>
        </w:rPr>
        <w:t>matériel</w:t>
      </w:r>
      <w:r>
        <w:rPr>
          <w:noProof/>
        </w:rPr>
        <w:t xml:space="preserve">. </w:t>
      </w:r>
    </w:p>
    <w:p>
      <w:pPr>
        <w:pStyle w:val="Point0"/>
        <w:rPr>
          <w:noProof/>
          <w:kern w:val="1"/>
          <w:szCs w:val="24"/>
        </w:rPr>
      </w:pPr>
      <w:r>
        <w:rPr>
          <w:noProof/>
        </w:rPr>
        <w:t>4.</w:t>
      </w:r>
      <w:r>
        <w:rPr>
          <w:noProof/>
        </w:rPr>
        <w:tab/>
        <w:t xml:space="preserve">Lorsqu’un </w:t>
      </w:r>
      <w:r>
        <w:rPr>
          <w:b/>
          <w:bCs/>
          <w:noProof/>
        </w:rPr>
        <w:t>produit</w:t>
      </w:r>
      <w:r>
        <w:rPr>
          <w:noProof/>
        </w:rPr>
        <w:t xml:space="preserve"> contient une </w:t>
      </w:r>
      <w:r>
        <w:rPr>
          <w:b/>
          <w:bCs/>
          <w:noProof/>
        </w:rPr>
        <w:t>ressource phytogénétique pour l’alimentation et l’agriculture</w:t>
      </w:r>
      <w:r>
        <w:rPr>
          <w:noProof/>
        </w:rPr>
        <w:t xml:space="preserve"> provenant du </w:t>
      </w:r>
      <w:r>
        <w:rPr>
          <w:b/>
          <w:bCs/>
          <w:noProof/>
        </w:rPr>
        <w:t>système multilatéral</w:t>
      </w:r>
      <w:r>
        <w:rPr>
          <w:noProof/>
        </w:rPr>
        <w:t xml:space="preserve"> dont l’accès est régi par deux accords types de transfert de matériel ou plus, un seul paiement est nécessaire aux termes des paragraphes 1 et 2 ci-avant. </w:t>
      </w:r>
    </w:p>
    <w:p>
      <w:pPr>
        <w:pStyle w:val="Point0"/>
        <w:rPr>
          <w:noProof/>
          <w:kern w:val="1"/>
          <w:szCs w:val="24"/>
        </w:rPr>
      </w:pPr>
      <w:r>
        <w:rPr>
          <w:noProof/>
        </w:rPr>
        <w:t>5.</w:t>
      </w:r>
      <w:r>
        <w:rPr>
          <w:noProof/>
        </w:rPr>
        <w:tab/>
        <w:t xml:space="preserve">Le </w:t>
      </w:r>
      <w:r>
        <w:rPr>
          <w:b/>
          <w:bCs/>
          <w:noProof/>
        </w:rPr>
        <w:t>bénéficiaire</w:t>
      </w:r>
      <w:r>
        <w:rPr>
          <w:noProof/>
        </w:rPr>
        <w:t xml:space="preserve"> présente à l’</w:t>
      </w:r>
      <w:r>
        <w:rPr>
          <w:b/>
          <w:bCs/>
          <w:noProof/>
        </w:rPr>
        <w:t>organe directeur</w:t>
      </w:r>
      <w:r>
        <w:rPr>
          <w:noProof/>
        </w:rPr>
        <w:t xml:space="preserve">, chaque année comptable, dans un délai de soixante (60) jours à compter de la clôture des comptes, un rapport annuel indiquant: </w:t>
      </w:r>
    </w:p>
    <w:p>
      <w:pPr>
        <w:pStyle w:val="Point1"/>
        <w:rPr>
          <w:noProof/>
          <w:kern w:val="1"/>
          <w:szCs w:val="24"/>
        </w:rPr>
      </w:pPr>
      <w:r>
        <w:rPr>
          <w:noProof/>
        </w:rPr>
        <w:t>a)</w:t>
      </w:r>
      <w:r>
        <w:rPr>
          <w:noProof/>
        </w:rPr>
        <w:tab/>
        <w:t xml:space="preserve">les </w:t>
      </w:r>
      <w:r>
        <w:rPr>
          <w:b/>
          <w:bCs/>
          <w:noProof/>
        </w:rPr>
        <w:t>ventes</w:t>
      </w:r>
      <w:r>
        <w:rPr>
          <w:noProof/>
        </w:rPr>
        <w:t xml:space="preserve"> </w:t>
      </w:r>
      <w:r>
        <w:rPr>
          <w:b/>
          <w:bCs/>
          <w:noProof/>
        </w:rPr>
        <w:t>du</w:t>
      </w:r>
      <w:r>
        <w:rPr>
          <w:noProof/>
        </w:rPr>
        <w:t xml:space="preserve"> </w:t>
      </w:r>
      <w:r>
        <w:rPr>
          <w:b/>
          <w:bCs/>
          <w:noProof/>
        </w:rPr>
        <w:t>produit</w:t>
      </w:r>
      <w:r>
        <w:rPr>
          <w:noProof/>
        </w:rPr>
        <w:t xml:space="preserve"> ou </w:t>
      </w:r>
      <w:r>
        <w:rPr>
          <w:b/>
          <w:bCs/>
          <w:noProof/>
        </w:rPr>
        <w:t>des produits</w:t>
      </w:r>
      <w:r>
        <w:rPr>
          <w:noProof/>
        </w:rPr>
        <w:t xml:space="preserve"> par le </w:t>
      </w:r>
      <w:r>
        <w:rPr>
          <w:b/>
          <w:bCs/>
          <w:noProof/>
        </w:rPr>
        <w:t>bénéficiaire</w:t>
      </w:r>
      <w:r>
        <w:rPr>
          <w:noProof/>
        </w:rPr>
        <w:t xml:space="preserve">, et l’une de ses filiales, pour la période de douze (12) mois précédant la clôture annuelle des comptes; </w:t>
      </w:r>
    </w:p>
    <w:p>
      <w:pPr>
        <w:pStyle w:val="Point1"/>
        <w:rPr>
          <w:noProof/>
          <w:kern w:val="1"/>
          <w:szCs w:val="24"/>
        </w:rPr>
      </w:pPr>
      <w:r>
        <w:rPr>
          <w:noProof/>
        </w:rPr>
        <w:t>b)</w:t>
      </w:r>
      <w:r>
        <w:rPr>
          <w:noProof/>
        </w:rPr>
        <w:tab/>
        <w:t xml:space="preserve">le montant des redevances dues; </w:t>
      </w:r>
      <w:r>
        <w:rPr>
          <w:strike/>
          <w:noProof/>
        </w:rPr>
        <w:t xml:space="preserve"> </w:t>
      </w:r>
    </w:p>
    <w:p>
      <w:pPr>
        <w:pStyle w:val="Point1"/>
        <w:rPr>
          <w:noProof/>
          <w:kern w:val="1"/>
          <w:szCs w:val="24"/>
        </w:rPr>
      </w:pPr>
      <w:r>
        <w:rPr>
          <w:noProof/>
        </w:rPr>
        <w:t>c)</w:t>
      </w:r>
      <w:r>
        <w:rPr>
          <w:noProof/>
        </w:rPr>
        <w:tab/>
        <w:t>des informations permettant de déterminer le ou les taux de paiement applicables;</w:t>
      </w:r>
    </w:p>
    <w:p>
      <w:pPr>
        <w:pStyle w:val="Point1"/>
        <w:rPr>
          <w:noProof/>
          <w:kern w:val="1"/>
          <w:szCs w:val="24"/>
        </w:rPr>
      </w:pPr>
      <w:r>
        <w:rPr>
          <w:noProof/>
        </w:rPr>
        <w:t>d)</w:t>
      </w:r>
      <w:r>
        <w:rPr>
          <w:noProof/>
        </w:rPr>
        <w:tab/>
        <w:t xml:space="preserve">la source vérifiable d’où proviennent les informations fournies. </w:t>
      </w:r>
    </w:p>
    <w:p>
      <w:pPr>
        <w:pStyle w:val="Text1"/>
        <w:rPr>
          <w:noProof/>
        </w:rPr>
      </w:pPr>
      <w:r>
        <w:rPr>
          <w:noProof/>
        </w:rPr>
        <w:t xml:space="preserve">Ces informations sont considérées comme des informations commerciales confidentielles, dans la mesure précisée par le </w:t>
      </w:r>
      <w:r>
        <w:rPr>
          <w:b/>
          <w:bCs/>
          <w:noProof/>
        </w:rPr>
        <w:t>bénéficiaire</w:t>
      </w:r>
      <w:r>
        <w:rPr>
          <w:noProof/>
        </w:rPr>
        <w:t xml:space="preserve"> conformément aux limites fixées par le </w:t>
      </w:r>
      <w:r>
        <w:rPr>
          <w:b/>
          <w:bCs/>
          <w:noProof/>
        </w:rPr>
        <w:t>présent accord</w:t>
      </w:r>
      <w:r>
        <w:rPr>
          <w:noProof/>
        </w:rPr>
        <w:t xml:space="preserve">, et sont mises à la disposition de la tierce partie bénéficiaire, dans le contexte du règlement des différends, comme le prévoit l’article 8 du </w:t>
      </w:r>
      <w:r>
        <w:rPr>
          <w:b/>
          <w:bCs/>
          <w:noProof/>
        </w:rPr>
        <w:t>présent accord</w:t>
      </w:r>
      <w:r>
        <w:rPr>
          <w:noProof/>
        </w:rPr>
        <w:t>, ainsi que de l’</w:t>
      </w:r>
      <w:r>
        <w:rPr>
          <w:b/>
          <w:bCs/>
          <w:noProof/>
        </w:rPr>
        <w:t>organe directeur</w:t>
      </w:r>
      <w:r>
        <w:rPr>
          <w:noProof/>
        </w:rPr>
        <w:t xml:space="preserve"> aux fins de l’établissement de rapports de synthèse sur les recettes du fonds créé par l’</w:t>
      </w:r>
      <w:r>
        <w:rPr>
          <w:b/>
          <w:bCs/>
          <w:noProof/>
        </w:rPr>
        <w:t>organe directeur</w:t>
      </w:r>
      <w:r>
        <w:rPr>
          <w:noProof/>
        </w:rPr>
        <w:t xml:space="preserve"> en vertu de l’article 19.3, point f), du </w:t>
      </w:r>
      <w:r>
        <w:rPr>
          <w:b/>
          <w:bCs/>
          <w:noProof/>
        </w:rPr>
        <w:t>traité</w:t>
      </w:r>
      <w:r>
        <w:rPr>
          <w:noProof/>
        </w:rPr>
        <w:t xml:space="preserve">. </w:t>
      </w:r>
    </w:p>
    <w:p>
      <w:pPr>
        <w:pStyle w:val="Point0"/>
        <w:rPr>
          <w:noProof/>
          <w:kern w:val="1"/>
          <w:szCs w:val="24"/>
        </w:rPr>
      </w:pPr>
      <w:r>
        <w:rPr>
          <w:noProof/>
        </w:rPr>
        <w:t>6.</w:t>
      </w:r>
      <w:r>
        <w:rPr>
          <w:noProof/>
        </w:rPr>
        <w:tab/>
        <w:t>Les redevances sont dues et exigibles dès la présentation de chaque rapport annuel. Tous les paiements dus à l’</w:t>
      </w:r>
      <w:r>
        <w:rPr>
          <w:b/>
          <w:bCs/>
          <w:noProof/>
        </w:rPr>
        <w:t>organe directeur</w:t>
      </w:r>
      <w:r>
        <w:rPr>
          <w:noProof/>
        </w:rPr>
        <w:t xml:space="preserve"> sont versés en </w:t>
      </w:r>
      <w:r>
        <w:rPr>
          <w:i/>
          <w:iCs/>
          <w:noProof/>
        </w:rPr>
        <w:t>dollars des États-Unis (USD)</w:t>
      </w:r>
      <w:r>
        <w:rPr>
          <w:noProof/>
        </w:rPr>
        <w:t>, au taux de change qui était en vigueur à la date de clôture des comptes, sur le compte ci-après établi par l’</w:t>
      </w:r>
      <w:r>
        <w:rPr>
          <w:b/>
          <w:bCs/>
          <w:noProof/>
        </w:rPr>
        <w:t>organe directeur</w:t>
      </w:r>
      <w:r>
        <w:rPr>
          <w:noProof/>
        </w:rPr>
        <w:t xml:space="preserve">, conformément aux dispositions de l’article 19.3, point f), du </w:t>
      </w:r>
      <w:r>
        <w:rPr>
          <w:b/>
          <w:bCs/>
          <w:noProof/>
        </w:rPr>
        <w:t>traité</w:t>
      </w:r>
      <w:r>
        <w:rPr>
          <w:noProof/>
        </w:rPr>
        <w:t xml:space="preserve">: </w:t>
      </w:r>
    </w:p>
    <w:p>
      <w:pPr>
        <w:widowControl w:val="0"/>
        <w:autoSpaceDE w:val="0"/>
        <w:autoSpaceDN w:val="0"/>
        <w:adjustRightInd w:val="0"/>
        <w:spacing w:before="0" w:after="200" w:line="276" w:lineRule="auto"/>
        <w:ind w:left="1440"/>
        <w:jc w:val="left"/>
        <w:outlineLvl w:val="0"/>
        <w:rPr>
          <w:noProof/>
          <w:szCs w:val="24"/>
        </w:rPr>
      </w:pPr>
      <w:r>
        <w:rPr>
          <w:b/>
          <w:bCs/>
          <w:noProof/>
        </w:rPr>
        <w:t>FAO Trust Fund (USD) GINC/INT/031/MUL,</w:t>
      </w:r>
    </w:p>
    <w:p>
      <w:pPr>
        <w:widowControl w:val="0"/>
        <w:autoSpaceDE w:val="0"/>
        <w:autoSpaceDN w:val="0"/>
        <w:adjustRightInd w:val="0"/>
        <w:spacing w:before="0" w:after="200" w:line="276" w:lineRule="auto"/>
        <w:ind w:left="1440"/>
        <w:jc w:val="left"/>
        <w:outlineLvl w:val="0"/>
        <w:rPr>
          <w:b/>
          <w:bCs/>
          <w:noProof/>
          <w:szCs w:val="24"/>
        </w:rPr>
      </w:pPr>
      <w:r>
        <w:rPr>
          <w:b/>
          <w:bCs/>
          <w:noProof/>
        </w:rPr>
        <w:t>IT-PGRFA (Benefit-sharing),</w:t>
      </w:r>
    </w:p>
    <w:p>
      <w:pPr>
        <w:widowControl w:val="0"/>
        <w:autoSpaceDE w:val="0"/>
        <w:autoSpaceDN w:val="0"/>
        <w:adjustRightInd w:val="0"/>
        <w:spacing w:before="0" w:after="200" w:line="276" w:lineRule="auto"/>
        <w:ind w:left="1440"/>
        <w:jc w:val="left"/>
        <w:outlineLvl w:val="0"/>
        <w:rPr>
          <w:b/>
          <w:bCs/>
          <w:noProof/>
          <w:szCs w:val="24"/>
        </w:rPr>
      </w:pPr>
      <w:r>
        <w:rPr>
          <w:b/>
          <w:bCs/>
          <w:noProof/>
        </w:rPr>
        <w:t>Citibank</w:t>
      </w:r>
    </w:p>
    <w:p>
      <w:pPr>
        <w:widowControl w:val="0"/>
        <w:autoSpaceDE w:val="0"/>
        <w:autoSpaceDN w:val="0"/>
        <w:adjustRightInd w:val="0"/>
        <w:spacing w:before="0" w:after="200" w:line="276" w:lineRule="auto"/>
        <w:ind w:left="1440"/>
        <w:jc w:val="left"/>
        <w:outlineLvl w:val="0"/>
        <w:rPr>
          <w:b/>
          <w:bCs/>
          <w:noProof/>
          <w:szCs w:val="24"/>
        </w:rPr>
      </w:pPr>
      <w:r>
        <w:rPr>
          <w:b/>
          <w:bCs/>
          <w:noProof/>
        </w:rPr>
        <w:t>399 Park Avenue, New York, NY, USA, 10022,</w:t>
      </w:r>
    </w:p>
    <w:p>
      <w:pPr>
        <w:widowControl w:val="0"/>
        <w:autoSpaceDE w:val="0"/>
        <w:autoSpaceDN w:val="0"/>
        <w:adjustRightInd w:val="0"/>
        <w:spacing w:before="0" w:after="200" w:line="276" w:lineRule="auto"/>
        <w:ind w:left="1440"/>
        <w:jc w:val="left"/>
        <w:outlineLvl w:val="0"/>
        <w:rPr>
          <w:b/>
          <w:bCs/>
          <w:noProof/>
          <w:szCs w:val="24"/>
        </w:rPr>
      </w:pPr>
      <w:r>
        <w:rPr>
          <w:b/>
          <w:bCs/>
          <w:noProof/>
        </w:rPr>
        <w:t>Swift/BIC: CITIUS33, ABA/Bank Code: 021000089, Account No. 36352577</w:t>
      </w:r>
    </w:p>
    <w:p>
      <w:pPr>
        <w:pStyle w:val="Point0"/>
        <w:rPr>
          <w:noProof/>
          <w:szCs w:val="24"/>
        </w:rPr>
      </w:pPr>
      <w:r>
        <w:rPr>
          <w:noProof/>
        </w:rPr>
        <w:t>7.</w:t>
      </w:r>
      <w:r>
        <w:rPr>
          <w:noProof/>
        </w:rPr>
        <w:tab/>
        <w:t xml:space="preserve">Un </w:t>
      </w:r>
      <w:r>
        <w:rPr>
          <w:b/>
          <w:bCs/>
          <w:noProof/>
        </w:rPr>
        <w:t>bénéficiaire</w:t>
      </w:r>
      <w:r>
        <w:rPr>
          <w:noProof/>
        </w:rPr>
        <w:t xml:space="preserve"> n’ayant pas opté pour le </w:t>
      </w:r>
      <w:r>
        <w:rPr>
          <w:b/>
          <w:bCs/>
          <w:noProof/>
        </w:rPr>
        <w:t>système de souscription</w:t>
      </w:r>
      <w:r>
        <w:rPr>
          <w:noProof/>
        </w:rPr>
        <w:t xml:space="preserve"> peut dénoncer le </w:t>
      </w:r>
      <w:r>
        <w:rPr>
          <w:b/>
          <w:bCs/>
          <w:noProof/>
        </w:rPr>
        <w:t>présent accord</w:t>
      </w:r>
      <w:r>
        <w:rPr>
          <w:noProof/>
        </w:rPr>
        <w:t xml:space="preserve"> à l’expiration d’un préavis de six mois communiqué par écrit à l’</w:t>
      </w:r>
      <w:r>
        <w:rPr>
          <w:b/>
          <w:bCs/>
          <w:noProof/>
        </w:rPr>
        <w:t>organe directeur</w:t>
      </w:r>
      <w:r>
        <w:rPr>
          <w:noProof/>
        </w:rPr>
        <w:t xml:space="preserve"> par l’intermédiaire de son secrétaire, pas avant dix ans à compter de la date à laquelle le </w:t>
      </w:r>
      <w:r>
        <w:rPr>
          <w:b/>
          <w:bCs/>
          <w:noProof/>
        </w:rPr>
        <w:t>présent accord</w:t>
      </w:r>
      <w:r>
        <w:rPr>
          <w:noProof/>
        </w:rPr>
        <w:t xml:space="preserve"> a été signé par le </w:t>
      </w:r>
      <w:r>
        <w:rPr>
          <w:b/>
          <w:bCs/>
          <w:noProof/>
        </w:rPr>
        <w:t>fournisseur</w:t>
      </w:r>
      <w:r>
        <w:rPr>
          <w:noProof/>
        </w:rPr>
        <w:t xml:space="preserve"> ou par le </w:t>
      </w:r>
      <w:r>
        <w:rPr>
          <w:b/>
          <w:bCs/>
          <w:noProof/>
        </w:rPr>
        <w:t>bénéficiaire</w:t>
      </w:r>
      <w:r>
        <w:rPr>
          <w:noProof/>
        </w:rPr>
        <w:t xml:space="preserve">, la date la plus tardive étant retenue, ou de la date d’acceptation du </w:t>
      </w:r>
      <w:r>
        <w:rPr>
          <w:b/>
          <w:bCs/>
          <w:noProof/>
        </w:rPr>
        <w:t>présent accord</w:t>
      </w:r>
      <w:r>
        <w:rPr>
          <w:noProof/>
        </w:rPr>
        <w:t xml:space="preserve"> par le </w:t>
      </w:r>
      <w:r>
        <w:rPr>
          <w:b/>
          <w:bCs/>
          <w:noProof/>
        </w:rPr>
        <w:t>bénéficiaire</w:t>
      </w:r>
      <w:r>
        <w:rPr>
          <w:noProof/>
        </w:rPr>
        <w:t xml:space="preserve">. </w:t>
      </w:r>
    </w:p>
    <w:p>
      <w:pPr>
        <w:pStyle w:val="Point0"/>
        <w:rPr>
          <w:noProof/>
          <w:szCs w:val="24"/>
        </w:rPr>
      </w:pPr>
      <w:r>
        <w:rPr>
          <w:noProof/>
        </w:rPr>
        <w:t>8.</w:t>
      </w:r>
      <w:r>
        <w:rPr>
          <w:noProof/>
        </w:rPr>
        <w:tab/>
        <w:t xml:space="preserve">Si le </w:t>
      </w:r>
      <w:r>
        <w:rPr>
          <w:b/>
          <w:bCs/>
          <w:noProof/>
        </w:rPr>
        <w:t>bénéficiaire</w:t>
      </w:r>
      <w:r>
        <w:rPr>
          <w:noProof/>
        </w:rPr>
        <w:t xml:space="preserve"> a commencé à </w:t>
      </w:r>
      <w:r>
        <w:rPr>
          <w:b/>
          <w:bCs/>
          <w:noProof/>
        </w:rPr>
        <w:t>commercialiser</w:t>
      </w:r>
      <w:r>
        <w:rPr>
          <w:noProof/>
        </w:rPr>
        <w:t xml:space="preserve"> un </w:t>
      </w:r>
      <w:r>
        <w:rPr>
          <w:b/>
          <w:bCs/>
          <w:noProof/>
        </w:rPr>
        <w:t>produit</w:t>
      </w:r>
      <w:r>
        <w:rPr>
          <w:noProof/>
        </w:rPr>
        <w:t xml:space="preserve"> avant la dénonciation de l’accord, les redevances afférentes, conformément aux dispositions des articles 6.7, 6.8 et 6.8 </w:t>
      </w:r>
      <w:r>
        <w:rPr>
          <w:i/>
          <w:iCs/>
          <w:noProof/>
        </w:rPr>
        <w:t>bis</w:t>
      </w:r>
      <w:r>
        <w:rPr>
          <w:noProof/>
        </w:rPr>
        <w:t xml:space="preserve"> et de l’</w:t>
      </w:r>
      <w:r>
        <w:rPr>
          <w:i/>
          <w:iCs/>
          <w:noProof/>
        </w:rPr>
        <w:t>annexe 2</w:t>
      </w:r>
      <w:r>
        <w:rPr>
          <w:noProof/>
        </w:rPr>
        <w:t xml:space="preserve"> du </w:t>
      </w:r>
      <w:r>
        <w:rPr>
          <w:b/>
          <w:bCs/>
          <w:noProof/>
        </w:rPr>
        <w:t>présent accord</w:t>
      </w:r>
      <w:r>
        <w:rPr>
          <w:noProof/>
        </w:rPr>
        <w:t xml:space="preserve">, continuent d’être versées durant toute la période de </w:t>
      </w:r>
      <w:r>
        <w:rPr>
          <w:b/>
          <w:bCs/>
          <w:noProof/>
        </w:rPr>
        <w:t>commercialisation</w:t>
      </w:r>
      <w:r>
        <w:rPr>
          <w:noProof/>
        </w:rPr>
        <w:t xml:space="preserve"> du </w:t>
      </w:r>
      <w:r>
        <w:rPr>
          <w:b/>
          <w:bCs/>
          <w:noProof/>
        </w:rPr>
        <w:t>produit</w:t>
      </w:r>
      <w:r>
        <w:rPr>
          <w:noProof/>
        </w:rPr>
        <w:t xml:space="preserve"> et dans le respect des dispositions des articles 6.7, 6.8 et 6.8 </w:t>
      </w:r>
      <w:r>
        <w:rPr>
          <w:i/>
          <w:iCs/>
          <w:noProof/>
        </w:rPr>
        <w:t>bis</w:t>
      </w:r>
      <w:r>
        <w:rPr>
          <w:noProof/>
        </w:rPr>
        <w:t xml:space="preserve"> et de l’</w:t>
      </w:r>
      <w:r>
        <w:rPr>
          <w:i/>
          <w:iCs/>
          <w:noProof/>
        </w:rPr>
        <w:t>annexe 2</w:t>
      </w:r>
      <w:r>
        <w:rPr>
          <w:noProof/>
        </w:rPr>
        <w:t xml:space="preserve"> du </w:t>
      </w:r>
      <w:r>
        <w:rPr>
          <w:b/>
          <w:bCs/>
          <w:noProof/>
        </w:rPr>
        <w:t>présent accord</w:t>
      </w:r>
      <w:r>
        <w:rPr>
          <w:noProof/>
        </w:rPr>
        <w:t xml:space="preserve">. </w:t>
      </w:r>
    </w:p>
    <w:p>
      <w:pPr>
        <w:pStyle w:val="Point0"/>
        <w:rPr>
          <w:strike/>
          <w:noProof/>
          <w:szCs w:val="24"/>
        </w:rPr>
      </w:pPr>
      <w:r>
        <w:rPr>
          <w:noProof/>
        </w:rPr>
        <w:t>9.</w:t>
      </w:r>
      <w:r>
        <w:rPr>
          <w:noProof/>
        </w:rPr>
        <w:tab/>
        <w:t xml:space="preserve">En cas de dénonciation du </w:t>
      </w:r>
      <w:r>
        <w:rPr>
          <w:b/>
          <w:bCs/>
          <w:noProof/>
        </w:rPr>
        <w:t>présent accord</w:t>
      </w:r>
      <w:r>
        <w:rPr>
          <w:noProof/>
        </w:rPr>
        <w:t xml:space="preserve">, le </w:t>
      </w:r>
      <w:r>
        <w:rPr>
          <w:b/>
          <w:bCs/>
          <w:noProof/>
        </w:rPr>
        <w:t>bénéficiaire</w:t>
      </w:r>
      <w:r>
        <w:rPr>
          <w:noProof/>
        </w:rPr>
        <w:t xml:space="preserve"> n’est plus autorisé à utiliser le </w:t>
      </w:r>
      <w:r>
        <w:rPr>
          <w:b/>
          <w:bCs/>
          <w:noProof/>
        </w:rPr>
        <w:t>matériel</w:t>
      </w:r>
      <w:r>
        <w:rPr>
          <w:noProof/>
        </w:rPr>
        <w:t xml:space="preserve">. Le bénéficiaire peut conserver le matériel et le rendre disponible dans le cadre du système multilatéral conformément aux dispositions de l’article 6.3. Il peut également proposer au </w:t>
      </w:r>
      <w:r>
        <w:rPr>
          <w:b/>
          <w:bCs/>
          <w:noProof/>
        </w:rPr>
        <w:t>fournisseur</w:t>
      </w:r>
      <w:r>
        <w:rPr>
          <w:noProof/>
        </w:rPr>
        <w:t xml:space="preserve"> de lui restituer tout matériel encore en sa possession. Si ce n’est pas possible ou si le </w:t>
      </w:r>
      <w:r>
        <w:rPr>
          <w:b/>
          <w:bCs/>
          <w:noProof/>
        </w:rPr>
        <w:t>fournisseur</w:t>
      </w:r>
      <w:r>
        <w:rPr>
          <w:noProof/>
        </w:rPr>
        <w:t xml:space="preserve"> décline la proposition de restitution du matériel, le </w:t>
      </w:r>
      <w:r>
        <w:rPr>
          <w:b/>
          <w:bCs/>
          <w:noProof/>
        </w:rPr>
        <w:t>bénéficiaire</w:t>
      </w:r>
      <w:r>
        <w:rPr>
          <w:noProof/>
        </w:rPr>
        <w:t xml:space="preserve"> doit proposer de transférer le </w:t>
      </w:r>
      <w:r>
        <w:rPr>
          <w:b/>
          <w:bCs/>
          <w:noProof/>
        </w:rPr>
        <w:t>matériel</w:t>
      </w:r>
      <w:r>
        <w:rPr>
          <w:noProof/>
        </w:rPr>
        <w:t xml:space="preserve"> à une institution internationale qui a signé un accord avec l’</w:t>
      </w:r>
      <w:r>
        <w:rPr>
          <w:b/>
          <w:bCs/>
          <w:noProof/>
        </w:rPr>
        <w:t>organe directeur</w:t>
      </w:r>
      <w:r>
        <w:rPr>
          <w:noProof/>
        </w:rPr>
        <w:t xml:space="preserve"> en vertu de l’article 15 du </w:t>
      </w:r>
      <w:r>
        <w:rPr>
          <w:b/>
          <w:bCs/>
          <w:noProof/>
        </w:rPr>
        <w:t>traité</w:t>
      </w:r>
      <w:r>
        <w:rPr>
          <w:noProof/>
        </w:rPr>
        <w:t xml:space="preserve"> ou à toute autre banque de gènes qui opère conformément aux conditions du système multilatéral. Si la proposition est refusée ou si le transfert ne peut se faire, il est possible, en dernier recours, de détruire le matériel, des preuves de sa destruction devant être remises à la tierce partie bénéficiaire. </w:t>
      </w:r>
    </w:p>
    <w:p>
      <w:pPr>
        <w:pStyle w:val="Point0"/>
        <w:rPr>
          <w:strike/>
          <w:noProof/>
        </w:rPr>
      </w:pPr>
      <w:r>
        <w:rPr>
          <w:noProof/>
        </w:rPr>
        <w:t>10.</w:t>
      </w:r>
      <w:r>
        <w:rPr>
          <w:noProof/>
        </w:rPr>
        <w:tab/>
        <w:t xml:space="preserve">Nonobstant ce qui précède, seules les dispositions des articles 4, 6.2, 6.3, 6.9, 6.10 et 8 du </w:t>
      </w:r>
      <w:r>
        <w:rPr>
          <w:b/>
          <w:bCs/>
          <w:noProof/>
        </w:rPr>
        <w:t>présent accord</w:t>
      </w:r>
      <w:r>
        <w:rPr>
          <w:noProof/>
        </w:rPr>
        <w:t xml:space="preserve"> restent applicables après que la dénonciation a pris effet. </w:t>
      </w:r>
    </w:p>
    <w:p>
      <w:pPr>
        <w:widowControl w:val="0"/>
        <w:autoSpaceDE w:val="0"/>
        <w:autoSpaceDN w:val="0"/>
        <w:adjustRightInd w:val="0"/>
        <w:spacing w:before="0" w:after="200" w:line="276" w:lineRule="auto"/>
        <w:ind w:left="1440"/>
        <w:jc w:val="left"/>
        <w:outlineLvl w:val="0"/>
        <w:rPr>
          <w:noProof/>
          <w:sz w:val="22"/>
        </w:rPr>
      </w:pPr>
      <w:r>
        <w:rPr>
          <w:noProof/>
        </w:rPr>
        <w:br w:type="page"/>
      </w:r>
    </w:p>
    <w:p>
      <w:pPr>
        <w:pBdr>
          <w:top w:val="single" w:sz="4" w:space="1" w:color="auto"/>
          <w:bottom w:val="single" w:sz="4" w:space="1" w:color="auto"/>
        </w:pBdr>
        <w:spacing w:before="0" w:after="200" w:line="276" w:lineRule="auto"/>
        <w:jc w:val="center"/>
        <w:rPr>
          <w:b/>
          <w:i/>
          <w:noProof/>
          <w:sz w:val="22"/>
        </w:rPr>
      </w:pPr>
    </w:p>
    <w:p>
      <w:pPr>
        <w:pBdr>
          <w:top w:val="single" w:sz="4" w:space="1" w:color="auto"/>
          <w:bottom w:val="single" w:sz="4" w:space="1" w:color="auto"/>
        </w:pBdr>
        <w:spacing w:before="0" w:after="200" w:line="276" w:lineRule="auto"/>
        <w:jc w:val="center"/>
        <w:outlineLvl w:val="0"/>
        <w:rPr>
          <w:b/>
          <w:i/>
          <w:noProof/>
          <w:sz w:val="22"/>
        </w:rPr>
      </w:pPr>
      <w:r>
        <w:rPr>
          <w:b/>
          <w:i/>
          <w:noProof/>
          <w:sz w:val="22"/>
        </w:rPr>
        <w:t>Annexe 3</w:t>
      </w:r>
    </w:p>
    <w:p>
      <w:pPr>
        <w:pBdr>
          <w:top w:val="single" w:sz="4" w:space="1" w:color="auto"/>
          <w:bottom w:val="single" w:sz="4" w:space="1" w:color="auto"/>
        </w:pBdr>
        <w:spacing w:before="0" w:after="200" w:line="276" w:lineRule="auto"/>
        <w:jc w:val="center"/>
        <w:rPr>
          <w:b/>
          <w:i/>
          <w:noProof/>
          <w:sz w:val="22"/>
        </w:rPr>
      </w:pPr>
    </w:p>
    <w:p>
      <w:pPr>
        <w:tabs>
          <w:tab w:val="left" w:pos="1134"/>
        </w:tabs>
        <w:spacing w:before="0" w:after="0" w:line="276" w:lineRule="auto"/>
        <w:jc w:val="right"/>
        <w:rPr>
          <w:b/>
          <w:i/>
          <w:noProof/>
          <w:sz w:val="22"/>
        </w:rPr>
      </w:pPr>
    </w:p>
    <w:p>
      <w:pPr>
        <w:spacing w:before="0" w:after="200" w:line="276" w:lineRule="auto"/>
        <w:jc w:val="center"/>
        <w:outlineLvl w:val="0"/>
        <w:rPr>
          <w:b/>
          <w:caps/>
          <w:noProof/>
          <w:sz w:val="22"/>
          <w:u w:val="single"/>
        </w:rPr>
      </w:pPr>
      <w:r>
        <w:rPr>
          <w:b/>
          <w:caps/>
          <w:noProof/>
          <w:sz w:val="22"/>
          <w:u w:val="single"/>
        </w:rPr>
        <w:t>Conditions du systÈme de souscription (article 6.11)</w:t>
      </w:r>
    </w:p>
    <w:p>
      <w:pPr>
        <w:spacing w:before="0" w:after="200" w:line="276" w:lineRule="auto"/>
        <w:jc w:val="center"/>
        <w:rPr>
          <w:b/>
          <w:i/>
          <w:noProof/>
          <w:sz w:val="22"/>
        </w:rPr>
      </w:pPr>
    </w:p>
    <w:p>
      <w:pPr>
        <w:spacing w:before="0" w:line="276" w:lineRule="auto"/>
        <w:jc w:val="center"/>
        <w:outlineLvl w:val="0"/>
        <w:rPr>
          <w:b/>
          <w:noProof/>
          <w:sz w:val="22"/>
        </w:rPr>
      </w:pPr>
      <w:r>
        <w:rPr>
          <w:b/>
          <w:noProof/>
          <w:sz w:val="22"/>
        </w:rPr>
        <w:t>ARTICLE PREMIER — SOUSCRIPTION</w:t>
      </w:r>
    </w:p>
    <w:p>
      <w:pPr>
        <w:pStyle w:val="Point0"/>
        <w:rPr>
          <w:noProof/>
        </w:rPr>
      </w:pPr>
      <w:r>
        <w:rPr>
          <w:noProof/>
        </w:rPr>
        <w:t>1.1</w:t>
      </w:r>
      <w:r>
        <w:rPr>
          <w:noProof/>
        </w:rPr>
        <w:tab/>
        <w:t xml:space="preserve">Le </w:t>
      </w:r>
      <w:r>
        <w:rPr>
          <w:b/>
          <w:bCs/>
          <w:noProof/>
        </w:rPr>
        <w:t>bénéficiaire</w:t>
      </w:r>
      <w:r>
        <w:rPr>
          <w:noProof/>
        </w:rPr>
        <w:t xml:space="preserve"> qui opte pour le </w:t>
      </w:r>
      <w:r>
        <w:rPr>
          <w:b/>
          <w:bCs/>
          <w:noProof/>
        </w:rPr>
        <w:t>système de souscription</w:t>
      </w:r>
      <w:r>
        <w:rPr>
          <w:noProof/>
        </w:rPr>
        <w:t xml:space="preserve"> en application de l’article 6.11 (ci-après le «</w:t>
      </w:r>
      <w:r>
        <w:rPr>
          <w:b/>
          <w:bCs/>
          <w:noProof/>
        </w:rPr>
        <w:t>souscripteur</w:t>
      </w:r>
      <w:r>
        <w:rPr>
          <w:noProof/>
        </w:rPr>
        <w:t>»), accepte de respecter les conditions supplémentaires énoncées ci-après (ci-après les «</w:t>
      </w:r>
      <w:r>
        <w:rPr>
          <w:b/>
          <w:bCs/>
          <w:noProof/>
        </w:rPr>
        <w:t>conditions de souscription</w:t>
      </w:r>
      <w:r>
        <w:rPr>
          <w:noProof/>
        </w:rPr>
        <w:t xml:space="preserve">»). </w:t>
      </w:r>
    </w:p>
    <w:p>
      <w:pPr>
        <w:pStyle w:val="Point0"/>
        <w:rPr>
          <w:noProof/>
          <w:sz w:val="22"/>
        </w:rPr>
      </w:pPr>
      <w:r>
        <w:rPr>
          <w:noProof/>
          <w:sz w:val="22"/>
        </w:rPr>
        <w:t>1.2</w:t>
      </w:r>
      <w:r>
        <w:rPr>
          <w:noProof/>
          <w:sz w:val="22"/>
        </w:rPr>
        <w:tab/>
        <w:t xml:space="preserve">La </w:t>
      </w:r>
      <w:r>
        <w:rPr>
          <w:b/>
          <w:bCs/>
          <w:noProof/>
          <w:sz w:val="22"/>
        </w:rPr>
        <w:t>souscription</w:t>
      </w:r>
      <w:r>
        <w:rPr>
          <w:noProof/>
          <w:sz w:val="22"/>
        </w:rPr>
        <w:t xml:space="preserve"> prend effet dès la réception, par le secrétaire de l’</w:t>
      </w:r>
      <w:r>
        <w:rPr>
          <w:b/>
          <w:bCs/>
          <w:noProof/>
          <w:sz w:val="22"/>
        </w:rPr>
        <w:t>organe directeur</w:t>
      </w:r>
      <w:r>
        <w:rPr>
          <w:noProof/>
          <w:sz w:val="22"/>
        </w:rPr>
        <w:t xml:space="preserve">, du </w:t>
      </w:r>
      <w:r>
        <w:rPr>
          <w:b/>
          <w:bCs/>
          <w:noProof/>
          <w:sz w:val="22"/>
        </w:rPr>
        <w:t>formulaire d’inscription</w:t>
      </w:r>
      <w:r>
        <w:rPr>
          <w:noProof/>
          <w:sz w:val="22"/>
        </w:rPr>
        <w:t>, dûment signé, figurant à l’</w:t>
      </w:r>
      <w:r>
        <w:rPr>
          <w:i/>
          <w:iCs/>
          <w:noProof/>
          <w:sz w:val="22"/>
        </w:rPr>
        <w:t>annexe 4</w:t>
      </w:r>
      <w:r>
        <w:rPr>
          <w:noProof/>
          <w:sz w:val="22"/>
        </w:rPr>
        <w:t xml:space="preserve">. Le secrétaire informe le </w:t>
      </w:r>
      <w:r>
        <w:rPr>
          <w:b/>
          <w:bCs/>
          <w:noProof/>
          <w:sz w:val="22"/>
        </w:rPr>
        <w:t>souscripteur</w:t>
      </w:r>
      <w:r>
        <w:rPr>
          <w:noProof/>
          <w:sz w:val="22"/>
        </w:rPr>
        <w:t xml:space="preserve"> de la date de réception. Le </w:t>
      </w:r>
      <w:r>
        <w:rPr>
          <w:b/>
          <w:bCs/>
          <w:noProof/>
          <w:sz w:val="22"/>
        </w:rPr>
        <w:t>souscripteur</w:t>
      </w:r>
      <w:r>
        <w:rPr>
          <w:noProof/>
          <w:sz w:val="22"/>
        </w:rPr>
        <w:t xml:space="preserve"> n’est pas tenu de signer l’</w:t>
      </w:r>
      <w:r>
        <w:rPr>
          <w:i/>
          <w:iCs/>
          <w:noProof/>
          <w:sz w:val="22"/>
        </w:rPr>
        <w:t>annexe 4</w:t>
      </w:r>
      <w:r>
        <w:rPr>
          <w:noProof/>
          <w:sz w:val="22"/>
        </w:rPr>
        <w:t xml:space="preserve"> de tout accord type de transfert de matériel postérieur, pendant la durée de la </w:t>
      </w:r>
      <w:r>
        <w:rPr>
          <w:b/>
          <w:bCs/>
          <w:noProof/>
          <w:sz w:val="22"/>
        </w:rPr>
        <w:t>souscription</w:t>
      </w:r>
      <w:r>
        <w:rPr>
          <w:noProof/>
          <w:sz w:val="22"/>
        </w:rPr>
        <w:t xml:space="preserve">. </w:t>
      </w:r>
    </w:p>
    <w:p>
      <w:pPr>
        <w:pStyle w:val="Point0"/>
        <w:rPr>
          <w:noProof/>
          <w:sz w:val="22"/>
        </w:rPr>
      </w:pPr>
      <w:r>
        <w:rPr>
          <w:noProof/>
          <w:sz w:val="22"/>
        </w:rPr>
        <w:t>1.3</w:t>
      </w:r>
      <w:r>
        <w:rPr>
          <w:noProof/>
          <w:sz w:val="22"/>
        </w:rPr>
        <w:tab/>
        <w:t xml:space="preserve">Le </w:t>
      </w:r>
      <w:r>
        <w:rPr>
          <w:b/>
          <w:bCs/>
          <w:noProof/>
          <w:sz w:val="22"/>
        </w:rPr>
        <w:t>souscripteur</w:t>
      </w:r>
      <w:r>
        <w:rPr>
          <w:noProof/>
          <w:sz w:val="22"/>
        </w:rPr>
        <w:t xml:space="preserve"> est dégagé de toute obligation de paiement au titre de tout accord type de transfert de matériel signé précédemment et les seules obligations de paiement qui s’appliquent sont celles qui sont stipulées dans les présentes </w:t>
      </w:r>
      <w:r>
        <w:rPr>
          <w:b/>
          <w:bCs/>
          <w:noProof/>
          <w:sz w:val="22"/>
        </w:rPr>
        <w:t>conditions de souscription</w:t>
      </w:r>
      <w:r>
        <w:rPr>
          <w:noProof/>
          <w:sz w:val="22"/>
        </w:rPr>
        <w:t xml:space="preserve">. </w:t>
      </w:r>
    </w:p>
    <w:p>
      <w:pPr>
        <w:pStyle w:val="Point0"/>
        <w:rPr>
          <w:noProof/>
          <w:sz w:val="22"/>
        </w:rPr>
      </w:pPr>
      <w:r>
        <w:rPr>
          <w:noProof/>
          <w:sz w:val="22"/>
        </w:rPr>
        <w:t>1.4</w:t>
      </w:r>
      <w:r>
        <w:rPr>
          <w:noProof/>
          <w:sz w:val="22"/>
        </w:rPr>
        <w:tab/>
        <w:t>L’</w:t>
      </w:r>
      <w:r>
        <w:rPr>
          <w:b/>
          <w:bCs/>
          <w:noProof/>
          <w:sz w:val="22"/>
        </w:rPr>
        <w:t>organe directeur</w:t>
      </w:r>
      <w:r>
        <w:rPr>
          <w:noProof/>
          <w:sz w:val="22"/>
        </w:rPr>
        <w:t xml:space="preserve"> peut modifier les </w:t>
      </w:r>
      <w:r>
        <w:rPr>
          <w:b/>
          <w:bCs/>
          <w:noProof/>
          <w:sz w:val="22"/>
        </w:rPr>
        <w:t>conditions de souscription</w:t>
      </w:r>
      <w:r>
        <w:rPr>
          <w:noProof/>
          <w:sz w:val="22"/>
        </w:rPr>
        <w:t xml:space="preserve"> à tout moment. Ces conditions de souscription modifiées ne s’appliquent pas aux </w:t>
      </w:r>
      <w:r>
        <w:rPr>
          <w:b/>
          <w:bCs/>
          <w:noProof/>
          <w:sz w:val="22"/>
        </w:rPr>
        <w:t>souscriptions</w:t>
      </w:r>
      <w:r>
        <w:rPr>
          <w:noProof/>
          <w:sz w:val="22"/>
        </w:rPr>
        <w:t xml:space="preserve"> en cours, à moins que le </w:t>
      </w:r>
      <w:r>
        <w:rPr>
          <w:b/>
          <w:bCs/>
          <w:noProof/>
          <w:sz w:val="22"/>
        </w:rPr>
        <w:t>souscripteur</w:t>
      </w:r>
      <w:r>
        <w:rPr>
          <w:noProof/>
          <w:sz w:val="22"/>
        </w:rPr>
        <w:t xml:space="preserve"> ne notifie à l’</w:t>
      </w:r>
      <w:r>
        <w:rPr>
          <w:b/>
          <w:bCs/>
          <w:noProof/>
          <w:sz w:val="22"/>
        </w:rPr>
        <w:t>organe directeur</w:t>
      </w:r>
      <w:r>
        <w:rPr>
          <w:noProof/>
          <w:sz w:val="22"/>
        </w:rPr>
        <w:t xml:space="preserve"> son consentement aux </w:t>
      </w:r>
      <w:r>
        <w:rPr>
          <w:b/>
          <w:bCs/>
          <w:noProof/>
          <w:sz w:val="22"/>
        </w:rPr>
        <w:t>conditions de souscription</w:t>
      </w:r>
      <w:r>
        <w:rPr>
          <w:noProof/>
          <w:sz w:val="22"/>
        </w:rPr>
        <w:t xml:space="preserve"> modifiées. Si le </w:t>
      </w:r>
      <w:r>
        <w:rPr>
          <w:b/>
          <w:bCs/>
          <w:noProof/>
          <w:sz w:val="22"/>
        </w:rPr>
        <w:t>souscripteur</w:t>
      </w:r>
      <w:r>
        <w:rPr>
          <w:noProof/>
          <w:sz w:val="22"/>
        </w:rPr>
        <w:t xml:space="preserve"> consent aux </w:t>
      </w:r>
      <w:r>
        <w:rPr>
          <w:b/>
          <w:bCs/>
          <w:noProof/>
          <w:sz w:val="22"/>
        </w:rPr>
        <w:t>conditions de souscription</w:t>
      </w:r>
      <w:r>
        <w:rPr>
          <w:noProof/>
          <w:sz w:val="22"/>
        </w:rPr>
        <w:t xml:space="preserve"> modifiées, le consentement notifié par le souscripteur est sans incidence sur la date à laquelle la </w:t>
      </w:r>
      <w:r>
        <w:rPr>
          <w:b/>
          <w:bCs/>
          <w:noProof/>
          <w:sz w:val="22"/>
        </w:rPr>
        <w:t>souscription</w:t>
      </w:r>
      <w:r>
        <w:rPr>
          <w:noProof/>
          <w:sz w:val="22"/>
        </w:rPr>
        <w:t xml:space="preserve"> avait pris effet. </w:t>
      </w:r>
    </w:p>
    <w:p>
      <w:pPr>
        <w:spacing w:before="360" w:after="200" w:line="276" w:lineRule="auto"/>
        <w:jc w:val="center"/>
        <w:outlineLvl w:val="0"/>
        <w:rPr>
          <w:b/>
          <w:noProof/>
          <w:sz w:val="22"/>
        </w:rPr>
      </w:pPr>
      <w:r>
        <w:rPr>
          <w:b/>
          <w:noProof/>
          <w:sz w:val="22"/>
        </w:rPr>
        <w:t xml:space="preserve">ARTICLE 2 — REGISTRE </w:t>
      </w:r>
    </w:p>
    <w:p>
      <w:pPr>
        <w:spacing w:before="200" w:after="200" w:line="276" w:lineRule="auto"/>
        <w:rPr>
          <w:noProof/>
          <w:sz w:val="22"/>
        </w:rPr>
      </w:pPr>
      <w:r>
        <w:rPr>
          <w:noProof/>
          <w:sz w:val="22"/>
        </w:rPr>
        <w:t xml:space="preserve">Le </w:t>
      </w:r>
      <w:r>
        <w:rPr>
          <w:b/>
          <w:bCs/>
          <w:noProof/>
          <w:sz w:val="22"/>
        </w:rPr>
        <w:t>souscripteur</w:t>
      </w:r>
      <w:r>
        <w:rPr>
          <w:noProof/>
          <w:sz w:val="22"/>
        </w:rPr>
        <w:t xml:space="preserve"> accepte que son nom complet, ses coordonnées et la date de prise d’effet de la </w:t>
      </w:r>
      <w:r>
        <w:rPr>
          <w:b/>
          <w:bCs/>
          <w:noProof/>
          <w:sz w:val="22"/>
        </w:rPr>
        <w:t>souscription</w:t>
      </w:r>
      <w:r>
        <w:rPr>
          <w:noProof/>
          <w:sz w:val="22"/>
        </w:rPr>
        <w:t xml:space="preserve"> figurent dans un registre accessible au public (ci-après le «</w:t>
      </w:r>
      <w:r>
        <w:rPr>
          <w:b/>
          <w:bCs/>
          <w:noProof/>
          <w:sz w:val="22"/>
        </w:rPr>
        <w:t>registre</w:t>
      </w:r>
      <w:r>
        <w:rPr>
          <w:noProof/>
          <w:sz w:val="22"/>
        </w:rPr>
        <w:t>»), et s’engage à communiquer immédiatement toute modification de ces informations à l’</w:t>
      </w:r>
      <w:r>
        <w:rPr>
          <w:b/>
          <w:bCs/>
          <w:noProof/>
          <w:sz w:val="22"/>
        </w:rPr>
        <w:t>organe directeur</w:t>
      </w:r>
      <w:r>
        <w:rPr>
          <w:noProof/>
          <w:sz w:val="22"/>
        </w:rPr>
        <w:t xml:space="preserve"> du traité, par l’intermédiaire de son secrétaire. </w:t>
      </w:r>
    </w:p>
    <w:p>
      <w:pPr>
        <w:spacing w:before="360" w:after="200" w:line="276" w:lineRule="auto"/>
        <w:jc w:val="center"/>
        <w:outlineLvl w:val="0"/>
        <w:rPr>
          <w:b/>
          <w:noProof/>
          <w:sz w:val="22"/>
        </w:rPr>
      </w:pPr>
      <w:r>
        <w:rPr>
          <w:b/>
          <w:noProof/>
          <w:sz w:val="22"/>
        </w:rPr>
        <w:t xml:space="preserve">ARTICLE 3 — PARTAGE DES AVANTAGES MONÉTAIRES </w:t>
      </w:r>
    </w:p>
    <w:p>
      <w:pPr>
        <w:pStyle w:val="Point0"/>
        <w:rPr>
          <w:noProof/>
          <w:sz w:val="22"/>
        </w:rPr>
      </w:pPr>
      <w:r>
        <w:rPr>
          <w:noProof/>
          <w:sz w:val="22"/>
        </w:rPr>
        <w:t>3.1</w:t>
      </w:r>
      <w:r>
        <w:rPr>
          <w:noProof/>
          <w:sz w:val="22"/>
        </w:rPr>
        <w:tab/>
        <w:t xml:space="preserve">Afin de partager les avantages monétaires découlant de l’utilisation des </w:t>
      </w:r>
      <w:r>
        <w:rPr>
          <w:b/>
          <w:bCs/>
          <w:noProof/>
          <w:sz w:val="22"/>
        </w:rPr>
        <w:t>ressources phytogénétiques pour l’alimentation et l’agriculture</w:t>
      </w:r>
      <w:r>
        <w:rPr>
          <w:noProof/>
          <w:sz w:val="22"/>
        </w:rPr>
        <w:t xml:space="preserve"> visées par le </w:t>
      </w:r>
      <w:r>
        <w:rPr>
          <w:b/>
          <w:bCs/>
          <w:noProof/>
          <w:sz w:val="22"/>
        </w:rPr>
        <w:t>traité</w:t>
      </w:r>
      <w:r>
        <w:rPr>
          <w:noProof/>
          <w:sz w:val="22"/>
        </w:rPr>
        <w:t xml:space="preserve">, le </w:t>
      </w:r>
      <w:r>
        <w:rPr>
          <w:b/>
          <w:bCs/>
          <w:noProof/>
          <w:sz w:val="22"/>
        </w:rPr>
        <w:t>souscripteur</w:t>
      </w:r>
      <w:r>
        <w:rPr>
          <w:noProof/>
          <w:sz w:val="22"/>
        </w:rPr>
        <w:t xml:space="preserve"> verse des redevances annuelles en fonction de ses ventes de produits correspondant à des</w:t>
      </w:r>
      <w:r>
        <w:rPr>
          <w:b/>
          <w:bCs/>
          <w:noProof/>
          <w:sz w:val="22"/>
        </w:rPr>
        <w:t xml:space="preserve"> ressources phytogénétiques pour l’alimentation et l’agriculture</w:t>
      </w:r>
      <w:r>
        <w:rPr>
          <w:noProof/>
          <w:sz w:val="22"/>
        </w:rPr>
        <w:t xml:space="preserve"> énumérées à l’appendice I du </w:t>
      </w:r>
      <w:r>
        <w:rPr>
          <w:b/>
          <w:bCs/>
          <w:noProof/>
          <w:sz w:val="22"/>
        </w:rPr>
        <w:t>traité</w:t>
      </w:r>
      <w:r>
        <w:rPr>
          <w:noProof/>
          <w:sz w:val="22"/>
        </w:rPr>
        <w:t>.</w:t>
      </w:r>
    </w:p>
    <w:p>
      <w:pPr>
        <w:pStyle w:val="Point0"/>
        <w:rPr>
          <w:noProof/>
          <w:sz w:val="22"/>
        </w:rPr>
      </w:pPr>
      <w:r>
        <w:rPr>
          <w:noProof/>
          <w:sz w:val="22"/>
        </w:rPr>
        <w:t>3.2</w:t>
      </w:r>
      <w:r>
        <w:rPr>
          <w:noProof/>
          <w:sz w:val="22"/>
        </w:rPr>
        <w:tab/>
        <w:t xml:space="preserve">Les taux de paiement applicables aux </w:t>
      </w:r>
      <w:r>
        <w:rPr>
          <w:b/>
          <w:bCs/>
          <w:noProof/>
          <w:sz w:val="22"/>
        </w:rPr>
        <w:t>ventes</w:t>
      </w:r>
      <w:r>
        <w:rPr>
          <w:noProof/>
          <w:sz w:val="22"/>
        </w:rPr>
        <w:t xml:space="preserve"> de produits qui sont des </w:t>
      </w:r>
      <w:r>
        <w:rPr>
          <w:b/>
          <w:bCs/>
          <w:noProof/>
          <w:sz w:val="22"/>
        </w:rPr>
        <w:t>ressources phytogénétiques pour l’alimentation et l’agriculture</w:t>
      </w:r>
      <w:r>
        <w:rPr>
          <w:noProof/>
          <w:sz w:val="22"/>
        </w:rPr>
        <w:t xml:space="preserve"> énumérées à l’appendice I du </w:t>
      </w:r>
      <w:r>
        <w:rPr>
          <w:b/>
          <w:noProof/>
          <w:sz w:val="22"/>
        </w:rPr>
        <w:t>traité</w:t>
      </w:r>
      <w:r>
        <w:rPr>
          <w:noProof/>
          <w:sz w:val="22"/>
        </w:rPr>
        <w:t xml:space="preserve"> sont les suivants:</w:t>
      </w:r>
    </w:p>
    <w:p>
      <w:pPr>
        <w:spacing w:before="60" w:after="200" w:line="276" w:lineRule="auto"/>
        <w:ind w:left="1418" w:right="318" w:hanging="284"/>
        <w:jc w:val="left"/>
        <w:rPr>
          <w:noProof/>
          <w:sz w:val="22"/>
        </w:rPr>
      </w:pPr>
      <w:r>
        <w:rPr>
          <w:noProof/>
          <w:sz w:val="22"/>
        </w:rPr>
        <w:tab/>
        <w:t>0,01 % lorsque ces produits sont disponibles sans restriction et</w:t>
      </w:r>
    </w:p>
    <w:p>
      <w:pPr>
        <w:spacing w:before="60" w:after="200" w:line="276" w:lineRule="auto"/>
        <w:ind w:left="1418" w:right="318" w:hanging="284"/>
        <w:jc w:val="left"/>
        <w:rPr>
          <w:noProof/>
          <w:sz w:val="22"/>
        </w:rPr>
      </w:pPr>
      <w:r>
        <w:rPr>
          <w:noProof/>
          <w:sz w:val="22"/>
        </w:rPr>
        <w:tab/>
        <w:t>0,015 % lorsque ces produits ne sont pas disponibles sans restriction.</w:t>
      </w:r>
    </w:p>
    <w:p>
      <w:pPr>
        <w:pStyle w:val="Point0"/>
        <w:rPr>
          <w:bCs/>
          <w:noProof/>
          <w:sz w:val="22"/>
        </w:rPr>
      </w:pPr>
      <w:r>
        <w:rPr>
          <w:bCs/>
          <w:noProof/>
          <w:sz w:val="22"/>
        </w:rPr>
        <w:t>3.3</w:t>
      </w:r>
      <w:r>
        <w:rPr>
          <w:bCs/>
          <w:noProof/>
          <w:sz w:val="22"/>
        </w:rPr>
        <w:tab/>
        <w:t xml:space="preserve">À la demande du </w:t>
      </w:r>
      <w:r>
        <w:rPr>
          <w:b/>
          <w:bCs/>
          <w:noProof/>
          <w:sz w:val="22"/>
        </w:rPr>
        <w:t>souscripteur</w:t>
      </w:r>
      <w:r>
        <w:rPr>
          <w:bCs/>
          <w:noProof/>
          <w:sz w:val="22"/>
        </w:rPr>
        <w:t xml:space="preserve">, le taux de paiement le plus élevé s’applique aux </w:t>
      </w:r>
      <w:r>
        <w:rPr>
          <w:b/>
          <w:bCs/>
          <w:noProof/>
          <w:sz w:val="22"/>
        </w:rPr>
        <w:t>ventes</w:t>
      </w:r>
      <w:r>
        <w:rPr>
          <w:bCs/>
          <w:noProof/>
          <w:sz w:val="22"/>
        </w:rPr>
        <w:t xml:space="preserve"> sans distinction.</w:t>
      </w:r>
    </w:p>
    <w:p>
      <w:pPr>
        <w:pStyle w:val="Point0"/>
        <w:rPr>
          <w:noProof/>
          <w:sz w:val="22"/>
        </w:rPr>
      </w:pPr>
      <w:r>
        <w:rPr>
          <w:noProof/>
          <w:sz w:val="22"/>
        </w:rPr>
        <w:t>3.4</w:t>
      </w:r>
      <w:r>
        <w:rPr>
          <w:noProof/>
          <w:sz w:val="22"/>
        </w:rPr>
        <w:tab/>
        <w:t xml:space="preserve">Nonobstant ce qui précède, aucune redevance n’est exigée d’un </w:t>
      </w:r>
      <w:r>
        <w:rPr>
          <w:b/>
          <w:bCs/>
          <w:noProof/>
          <w:sz w:val="22"/>
        </w:rPr>
        <w:t>souscripteur</w:t>
      </w:r>
      <w:r>
        <w:rPr>
          <w:noProof/>
          <w:sz w:val="22"/>
        </w:rPr>
        <w:t xml:space="preserve"> dont les </w:t>
      </w:r>
      <w:r>
        <w:rPr>
          <w:b/>
          <w:bCs/>
          <w:noProof/>
          <w:sz w:val="22"/>
        </w:rPr>
        <w:t>ventes</w:t>
      </w:r>
      <w:r>
        <w:rPr>
          <w:noProof/>
          <w:sz w:val="22"/>
        </w:rPr>
        <w:t xml:space="preserve"> mentionnées à l’article 3.1 au cours d’une année donnée ne dépassent pas 1000 USD.</w:t>
      </w:r>
    </w:p>
    <w:p>
      <w:pPr>
        <w:pStyle w:val="Point0"/>
        <w:rPr>
          <w:noProof/>
          <w:sz w:val="22"/>
        </w:rPr>
      </w:pPr>
      <w:r>
        <w:rPr>
          <w:noProof/>
          <w:sz w:val="22"/>
        </w:rPr>
        <w:t>3.5</w:t>
      </w:r>
      <w:r>
        <w:rPr>
          <w:noProof/>
          <w:sz w:val="22"/>
        </w:rPr>
        <w:tab/>
        <w:t xml:space="preserve">Les redevances sont versées chaque année comptable, pour l’année précédente, dans un délai de soixante (60) jours suivant la clôture des comptes. Quand la </w:t>
      </w:r>
      <w:r>
        <w:rPr>
          <w:b/>
          <w:bCs/>
          <w:noProof/>
          <w:sz w:val="22"/>
        </w:rPr>
        <w:t>souscription</w:t>
      </w:r>
      <w:r>
        <w:rPr>
          <w:noProof/>
          <w:sz w:val="22"/>
        </w:rPr>
        <w:t xml:space="preserve"> a pris effet en cours d’année, la </w:t>
      </w:r>
      <w:r>
        <w:rPr>
          <w:b/>
          <w:bCs/>
          <w:noProof/>
          <w:sz w:val="22"/>
        </w:rPr>
        <w:t>redevance</w:t>
      </w:r>
      <w:r>
        <w:rPr>
          <w:noProof/>
          <w:sz w:val="22"/>
        </w:rPr>
        <w:t xml:space="preserve"> due la première année par le </w:t>
      </w:r>
      <w:r>
        <w:rPr>
          <w:b/>
          <w:bCs/>
          <w:noProof/>
          <w:sz w:val="22"/>
        </w:rPr>
        <w:t>bénéficiaire</w:t>
      </w:r>
      <w:r>
        <w:rPr>
          <w:noProof/>
          <w:sz w:val="22"/>
        </w:rPr>
        <w:t xml:space="preserve"> est calculée au prorata. </w:t>
      </w:r>
    </w:p>
    <w:p>
      <w:pPr>
        <w:pStyle w:val="Point0"/>
        <w:rPr>
          <w:rFonts w:eastAsia="Times New Roman"/>
          <w:noProof/>
          <w:sz w:val="22"/>
        </w:rPr>
      </w:pPr>
      <w:r>
        <w:rPr>
          <w:noProof/>
          <w:sz w:val="22"/>
        </w:rPr>
        <w:t>3.6</w:t>
      </w:r>
      <w:r>
        <w:rPr>
          <w:noProof/>
          <w:sz w:val="22"/>
        </w:rPr>
        <w:tab/>
        <w:t xml:space="preserve">Le </w:t>
      </w:r>
      <w:r>
        <w:rPr>
          <w:b/>
          <w:bCs/>
          <w:noProof/>
          <w:sz w:val="22"/>
        </w:rPr>
        <w:t>souscripteur</w:t>
      </w:r>
      <w:r>
        <w:rPr>
          <w:noProof/>
          <w:sz w:val="22"/>
        </w:rPr>
        <w:t xml:space="preserve"> communique chaque année comptable à l’</w:t>
      </w:r>
      <w:r>
        <w:rPr>
          <w:b/>
          <w:bCs/>
          <w:noProof/>
          <w:sz w:val="22"/>
        </w:rPr>
        <w:t>organe directeur</w:t>
      </w:r>
      <w:r>
        <w:rPr>
          <w:noProof/>
          <w:sz w:val="22"/>
        </w:rPr>
        <w:t xml:space="preserve"> du </w:t>
      </w:r>
      <w:r>
        <w:rPr>
          <w:b/>
          <w:bCs/>
          <w:noProof/>
          <w:sz w:val="22"/>
        </w:rPr>
        <w:t>traité</w:t>
      </w:r>
      <w:r>
        <w:rPr>
          <w:noProof/>
          <w:sz w:val="22"/>
        </w:rPr>
        <w:t xml:space="preserve">, par l’intermédiaire de son secrétaire, dans un délai de soixante (60) jours suivant la clôture des comptes, un relevé de compte, fournissant notamment: </w:t>
      </w:r>
    </w:p>
    <w:p>
      <w:pPr>
        <w:pStyle w:val="Point1"/>
        <w:rPr>
          <w:noProof/>
        </w:rPr>
      </w:pPr>
      <w:r>
        <w:rPr>
          <w:noProof/>
        </w:rPr>
        <w:t>a)</w:t>
      </w:r>
      <w:r>
        <w:rPr>
          <w:noProof/>
        </w:rPr>
        <w:tab/>
        <w:t xml:space="preserve">des informations sur les </w:t>
      </w:r>
      <w:r>
        <w:rPr>
          <w:b/>
          <w:bCs/>
          <w:noProof/>
        </w:rPr>
        <w:t>ventes</w:t>
      </w:r>
      <w:r>
        <w:rPr>
          <w:noProof/>
        </w:rPr>
        <w:t xml:space="preserve"> pour lesquelles des redevances ont été versées; </w:t>
      </w:r>
    </w:p>
    <w:p>
      <w:pPr>
        <w:pStyle w:val="Point1"/>
        <w:rPr>
          <w:rFonts w:eastAsia="Times New Roman"/>
          <w:noProof/>
          <w:spacing w:val="2"/>
          <w:sz w:val="22"/>
          <w:u w:val="double"/>
        </w:rPr>
      </w:pPr>
      <w:r>
        <w:rPr>
          <w:noProof/>
          <w:sz w:val="22"/>
        </w:rPr>
        <w:t>b)</w:t>
      </w:r>
      <w:r>
        <w:rPr>
          <w:noProof/>
          <w:sz w:val="22"/>
        </w:rPr>
        <w:tab/>
        <w:t xml:space="preserve">des informations permettant de déterminer le ou les taux de paiement applicables; et </w:t>
      </w:r>
    </w:p>
    <w:p>
      <w:pPr>
        <w:pStyle w:val="Point1"/>
        <w:rPr>
          <w:rFonts w:eastAsia="Times New Roman"/>
          <w:noProof/>
          <w:sz w:val="22"/>
        </w:rPr>
      </w:pPr>
      <w:r>
        <w:rPr>
          <w:noProof/>
          <w:sz w:val="22"/>
        </w:rPr>
        <w:t>c)</w:t>
      </w:r>
      <w:r>
        <w:rPr>
          <w:noProof/>
          <w:sz w:val="22"/>
        </w:rPr>
        <w:tab/>
        <w:t xml:space="preserve">la source vérifiable d’où proviennent les informations fournies; </w:t>
      </w:r>
    </w:p>
    <w:p>
      <w:pPr>
        <w:pStyle w:val="Text1"/>
        <w:rPr>
          <w:noProof/>
        </w:rPr>
      </w:pPr>
      <w:r>
        <w:rPr>
          <w:noProof/>
        </w:rPr>
        <w:t xml:space="preserve">ou une déclaration signée indiquant qu’il est exempté du paiement de redevances, conformément à l’article 3.3 ci-avant. </w:t>
      </w:r>
    </w:p>
    <w:p>
      <w:pPr>
        <w:pStyle w:val="Text1"/>
        <w:rPr>
          <w:rFonts w:eastAsia="Times New Roman"/>
          <w:noProof/>
          <w:sz w:val="22"/>
        </w:rPr>
      </w:pPr>
      <w:r>
        <w:rPr>
          <w:noProof/>
          <w:sz w:val="22"/>
        </w:rPr>
        <w:t xml:space="preserve">Ces informations sont considérées comme des informations commerciales confidentielles, dans la mesure précisée par le </w:t>
      </w:r>
      <w:r>
        <w:rPr>
          <w:b/>
          <w:bCs/>
          <w:noProof/>
          <w:sz w:val="22"/>
        </w:rPr>
        <w:t>souscripteur</w:t>
      </w:r>
      <w:r>
        <w:rPr>
          <w:noProof/>
          <w:sz w:val="22"/>
        </w:rPr>
        <w:t xml:space="preserve"> conformément aux limites fixées par le </w:t>
      </w:r>
      <w:r>
        <w:rPr>
          <w:b/>
          <w:bCs/>
          <w:noProof/>
          <w:sz w:val="22"/>
        </w:rPr>
        <w:t>présent accord</w:t>
      </w:r>
      <w:r>
        <w:rPr>
          <w:noProof/>
          <w:sz w:val="22"/>
        </w:rPr>
        <w:t xml:space="preserve">, et sont mises à la disposition de la tierce partie bénéficiaire, dans le contexte du règlement des différends, comme le prévoit l’article 8 du </w:t>
      </w:r>
      <w:r>
        <w:rPr>
          <w:b/>
          <w:bCs/>
          <w:noProof/>
          <w:sz w:val="22"/>
        </w:rPr>
        <w:t>présent accord</w:t>
      </w:r>
      <w:r>
        <w:rPr>
          <w:noProof/>
          <w:sz w:val="22"/>
        </w:rPr>
        <w:t>, ainsi que de l’</w:t>
      </w:r>
      <w:r>
        <w:rPr>
          <w:b/>
          <w:bCs/>
          <w:noProof/>
          <w:sz w:val="22"/>
        </w:rPr>
        <w:t>organe directeur</w:t>
      </w:r>
      <w:r>
        <w:rPr>
          <w:noProof/>
          <w:sz w:val="22"/>
        </w:rPr>
        <w:t xml:space="preserve"> aux fins de l’établissement de rapports de synthèse sur les recettes du fonds créé par l’</w:t>
      </w:r>
      <w:r>
        <w:rPr>
          <w:b/>
          <w:bCs/>
          <w:noProof/>
          <w:sz w:val="22"/>
        </w:rPr>
        <w:t>organe directeur</w:t>
      </w:r>
      <w:r>
        <w:rPr>
          <w:noProof/>
          <w:sz w:val="22"/>
        </w:rPr>
        <w:t xml:space="preserve"> en vertu de l’article 19.3, point f), du </w:t>
      </w:r>
      <w:r>
        <w:rPr>
          <w:b/>
          <w:bCs/>
          <w:noProof/>
          <w:sz w:val="22"/>
        </w:rPr>
        <w:t>traité</w:t>
      </w:r>
      <w:r>
        <w:rPr>
          <w:noProof/>
          <w:sz w:val="22"/>
        </w:rPr>
        <w:t>.</w:t>
      </w:r>
    </w:p>
    <w:p>
      <w:pPr>
        <w:pStyle w:val="Point0"/>
        <w:rPr>
          <w:noProof/>
          <w:sz w:val="22"/>
        </w:rPr>
      </w:pPr>
      <w:r>
        <w:rPr>
          <w:noProof/>
          <w:sz w:val="22"/>
        </w:rPr>
        <w:t>3.7</w:t>
      </w:r>
      <w:r>
        <w:rPr>
          <w:noProof/>
          <w:sz w:val="22"/>
        </w:rPr>
        <w:tab/>
        <w:t>Tous les paiements dus à l’</w:t>
      </w:r>
      <w:r>
        <w:rPr>
          <w:b/>
          <w:bCs/>
          <w:noProof/>
          <w:sz w:val="22"/>
        </w:rPr>
        <w:t>organe directeur</w:t>
      </w:r>
      <w:r>
        <w:rPr>
          <w:noProof/>
          <w:sz w:val="22"/>
        </w:rPr>
        <w:t xml:space="preserve"> sont versés en </w:t>
      </w:r>
      <w:r>
        <w:rPr>
          <w:i/>
          <w:iCs/>
          <w:noProof/>
          <w:sz w:val="22"/>
        </w:rPr>
        <w:t>dollars des États-Unis (USD)</w:t>
      </w:r>
      <w:r>
        <w:rPr>
          <w:noProof/>
          <w:sz w:val="22"/>
        </w:rPr>
        <w:t>, au taux de change qui était en vigueur à la date de clôture des comptes, sur le compte ci-après établi par l’</w:t>
      </w:r>
      <w:r>
        <w:rPr>
          <w:b/>
          <w:bCs/>
          <w:noProof/>
          <w:sz w:val="22"/>
        </w:rPr>
        <w:t>organe directeur</w:t>
      </w:r>
      <w:r>
        <w:rPr>
          <w:noProof/>
          <w:sz w:val="22"/>
        </w:rPr>
        <w:t xml:space="preserve">, conformément aux dispositions de l’article 19.3, point f), du </w:t>
      </w:r>
      <w:r>
        <w:rPr>
          <w:b/>
          <w:bCs/>
          <w:noProof/>
          <w:sz w:val="22"/>
        </w:rPr>
        <w:t>traité</w:t>
      </w:r>
      <w:r>
        <w:rPr>
          <w:noProof/>
          <w:sz w:val="22"/>
        </w:rPr>
        <w:t xml:space="preserve">: </w:t>
      </w:r>
    </w:p>
    <w:p>
      <w:pPr>
        <w:widowControl w:val="0"/>
        <w:autoSpaceDE w:val="0"/>
        <w:autoSpaceDN w:val="0"/>
        <w:adjustRightInd w:val="0"/>
        <w:spacing w:before="0" w:after="200" w:line="276" w:lineRule="auto"/>
        <w:ind w:left="1440"/>
        <w:jc w:val="left"/>
        <w:outlineLvl w:val="0"/>
        <w:rPr>
          <w:noProof/>
        </w:rPr>
      </w:pPr>
      <w:r>
        <w:rPr>
          <w:b/>
          <w:bCs/>
          <w:noProof/>
          <w:sz w:val="22"/>
        </w:rPr>
        <w:t>FAO Trust Fund (USD) GINC/INT/031/MUL,</w:t>
      </w:r>
    </w:p>
    <w:p>
      <w:pPr>
        <w:widowControl w:val="0"/>
        <w:autoSpaceDE w:val="0"/>
        <w:autoSpaceDN w:val="0"/>
        <w:adjustRightInd w:val="0"/>
        <w:spacing w:before="0" w:after="200" w:line="276" w:lineRule="auto"/>
        <w:ind w:left="1440"/>
        <w:jc w:val="left"/>
        <w:outlineLvl w:val="0"/>
        <w:rPr>
          <w:b/>
          <w:bCs/>
          <w:noProof/>
          <w:sz w:val="22"/>
        </w:rPr>
      </w:pPr>
      <w:r>
        <w:rPr>
          <w:b/>
          <w:bCs/>
          <w:noProof/>
          <w:sz w:val="22"/>
        </w:rPr>
        <w:t>IT-PGRFA (Benefit-sharing),</w:t>
      </w:r>
    </w:p>
    <w:p>
      <w:pPr>
        <w:widowControl w:val="0"/>
        <w:autoSpaceDE w:val="0"/>
        <w:autoSpaceDN w:val="0"/>
        <w:adjustRightInd w:val="0"/>
        <w:spacing w:before="0" w:after="200" w:line="276" w:lineRule="auto"/>
        <w:ind w:left="1440"/>
        <w:jc w:val="left"/>
        <w:outlineLvl w:val="0"/>
        <w:rPr>
          <w:b/>
          <w:bCs/>
          <w:noProof/>
          <w:sz w:val="22"/>
        </w:rPr>
      </w:pPr>
      <w:r>
        <w:rPr>
          <w:b/>
          <w:bCs/>
          <w:noProof/>
          <w:sz w:val="22"/>
        </w:rPr>
        <w:t>Citibank</w:t>
      </w:r>
    </w:p>
    <w:p>
      <w:pPr>
        <w:widowControl w:val="0"/>
        <w:autoSpaceDE w:val="0"/>
        <w:autoSpaceDN w:val="0"/>
        <w:adjustRightInd w:val="0"/>
        <w:spacing w:before="0" w:after="200" w:line="276" w:lineRule="auto"/>
        <w:ind w:left="1440"/>
        <w:jc w:val="left"/>
        <w:outlineLvl w:val="0"/>
        <w:rPr>
          <w:b/>
          <w:bCs/>
          <w:noProof/>
          <w:sz w:val="22"/>
        </w:rPr>
      </w:pPr>
      <w:r>
        <w:rPr>
          <w:b/>
          <w:bCs/>
          <w:noProof/>
          <w:sz w:val="22"/>
        </w:rPr>
        <w:t>399 Park Avenue, New York, NY, USA, 10022,</w:t>
      </w:r>
    </w:p>
    <w:p>
      <w:pPr>
        <w:widowControl w:val="0"/>
        <w:autoSpaceDE w:val="0"/>
        <w:autoSpaceDN w:val="0"/>
        <w:adjustRightInd w:val="0"/>
        <w:spacing w:before="0" w:after="200" w:line="276" w:lineRule="auto"/>
        <w:ind w:left="1440"/>
        <w:jc w:val="left"/>
        <w:outlineLvl w:val="0"/>
        <w:rPr>
          <w:b/>
          <w:bCs/>
          <w:noProof/>
          <w:sz w:val="22"/>
        </w:rPr>
      </w:pPr>
      <w:r>
        <w:rPr>
          <w:b/>
          <w:bCs/>
          <w:noProof/>
          <w:sz w:val="22"/>
        </w:rPr>
        <w:t>Swift/BIC: CITIUS33, ABA/Bank Code: 021000089, Account No. 36352577</w:t>
      </w:r>
    </w:p>
    <w:p>
      <w:pPr>
        <w:spacing w:before="360" w:after="200" w:line="276" w:lineRule="auto"/>
        <w:ind w:left="360"/>
        <w:jc w:val="center"/>
        <w:rPr>
          <w:b/>
          <w:noProof/>
          <w:sz w:val="22"/>
        </w:rPr>
      </w:pPr>
      <w:r>
        <w:rPr>
          <w:b/>
          <w:noProof/>
          <w:sz w:val="22"/>
        </w:rPr>
        <w:t>ARTICLE 4 — DÉNONCIATION ET RÉSILIATION DE LA SOUSCRIPTION</w:t>
      </w:r>
    </w:p>
    <w:p>
      <w:pPr>
        <w:pStyle w:val="Point0"/>
        <w:rPr>
          <w:noProof/>
        </w:rPr>
      </w:pPr>
      <w:r>
        <w:rPr>
          <w:noProof/>
        </w:rPr>
        <w:t>4.1</w:t>
      </w:r>
      <w:r>
        <w:rPr>
          <w:noProof/>
        </w:rPr>
        <w:tab/>
        <w:t xml:space="preserve">La </w:t>
      </w:r>
      <w:r>
        <w:rPr>
          <w:b/>
          <w:bCs/>
          <w:noProof/>
        </w:rPr>
        <w:t>souscription</w:t>
      </w:r>
      <w:r>
        <w:rPr>
          <w:noProof/>
        </w:rPr>
        <w:t xml:space="preserve"> demeure en vigueur jusqu’à ce que le </w:t>
      </w:r>
      <w:r>
        <w:rPr>
          <w:b/>
          <w:bCs/>
          <w:noProof/>
        </w:rPr>
        <w:t>souscripteur</w:t>
      </w:r>
      <w:r>
        <w:rPr>
          <w:noProof/>
        </w:rPr>
        <w:t xml:space="preserve"> la dénonce, ou jusqu’à ce que l’</w:t>
      </w:r>
      <w:r>
        <w:rPr>
          <w:b/>
          <w:bCs/>
          <w:noProof/>
        </w:rPr>
        <w:t>organe directeur</w:t>
      </w:r>
      <w:r>
        <w:rPr>
          <w:noProof/>
        </w:rPr>
        <w:t xml:space="preserve"> résilie la souscription, conformément aux dispositions de l’article 4.5 ci-après. </w:t>
      </w:r>
    </w:p>
    <w:p>
      <w:pPr>
        <w:pStyle w:val="Point0"/>
        <w:rPr>
          <w:noProof/>
          <w:sz w:val="22"/>
        </w:rPr>
      </w:pPr>
      <w:r>
        <w:rPr>
          <w:noProof/>
          <w:sz w:val="22"/>
        </w:rPr>
        <w:t>4.2</w:t>
      </w:r>
      <w:r>
        <w:rPr>
          <w:noProof/>
          <w:sz w:val="22"/>
        </w:rPr>
        <w:tab/>
        <w:t xml:space="preserve">Le </w:t>
      </w:r>
      <w:r>
        <w:rPr>
          <w:b/>
          <w:bCs/>
          <w:noProof/>
          <w:sz w:val="22"/>
        </w:rPr>
        <w:t>souscripteur</w:t>
      </w:r>
      <w:r>
        <w:rPr>
          <w:noProof/>
          <w:sz w:val="22"/>
        </w:rPr>
        <w:t xml:space="preserve"> peut dénoncer sa </w:t>
      </w:r>
      <w:r>
        <w:rPr>
          <w:b/>
          <w:bCs/>
          <w:noProof/>
          <w:sz w:val="22"/>
        </w:rPr>
        <w:t>souscription</w:t>
      </w:r>
      <w:r>
        <w:rPr>
          <w:noProof/>
          <w:sz w:val="22"/>
        </w:rPr>
        <w:t xml:space="preserve"> sous réserve d’un préavis de six mois communiqué par écrit à l’</w:t>
      </w:r>
      <w:r>
        <w:rPr>
          <w:b/>
          <w:bCs/>
          <w:noProof/>
          <w:sz w:val="22"/>
        </w:rPr>
        <w:t>organe directeur</w:t>
      </w:r>
      <w:r>
        <w:rPr>
          <w:noProof/>
          <w:sz w:val="22"/>
        </w:rPr>
        <w:t xml:space="preserve"> par l’intermédiaire de son secrétaire, au plus tôt dix ans à compter de la date à laquelle la </w:t>
      </w:r>
      <w:r>
        <w:rPr>
          <w:b/>
          <w:bCs/>
          <w:noProof/>
          <w:sz w:val="22"/>
        </w:rPr>
        <w:t>souscription</w:t>
      </w:r>
      <w:r>
        <w:rPr>
          <w:noProof/>
          <w:sz w:val="22"/>
        </w:rPr>
        <w:t xml:space="preserve"> a pris effet. </w:t>
      </w:r>
    </w:p>
    <w:p>
      <w:pPr>
        <w:pStyle w:val="Point0"/>
        <w:rPr>
          <w:noProof/>
          <w:sz w:val="22"/>
        </w:rPr>
      </w:pPr>
      <w:r>
        <w:rPr>
          <w:noProof/>
          <w:sz w:val="22"/>
        </w:rPr>
        <w:t>4.3</w:t>
      </w:r>
      <w:r>
        <w:rPr>
          <w:noProof/>
          <w:sz w:val="22"/>
        </w:rPr>
        <w:tab/>
        <w:t xml:space="preserve">Après dénonciation de sa </w:t>
      </w:r>
      <w:r>
        <w:rPr>
          <w:b/>
          <w:bCs/>
          <w:noProof/>
          <w:sz w:val="22"/>
        </w:rPr>
        <w:t>souscription</w:t>
      </w:r>
      <w:r>
        <w:rPr>
          <w:noProof/>
          <w:sz w:val="22"/>
        </w:rPr>
        <w:t xml:space="preserve">, le souscripteur n’est plus autorisé à utiliser le </w:t>
      </w:r>
      <w:r>
        <w:rPr>
          <w:b/>
          <w:bCs/>
          <w:noProof/>
          <w:sz w:val="22"/>
        </w:rPr>
        <w:t>matériel</w:t>
      </w:r>
      <w:r>
        <w:rPr>
          <w:noProof/>
          <w:sz w:val="22"/>
        </w:rPr>
        <w:t>.</w:t>
      </w:r>
      <w:r>
        <w:rPr>
          <w:b/>
          <w:noProof/>
          <w:sz w:val="22"/>
        </w:rPr>
        <w:t xml:space="preserve"> </w:t>
      </w:r>
      <w:r>
        <w:rPr>
          <w:noProof/>
          <w:sz w:val="22"/>
        </w:rPr>
        <w:t xml:space="preserve">Le souscripteur peut conserver le matériel et le rendre disponible dans le cadre du système multilatéral conformément aux dispositions de l’article 6.3. Il peut également proposer au </w:t>
      </w:r>
      <w:r>
        <w:rPr>
          <w:b/>
          <w:bCs/>
          <w:noProof/>
          <w:sz w:val="22"/>
        </w:rPr>
        <w:t>fournisseur</w:t>
      </w:r>
      <w:r>
        <w:rPr>
          <w:noProof/>
          <w:sz w:val="22"/>
        </w:rPr>
        <w:t xml:space="preserve"> de lui restituer tout matériel encore en sa possession. Si ce n’est pas possible ou si le </w:t>
      </w:r>
      <w:r>
        <w:rPr>
          <w:b/>
          <w:bCs/>
          <w:noProof/>
          <w:sz w:val="22"/>
        </w:rPr>
        <w:t>fournisseur</w:t>
      </w:r>
      <w:r>
        <w:rPr>
          <w:noProof/>
          <w:sz w:val="22"/>
        </w:rPr>
        <w:t xml:space="preserve"> décline la proposition de restitution du </w:t>
      </w:r>
      <w:r>
        <w:rPr>
          <w:b/>
          <w:noProof/>
          <w:sz w:val="22"/>
        </w:rPr>
        <w:t>matériel</w:t>
      </w:r>
      <w:r>
        <w:rPr>
          <w:noProof/>
          <w:sz w:val="22"/>
        </w:rPr>
        <w:t xml:space="preserve">, le </w:t>
      </w:r>
      <w:r>
        <w:rPr>
          <w:b/>
          <w:bCs/>
          <w:noProof/>
          <w:sz w:val="22"/>
        </w:rPr>
        <w:t>souscripteur</w:t>
      </w:r>
      <w:r>
        <w:rPr>
          <w:noProof/>
          <w:sz w:val="22"/>
        </w:rPr>
        <w:t xml:space="preserve"> doit proposer de transférer le matériel à une institution internationale qui a signé un accord avec l’</w:t>
      </w:r>
      <w:r>
        <w:rPr>
          <w:b/>
          <w:bCs/>
          <w:noProof/>
          <w:sz w:val="22"/>
        </w:rPr>
        <w:t>organe directeur</w:t>
      </w:r>
      <w:r>
        <w:rPr>
          <w:noProof/>
          <w:sz w:val="22"/>
        </w:rPr>
        <w:t xml:space="preserve"> en vertu de l’article 15 du </w:t>
      </w:r>
      <w:r>
        <w:rPr>
          <w:b/>
          <w:bCs/>
          <w:noProof/>
          <w:sz w:val="22"/>
        </w:rPr>
        <w:t>traité</w:t>
      </w:r>
      <w:r>
        <w:rPr>
          <w:noProof/>
          <w:sz w:val="22"/>
        </w:rPr>
        <w:t xml:space="preserve"> ou à toute autre banque de gènes qui opère conformément aux conditions du système multilatéral. Si la proposition est refusée ou si le transfert ne peut se faire, il est possible, en dernier recours, de détruire le matériel, des preuves de sa destruction devant être remises à la tierce partie bénéficiaire. </w:t>
      </w:r>
    </w:p>
    <w:p>
      <w:pPr>
        <w:pStyle w:val="Point0"/>
        <w:rPr>
          <w:noProof/>
          <w:sz w:val="22"/>
        </w:rPr>
      </w:pPr>
      <w:r>
        <w:rPr>
          <w:noProof/>
          <w:sz w:val="22"/>
        </w:rPr>
        <w:t>4.4</w:t>
      </w:r>
      <w:r>
        <w:rPr>
          <w:noProof/>
          <w:sz w:val="22"/>
        </w:rPr>
        <w:tab/>
        <w:t xml:space="preserve">Les dispositions monétaires de l’article 3 de ces </w:t>
      </w:r>
      <w:r>
        <w:rPr>
          <w:b/>
          <w:bCs/>
          <w:noProof/>
          <w:sz w:val="22"/>
        </w:rPr>
        <w:t>conditions de souscription</w:t>
      </w:r>
      <w:r>
        <w:rPr>
          <w:noProof/>
          <w:sz w:val="22"/>
        </w:rPr>
        <w:t xml:space="preserve"> sont maintenues pendant deux ans à compter de la fin de la </w:t>
      </w:r>
      <w:r>
        <w:rPr>
          <w:b/>
          <w:bCs/>
          <w:noProof/>
          <w:sz w:val="22"/>
        </w:rPr>
        <w:t>souscription</w:t>
      </w:r>
      <w:r>
        <w:rPr>
          <w:noProof/>
          <w:sz w:val="22"/>
        </w:rPr>
        <w:t xml:space="preserve">. Nonobstant ce qui précède, seules les dispositions des articles 4, 6.1, 6.2, 6.3, 6.4, 6.9 et 8 du </w:t>
      </w:r>
      <w:r>
        <w:rPr>
          <w:b/>
          <w:bCs/>
          <w:noProof/>
          <w:sz w:val="22"/>
        </w:rPr>
        <w:t>présent accord</w:t>
      </w:r>
      <w:r>
        <w:rPr>
          <w:noProof/>
          <w:sz w:val="22"/>
        </w:rPr>
        <w:t xml:space="preserve"> restent applicables après la fin de la </w:t>
      </w:r>
      <w:r>
        <w:rPr>
          <w:b/>
          <w:bCs/>
          <w:noProof/>
          <w:sz w:val="22"/>
        </w:rPr>
        <w:t>souscription</w:t>
      </w:r>
      <w:r>
        <w:rPr>
          <w:noProof/>
          <w:sz w:val="22"/>
        </w:rPr>
        <w:t>.</w:t>
      </w:r>
    </w:p>
    <w:p>
      <w:pPr>
        <w:pStyle w:val="Point0"/>
        <w:rPr>
          <w:noProof/>
          <w:sz w:val="22"/>
        </w:rPr>
      </w:pPr>
      <w:r>
        <w:rPr>
          <w:noProof/>
          <w:sz w:val="22"/>
        </w:rPr>
        <w:t>4.5</w:t>
      </w:r>
      <w:r>
        <w:rPr>
          <w:noProof/>
          <w:sz w:val="22"/>
        </w:rPr>
        <w:tab/>
        <w:t xml:space="preserve">En cas de violation substantielle de l’une quelconque des obligations du </w:t>
      </w:r>
      <w:r>
        <w:rPr>
          <w:b/>
          <w:bCs/>
          <w:noProof/>
          <w:sz w:val="22"/>
        </w:rPr>
        <w:t>souscripteur</w:t>
      </w:r>
      <w:r>
        <w:rPr>
          <w:noProof/>
          <w:sz w:val="22"/>
        </w:rPr>
        <w:t xml:space="preserve">, la tierce partie bénéficiaire en informe le </w:t>
      </w:r>
      <w:r>
        <w:rPr>
          <w:b/>
          <w:bCs/>
          <w:noProof/>
          <w:sz w:val="22"/>
        </w:rPr>
        <w:t>souscripteur</w:t>
      </w:r>
      <w:r>
        <w:rPr>
          <w:noProof/>
          <w:sz w:val="22"/>
        </w:rPr>
        <w:t xml:space="preserve"> par écrit. S’il n’y est pas porté remède dans un délai de trente (30) jours à compter de la notification, la tierce partie bénéficiaire a le droit de lancer la procédure de règlement des différends conformément aux dispositions de l’article 8 du </w:t>
      </w:r>
      <w:r>
        <w:rPr>
          <w:b/>
          <w:bCs/>
          <w:noProof/>
          <w:sz w:val="22"/>
        </w:rPr>
        <w:t>présent accord</w:t>
      </w:r>
      <w:r>
        <w:rPr>
          <w:noProof/>
          <w:sz w:val="22"/>
        </w:rPr>
        <w:t xml:space="preserve">. Si le différend n’est pas résolu de façon satisfaisante dans les six mois, la tierce partie bénéficiaire peut résilier la </w:t>
      </w:r>
      <w:r>
        <w:rPr>
          <w:b/>
          <w:bCs/>
          <w:noProof/>
          <w:sz w:val="22"/>
        </w:rPr>
        <w:t>souscription</w:t>
      </w:r>
      <w:r>
        <w:rPr>
          <w:noProof/>
          <w:sz w:val="22"/>
        </w:rPr>
        <w:t xml:space="preserve"> et réclamer le versement de dommages et intérêts, le cas échéant. La tierce partie bénéficiaire peut décider que le </w:t>
      </w:r>
      <w:r>
        <w:rPr>
          <w:b/>
          <w:bCs/>
          <w:noProof/>
          <w:sz w:val="22"/>
        </w:rPr>
        <w:t>souscripteur</w:t>
      </w:r>
      <w:r>
        <w:rPr>
          <w:noProof/>
          <w:sz w:val="22"/>
        </w:rPr>
        <w:t xml:space="preserve"> n’aura pas le droit d’opter pour le </w:t>
      </w:r>
      <w:r>
        <w:rPr>
          <w:b/>
          <w:bCs/>
          <w:noProof/>
          <w:sz w:val="22"/>
        </w:rPr>
        <w:t>système de souscription</w:t>
      </w:r>
      <w:r>
        <w:rPr>
          <w:noProof/>
          <w:sz w:val="22"/>
        </w:rPr>
        <w:t xml:space="preserve"> dans tout accord type de transfert de matériel qu’il signerait à l’avenir, jusqu’à ce que l’</w:t>
      </w:r>
      <w:r>
        <w:rPr>
          <w:b/>
          <w:bCs/>
          <w:noProof/>
          <w:sz w:val="22"/>
        </w:rPr>
        <w:t>organe directeur</w:t>
      </w:r>
      <w:r>
        <w:rPr>
          <w:noProof/>
          <w:sz w:val="22"/>
        </w:rPr>
        <w:t xml:space="preserve"> en décide autrement. La tierce partie bénéficiaire porte la question à l’attention de la session suivante de l’</w:t>
      </w:r>
      <w:r>
        <w:rPr>
          <w:b/>
          <w:bCs/>
          <w:noProof/>
          <w:sz w:val="22"/>
        </w:rPr>
        <w:t>organe directeur</w:t>
      </w:r>
      <w:r>
        <w:rPr>
          <w:noProof/>
          <w:sz w:val="22"/>
        </w:rPr>
        <w:t>.</w:t>
      </w:r>
    </w:p>
    <w:p>
      <w:pPr>
        <w:widowControl w:val="0"/>
        <w:autoSpaceDE w:val="0"/>
        <w:autoSpaceDN w:val="0"/>
        <w:adjustRightInd w:val="0"/>
        <w:spacing w:before="0" w:after="200" w:line="276" w:lineRule="auto"/>
        <w:jc w:val="left"/>
        <w:rPr>
          <w:noProof/>
          <w:sz w:val="22"/>
        </w:rPr>
      </w:pPr>
    </w:p>
    <w:p>
      <w:pPr>
        <w:spacing w:before="0" w:after="200" w:line="276" w:lineRule="auto"/>
        <w:jc w:val="left"/>
        <w:rPr>
          <w:noProof/>
          <w:sz w:val="22"/>
        </w:rPr>
      </w:pPr>
      <w:r>
        <w:rPr>
          <w:noProof/>
        </w:rPr>
        <w:br w:type="page"/>
      </w:r>
    </w:p>
    <w:p>
      <w:pPr>
        <w:pBdr>
          <w:top w:val="single" w:sz="4" w:space="1" w:color="auto"/>
          <w:bottom w:val="single" w:sz="4" w:space="1" w:color="auto"/>
        </w:pBdr>
        <w:spacing w:before="0" w:after="200" w:line="276" w:lineRule="auto"/>
        <w:jc w:val="center"/>
        <w:rPr>
          <w:b/>
          <w:i/>
          <w:noProof/>
          <w:sz w:val="22"/>
        </w:rPr>
      </w:pPr>
    </w:p>
    <w:p>
      <w:pPr>
        <w:pBdr>
          <w:top w:val="single" w:sz="4" w:space="1" w:color="auto"/>
          <w:bottom w:val="single" w:sz="4" w:space="1" w:color="auto"/>
        </w:pBdr>
        <w:spacing w:before="0" w:after="200" w:line="276" w:lineRule="auto"/>
        <w:jc w:val="center"/>
        <w:outlineLvl w:val="0"/>
        <w:rPr>
          <w:b/>
          <w:i/>
          <w:noProof/>
          <w:sz w:val="22"/>
        </w:rPr>
      </w:pPr>
      <w:r>
        <w:rPr>
          <w:b/>
          <w:i/>
          <w:noProof/>
          <w:sz w:val="22"/>
        </w:rPr>
        <w:t xml:space="preserve">Annexe 4 </w:t>
      </w:r>
    </w:p>
    <w:p>
      <w:pPr>
        <w:pBdr>
          <w:top w:val="single" w:sz="4" w:space="1" w:color="auto"/>
          <w:bottom w:val="single" w:sz="4" w:space="1" w:color="auto"/>
        </w:pBdr>
        <w:spacing w:before="0" w:after="200" w:line="276" w:lineRule="auto"/>
        <w:jc w:val="center"/>
        <w:rPr>
          <w:b/>
          <w:i/>
          <w:noProof/>
          <w:sz w:val="22"/>
        </w:rPr>
      </w:pPr>
    </w:p>
    <w:p>
      <w:pPr>
        <w:spacing w:before="0" w:after="200" w:line="276" w:lineRule="auto"/>
        <w:jc w:val="left"/>
        <w:rPr>
          <w:b/>
          <w:i/>
          <w:strike/>
          <w:noProof/>
          <w:sz w:val="22"/>
        </w:rPr>
      </w:pPr>
    </w:p>
    <w:p>
      <w:pPr>
        <w:spacing w:before="200" w:after="200" w:line="276" w:lineRule="auto"/>
        <w:jc w:val="center"/>
        <w:outlineLvl w:val="0"/>
        <w:rPr>
          <w:caps/>
          <w:noProof/>
          <w:sz w:val="22"/>
        </w:rPr>
      </w:pPr>
      <w:r>
        <w:rPr>
          <w:b/>
          <w:caps/>
          <w:noProof/>
          <w:sz w:val="22"/>
        </w:rPr>
        <w:t>Formulaire d’inscription</w:t>
      </w:r>
    </w:p>
    <w:p>
      <w:pPr>
        <w:spacing w:before="200" w:after="200" w:line="276" w:lineRule="auto"/>
        <w:rPr>
          <w:b/>
          <w:noProof/>
          <w:sz w:val="22"/>
        </w:rPr>
      </w:pPr>
      <w:r>
        <w:rPr>
          <w:noProof/>
          <w:sz w:val="22"/>
        </w:rPr>
        <w:t xml:space="preserve">Le </w:t>
      </w:r>
      <w:r>
        <w:rPr>
          <w:b/>
          <w:bCs/>
          <w:noProof/>
          <w:sz w:val="22"/>
        </w:rPr>
        <w:t>bénéficiaire</w:t>
      </w:r>
      <w:r>
        <w:rPr>
          <w:noProof/>
          <w:sz w:val="22"/>
        </w:rPr>
        <w:t xml:space="preserve"> déclare opter pour le </w:t>
      </w:r>
      <w:r>
        <w:rPr>
          <w:b/>
          <w:bCs/>
          <w:noProof/>
          <w:sz w:val="22"/>
        </w:rPr>
        <w:t>système de</w:t>
      </w:r>
      <w:r>
        <w:rPr>
          <w:noProof/>
          <w:sz w:val="22"/>
        </w:rPr>
        <w:t xml:space="preserve"> </w:t>
      </w:r>
      <w:r>
        <w:rPr>
          <w:b/>
          <w:bCs/>
          <w:noProof/>
          <w:sz w:val="22"/>
        </w:rPr>
        <w:t>souscription</w:t>
      </w:r>
      <w:r>
        <w:rPr>
          <w:noProof/>
          <w:sz w:val="22"/>
        </w:rPr>
        <w:t xml:space="preserve">, conformément aux dispositions de l’article 6.11 du </w:t>
      </w:r>
      <w:r>
        <w:rPr>
          <w:b/>
          <w:bCs/>
          <w:noProof/>
          <w:sz w:val="22"/>
        </w:rPr>
        <w:t>présent accord</w:t>
      </w:r>
      <w:r>
        <w:rPr>
          <w:noProof/>
          <w:sz w:val="22"/>
        </w:rPr>
        <w:t>.</w:t>
      </w:r>
    </w:p>
    <w:p>
      <w:pPr>
        <w:spacing w:before="200" w:after="200" w:line="276" w:lineRule="auto"/>
        <w:rPr>
          <w:noProof/>
          <w:sz w:val="22"/>
        </w:rPr>
      </w:pPr>
      <w:r>
        <w:rPr>
          <w:noProof/>
          <w:sz w:val="22"/>
        </w:rPr>
        <w:t xml:space="preserve">Il est entendu et expressément convenu que le nom complet du </w:t>
      </w:r>
      <w:r>
        <w:rPr>
          <w:b/>
          <w:bCs/>
          <w:noProof/>
          <w:sz w:val="22"/>
        </w:rPr>
        <w:t>bénéficiaire</w:t>
      </w:r>
      <w:r>
        <w:rPr>
          <w:noProof/>
          <w:sz w:val="22"/>
        </w:rPr>
        <w:t xml:space="preserve">, ses coordonnées et la date de prise d’effet de la </w:t>
      </w:r>
      <w:r>
        <w:rPr>
          <w:b/>
          <w:bCs/>
          <w:noProof/>
          <w:sz w:val="22"/>
        </w:rPr>
        <w:t>souscription</w:t>
      </w:r>
      <w:r>
        <w:rPr>
          <w:noProof/>
          <w:sz w:val="22"/>
        </w:rPr>
        <w:t xml:space="preserve"> figurent dans un registre des </w:t>
      </w:r>
      <w:r>
        <w:rPr>
          <w:b/>
          <w:bCs/>
          <w:noProof/>
          <w:sz w:val="22"/>
        </w:rPr>
        <w:t>souscripteurs</w:t>
      </w:r>
      <w:r>
        <w:rPr>
          <w:noProof/>
          <w:sz w:val="22"/>
        </w:rPr>
        <w:t xml:space="preserve"> accessible au public (ci-après le «</w:t>
      </w:r>
      <w:r>
        <w:rPr>
          <w:b/>
          <w:bCs/>
          <w:noProof/>
          <w:sz w:val="22"/>
        </w:rPr>
        <w:t>registre</w:t>
      </w:r>
      <w:r>
        <w:rPr>
          <w:noProof/>
          <w:sz w:val="22"/>
        </w:rPr>
        <w:t>»), et que toute modification de ces informations est immédiatement communiquée à l’</w:t>
      </w:r>
      <w:r>
        <w:rPr>
          <w:b/>
          <w:bCs/>
          <w:noProof/>
          <w:sz w:val="22"/>
        </w:rPr>
        <w:t>organe directeur</w:t>
      </w:r>
      <w:r>
        <w:rPr>
          <w:noProof/>
          <w:sz w:val="22"/>
        </w:rPr>
        <w:t xml:space="preserve"> du </w:t>
      </w:r>
      <w:r>
        <w:rPr>
          <w:b/>
          <w:bCs/>
          <w:noProof/>
          <w:sz w:val="22"/>
        </w:rPr>
        <w:t>traité</w:t>
      </w:r>
      <w:r>
        <w:rPr>
          <w:noProof/>
          <w:sz w:val="22"/>
        </w:rPr>
        <w:t xml:space="preserve">, par l’intermédiaire de son secrétaire, par le </w:t>
      </w:r>
      <w:r>
        <w:rPr>
          <w:b/>
          <w:bCs/>
          <w:noProof/>
          <w:sz w:val="22"/>
        </w:rPr>
        <w:t>bénéficiaire</w:t>
      </w:r>
      <w:r>
        <w:rPr>
          <w:noProof/>
          <w:sz w:val="22"/>
        </w:rPr>
        <w:t xml:space="preserve"> ou son responsable autorisé.</w:t>
      </w:r>
    </w:p>
    <w:p>
      <w:pPr>
        <w:spacing w:before="200" w:after="200" w:line="276" w:lineRule="auto"/>
        <w:jc w:val="left"/>
        <w:rPr>
          <w:noProof/>
          <w:sz w:val="22"/>
        </w:rPr>
      </w:pPr>
    </w:p>
    <w:p>
      <w:pPr>
        <w:tabs>
          <w:tab w:val="left" w:pos="1276"/>
          <w:tab w:val="left" w:pos="5103"/>
        </w:tabs>
        <w:spacing w:before="0" w:after="200" w:line="276" w:lineRule="auto"/>
        <w:jc w:val="left"/>
        <w:rPr>
          <w:noProof/>
          <w:sz w:val="22"/>
        </w:rPr>
      </w:pPr>
      <w:r>
        <w:rPr>
          <w:noProof/>
          <w:sz w:val="22"/>
        </w:rPr>
        <w:t>Signature………………………………………….</w:t>
      </w:r>
      <w:r>
        <w:rPr>
          <w:noProof/>
          <w:sz w:val="22"/>
        </w:rPr>
        <w:tab/>
        <w:t>Date…………………………………………</w:t>
      </w:r>
    </w:p>
    <w:p>
      <w:pPr>
        <w:tabs>
          <w:tab w:val="left" w:pos="2835"/>
        </w:tabs>
        <w:spacing w:before="0" w:after="200" w:line="276" w:lineRule="auto"/>
        <w:jc w:val="left"/>
        <w:rPr>
          <w:i/>
          <w:noProof/>
          <w:sz w:val="22"/>
        </w:rPr>
      </w:pPr>
    </w:p>
    <w:p>
      <w:pPr>
        <w:tabs>
          <w:tab w:val="left" w:pos="2835"/>
        </w:tabs>
        <w:spacing w:before="0" w:after="200" w:line="276" w:lineRule="auto"/>
        <w:jc w:val="left"/>
        <w:rPr>
          <w:noProof/>
          <w:sz w:val="22"/>
        </w:rPr>
      </w:pPr>
      <w:r>
        <w:rPr>
          <w:i/>
          <w:noProof/>
          <w:sz w:val="22"/>
        </w:rPr>
        <w:t xml:space="preserve">Nom complet du </w:t>
      </w:r>
      <w:r>
        <w:rPr>
          <w:b/>
          <w:i/>
          <w:noProof/>
          <w:sz w:val="22"/>
        </w:rPr>
        <w:t>bénéficiaire</w:t>
      </w:r>
      <w:r>
        <w:rPr>
          <w:noProof/>
          <w:sz w:val="22"/>
        </w:rPr>
        <w:t xml:space="preserve">: </w:t>
      </w:r>
      <w:r>
        <w:rPr>
          <w:noProof/>
          <w:sz w:val="22"/>
        </w:rPr>
        <w:tab/>
        <w:t>……………………………………......</w:t>
      </w:r>
    </w:p>
    <w:p>
      <w:pPr>
        <w:tabs>
          <w:tab w:val="left" w:pos="2835"/>
        </w:tabs>
        <w:spacing w:before="0" w:after="200" w:line="276" w:lineRule="auto"/>
        <w:jc w:val="left"/>
        <w:rPr>
          <w:noProof/>
          <w:sz w:val="22"/>
        </w:rPr>
      </w:pPr>
      <w:r>
        <w:rPr>
          <w:noProof/>
          <w:sz w:val="22"/>
        </w:rPr>
        <w:tab/>
        <w:t>................................................</w:t>
      </w:r>
    </w:p>
    <w:p>
      <w:pPr>
        <w:tabs>
          <w:tab w:val="left" w:pos="2835"/>
        </w:tabs>
        <w:spacing w:before="0" w:after="200" w:line="276" w:lineRule="auto"/>
        <w:jc w:val="left"/>
        <w:rPr>
          <w:noProof/>
          <w:sz w:val="22"/>
        </w:rPr>
      </w:pPr>
      <w:r>
        <w:rPr>
          <w:noProof/>
          <w:sz w:val="22"/>
        </w:rPr>
        <w:t xml:space="preserve">Adresse: </w:t>
      </w:r>
      <w:r>
        <w:rPr>
          <w:noProof/>
          <w:sz w:val="22"/>
        </w:rPr>
        <w:tab/>
        <w:t>……………………………………......</w:t>
      </w:r>
    </w:p>
    <w:p>
      <w:pPr>
        <w:tabs>
          <w:tab w:val="left" w:pos="2835"/>
        </w:tabs>
        <w:spacing w:before="0" w:after="200" w:line="276" w:lineRule="auto"/>
        <w:jc w:val="left"/>
        <w:rPr>
          <w:noProof/>
          <w:sz w:val="22"/>
        </w:rPr>
      </w:pPr>
      <w:r>
        <w:rPr>
          <w:noProof/>
          <w:sz w:val="22"/>
        </w:rPr>
        <w:tab/>
        <w:t>................................................</w:t>
      </w:r>
    </w:p>
    <w:p>
      <w:pPr>
        <w:tabs>
          <w:tab w:val="left" w:pos="2835"/>
        </w:tabs>
        <w:spacing w:before="0" w:after="200" w:line="276" w:lineRule="auto"/>
        <w:jc w:val="left"/>
        <w:rPr>
          <w:noProof/>
          <w:sz w:val="22"/>
        </w:rPr>
      </w:pPr>
      <w:r>
        <w:rPr>
          <w:noProof/>
          <w:sz w:val="22"/>
        </w:rPr>
        <w:tab/>
        <w:t>................................................</w:t>
      </w:r>
    </w:p>
    <w:p>
      <w:pPr>
        <w:tabs>
          <w:tab w:val="right" w:pos="8647"/>
        </w:tabs>
        <w:spacing w:before="0" w:after="200" w:line="276" w:lineRule="auto"/>
        <w:jc w:val="left"/>
        <w:rPr>
          <w:noProof/>
          <w:sz w:val="22"/>
        </w:rPr>
      </w:pPr>
      <w:r>
        <w:rPr>
          <w:noProof/>
          <w:sz w:val="22"/>
        </w:rPr>
        <w:t>Téléphone: ………………………………………...</w:t>
      </w:r>
      <w:r>
        <w:rPr>
          <w:noProof/>
          <w:sz w:val="22"/>
        </w:rPr>
        <w:tab/>
        <w:t>Courriel: ………………………………………...</w:t>
      </w:r>
    </w:p>
    <w:p>
      <w:pPr>
        <w:tabs>
          <w:tab w:val="left" w:pos="2835"/>
          <w:tab w:val="right" w:pos="8647"/>
        </w:tabs>
        <w:spacing w:before="0" w:after="200" w:line="276" w:lineRule="auto"/>
        <w:jc w:val="left"/>
        <w:rPr>
          <w:b/>
          <w:i/>
          <w:noProof/>
          <w:sz w:val="22"/>
        </w:rPr>
      </w:pPr>
    </w:p>
    <w:p>
      <w:pPr>
        <w:tabs>
          <w:tab w:val="left" w:pos="2835"/>
          <w:tab w:val="right" w:pos="8647"/>
        </w:tabs>
        <w:spacing w:before="0" w:after="200" w:line="276" w:lineRule="auto"/>
        <w:jc w:val="left"/>
        <w:rPr>
          <w:noProof/>
          <w:sz w:val="22"/>
        </w:rPr>
      </w:pPr>
      <w:r>
        <w:rPr>
          <w:i/>
          <w:noProof/>
          <w:sz w:val="22"/>
        </w:rPr>
        <w:t xml:space="preserve">Responsable autorisé du </w:t>
      </w:r>
      <w:r>
        <w:rPr>
          <w:b/>
          <w:i/>
          <w:noProof/>
          <w:sz w:val="22"/>
        </w:rPr>
        <w:t>bénéficiaire</w:t>
      </w:r>
      <w:r>
        <w:rPr>
          <w:i/>
          <w:noProof/>
          <w:sz w:val="22"/>
        </w:rPr>
        <w:t>:</w:t>
      </w:r>
      <w:r>
        <w:rPr>
          <w:noProof/>
          <w:sz w:val="22"/>
        </w:rPr>
        <w:tab/>
        <w:t>………………………………………...</w:t>
      </w:r>
    </w:p>
    <w:p>
      <w:pPr>
        <w:tabs>
          <w:tab w:val="left" w:pos="2835"/>
          <w:tab w:val="right" w:pos="8647"/>
        </w:tabs>
        <w:spacing w:before="0" w:after="200" w:line="276" w:lineRule="auto"/>
        <w:jc w:val="left"/>
        <w:rPr>
          <w:noProof/>
          <w:sz w:val="22"/>
        </w:rPr>
      </w:pPr>
      <w:r>
        <w:rPr>
          <w:noProof/>
          <w:sz w:val="22"/>
        </w:rPr>
        <w:tab/>
        <w:t>................................................</w:t>
      </w:r>
    </w:p>
    <w:p>
      <w:pPr>
        <w:tabs>
          <w:tab w:val="left" w:pos="2835"/>
          <w:tab w:val="right" w:pos="8647"/>
        </w:tabs>
        <w:spacing w:before="0" w:after="200" w:line="276" w:lineRule="auto"/>
        <w:jc w:val="left"/>
        <w:rPr>
          <w:noProof/>
          <w:sz w:val="22"/>
        </w:rPr>
      </w:pPr>
      <w:r>
        <w:rPr>
          <w:noProof/>
          <w:sz w:val="22"/>
        </w:rPr>
        <w:t>Adresse:</w:t>
      </w:r>
      <w:r>
        <w:rPr>
          <w:noProof/>
          <w:sz w:val="22"/>
        </w:rPr>
        <w:tab/>
        <w:t>………………………………………...</w:t>
      </w:r>
    </w:p>
    <w:p>
      <w:pPr>
        <w:tabs>
          <w:tab w:val="left" w:pos="2835"/>
          <w:tab w:val="right" w:pos="8647"/>
        </w:tabs>
        <w:spacing w:before="0" w:after="200" w:line="276" w:lineRule="auto"/>
        <w:jc w:val="left"/>
        <w:rPr>
          <w:noProof/>
          <w:sz w:val="22"/>
        </w:rPr>
      </w:pPr>
      <w:r>
        <w:rPr>
          <w:noProof/>
          <w:sz w:val="22"/>
        </w:rPr>
        <w:tab/>
        <w:t>................................................</w:t>
      </w:r>
    </w:p>
    <w:p>
      <w:pPr>
        <w:tabs>
          <w:tab w:val="right" w:pos="8647"/>
        </w:tabs>
        <w:spacing w:before="0" w:after="200" w:line="276" w:lineRule="auto"/>
        <w:jc w:val="left"/>
        <w:rPr>
          <w:noProof/>
          <w:sz w:val="22"/>
        </w:rPr>
      </w:pPr>
      <w:r>
        <w:rPr>
          <w:noProof/>
          <w:sz w:val="22"/>
        </w:rPr>
        <w:t>Téléphone: ………………………………………...</w:t>
      </w:r>
      <w:r>
        <w:rPr>
          <w:noProof/>
          <w:sz w:val="22"/>
        </w:rPr>
        <w:tab/>
        <w:t>Courriel: ………………………………………...</w:t>
      </w:r>
    </w:p>
    <w:p>
      <w:pPr>
        <w:tabs>
          <w:tab w:val="right" w:pos="8647"/>
        </w:tabs>
        <w:spacing w:before="0" w:after="200" w:line="276" w:lineRule="auto"/>
        <w:jc w:val="left"/>
        <w:rPr>
          <w:noProof/>
          <w:sz w:val="22"/>
        </w:rPr>
      </w:pPr>
    </w:p>
    <w:p>
      <w:pPr>
        <w:tabs>
          <w:tab w:val="right" w:pos="8647"/>
        </w:tabs>
        <w:spacing w:before="0" w:after="200" w:line="276" w:lineRule="auto"/>
        <w:rPr>
          <w:noProof/>
          <w:sz w:val="22"/>
        </w:rPr>
      </w:pPr>
      <w:r>
        <w:rPr>
          <w:noProof/>
          <w:sz w:val="22"/>
        </w:rPr>
        <w:t xml:space="preserve">NB: Le </w:t>
      </w:r>
      <w:r>
        <w:rPr>
          <w:b/>
          <w:bCs/>
          <w:noProof/>
          <w:sz w:val="22"/>
        </w:rPr>
        <w:t>souscripteur</w:t>
      </w:r>
      <w:r>
        <w:rPr>
          <w:noProof/>
          <w:sz w:val="22"/>
        </w:rPr>
        <w:t xml:space="preserve"> doit aussi signer ou accepter le </w:t>
      </w:r>
      <w:r>
        <w:rPr>
          <w:b/>
          <w:bCs/>
          <w:noProof/>
          <w:sz w:val="22"/>
        </w:rPr>
        <w:t>présent accord</w:t>
      </w:r>
      <w:r>
        <w:rPr>
          <w:noProof/>
          <w:sz w:val="22"/>
        </w:rPr>
        <w:t>, conformément aux dispositions de l’article 10, faute de quoi l’</w:t>
      </w:r>
      <w:r>
        <w:rPr>
          <w:b/>
          <w:bCs/>
          <w:noProof/>
          <w:sz w:val="22"/>
        </w:rPr>
        <w:t>inscription</w:t>
      </w:r>
      <w:r>
        <w:rPr>
          <w:noProof/>
          <w:sz w:val="22"/>
        </w:rPr>
        <w:t xml:space="preserve"> est sans effet.</w:t>
      </w:r>
    </w:p>
    <w:p>
      <w:pPr>
        <w:tabs>
          <w:tab w:val="right" w:pos="8647"/>
        </w:tabs>
        <w:spacing w:before="0" w:after="200" w:line="276" w:lineRule="auto"/>
        <w:rPr>
          <w:noProof/>
          <w:sz w:val="22"/>
        </w:rPr>
      </w:pPr>
      <w:r>
        <w:rPr>
          <w:noProof/>
          <w:sz w:val="22"/>
        </w:rPr>
        <w:t xml:space="preserve">Le </w:t>
      </w:r>
      <w:r>
        <w:rPr>
          <w:b/>
          <w:bCs/>
          <w:noProof/>
          <w:sz w:val="22"/>
        </w:rPr>
        <w:t>souscripteur</w:t>
      </w:r>
      <w:r>
        <w:rPr>
          <w:noProof/>
          <w:sz w:val="22"/>
        </w:rPr>
        <w:t xml:space="preserve"> doit signifier son acceptation en renvoyant un </w:t>
      </w:r>
      <w:r>
        <w:rPr>
          <w:b/>
          <w:bCs/>
          <w:noProof/>
          <w:sz w:val="22"/>
        </w:rPr>
        <w:t>formulaire d’inscription</w:t>
      </w:r>
      <w:r>
        <w:rPr>
          <w:noProof/>
          <w:sz w:val="22"/>
        </w:rPr>
        <w:t xml:space="preserve"> signé à l’organe directeur, par l’intermédiaire de son secrétaire, à l’adresse ci-après. Le </w:t>
      </w:r>
      <w:r>
        <w:rPr>
          <w:b/>
          <w:bCs/>
          <w:noProof/>
          <w:sz w:val="22"/>
        </w:rPr>
        <w:t>formulaire d’inscription</w:t>
      </w:r>
      <w:r>
        <w:rPr>
          <w:noProof/>
          <w:sz w:val="22"/>
        </w:rPr>
        <w:t xml:space="preserve"> signé doit être accompagné d’une copie du </w:t>
      </w:r>
      <w:r>
        <w:rPr>
          <w:b/>
          <w:bCs/>
          <w:noProof/>
          <w:sz w:val="22"/>
        </w:rPr>
        <w:t>présent accord</w:t>
      </w:r>
      <w:r>
        <w:rPr>
          <w:noProof/>
          <w:sz w:val="22"/>
        </w:rPr>
        <w:t>.</w:t>
      </w:r>
    </w:p>
    <w:p>
      <w:pPr>
        <w:spacing w:before="0" w:after="200" w:line="276" w:lineRule="auto"/>
        <w:jc w:val="left"/>
        <w:rPr>
          <w:strike/>
          <w:noProof/>
          <w:sz w:val="22"/>
        </w:rPr>
      </w:pPr>
    </w:p>
    <w:p>
      <w:pPr>
        <w:spacing w:before="0" w:after="200" w:line="276" w:lineRule="auto"/>
        <w:ind w:left="1440"/>
        <w:jc w:val="left"/>
        <w:rPr>
          <w:noProof/>
          <w:sz w:val="22"/>
        </w:rPr>
      </w:pPr>
      <w:r>
        <w:rPr>
          <w:noProof/>
          <w:sz w:val="22"/>
        </w:rPr>
        <w:t>Le Secrétaire,</w:t>
      </w:r>
    </w:p>
    <w:p>
      <w:pPr>
        <w:spacing w:before="0" w:after="200" w:line="276" w:lineRule="auto"/>
        <w:ind w:left="1440"/>
        <w:jc w:val="left"/>
        <w:rPr>
          <w:noProof/>
          <w:sz w:val="22"/>
        </w:rPr>
      </w:pPr>
      <w:r>
        <w:rPr>
          <w:noProof/>
          <w:sz w:val="22"/>
        </w:rPr>
        <w:t>Traité international sur les ressources phytogénétiques pour l’alimentation et l’agriculture</w:t>
      </w:r>
    </w:p>
    <w:p>
      <w:pPr>
        <w:spacing w:before="0" w:after="200" w:line="276" w:lineRule="auto"/>
        <w:ind w:left="1440"/>
        <w:jc w:val="left"/>
        <w:rPr>
          <w:noProof/>
          <w:sz w:val="22"/>
        </w:rPr>
      </w:pPr>
      <w:r>
        <w:rPr>
          <w:noProof/>
          <w:sz w:val="22"/>
        </w:rPr>
        <w:t>Organisation des Nations unies pour l’alimentation et l’agriculture</w:t>
      </w:r>
    </w:p>
    <w:p>
      <w:pPr>
        <w:rPr>
          <w:noProof/>
        </w:rPr>
      </w:pPr>
      <w:r>
        <w:rPr>
          <w:noProof/>
          <w:sz w:val="22"/>
        </w:rPr>
        <w:t>I-00153 Rome, Italie</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t>ANNEXE 2</w:t>
      </w:r>
    </w:p>
    <w:p>
      <w:pPr>
        <w:tabs>
          <w:tab w:val="left" w:pos="4252"/>
        </w:tabs>
        <w:spacing w:before="0" w:after="0" w:line="276" w:lineRule="auto"/>
        <w:jc w:val="center"/>
        <w:rPr>
          <w:b/>
          <w:noProof/>
          <w:szCs w:val="24"/>
        </w:rPr>
      </w:pPr>
      <w:r>
        <w:rPr>
          <w:b/>
          <w:noProof/>
        </w:rPr>
        <w:t xml:space="preserve">PROJET D’AMENDEMENT DE L’APPENDICE I AU TRAITÉ INTERNATIONAL SUR LES RESSOURCES PHYTOGÉNÉTIQUES POUR L’ALIMENTATION ET L’AGRICULTURE </w:t>
      </w:r>
    </w:p>
    <w:p>
      <w:pPr>
        <w:tabs>
          <w:tab w:val="left" w:pos="4252"/>
        </w:tabs>
        <w:spacing w:before="0" w:after="0" w:line="276" w:lineRule="auto"/>
        <w:jc w:val="left"/>
        <w:rPr>
          <w:noProof/>
          <w:szCs w:val="24"/>
        </w:rPr>
      </w:pPr>
    </w:p>
    <w:p>
      <w:pPr>
        <w:tabs>
          <w:tab w:val="left" w:pos="4252"/>
        </w:tabs>
        <w:spacing w:before="0" w:after="200" w:line="276" w:lineRule="auto"/>
        <w:jc w:val="center"/>
        <w:rPr>
          <w:noProof/>
          <w:szCs w:val="24"/>
        </w:rPr>
      </w:pPr>
      <w:r>
        <w:rPr>
          <w:i/>
          <w:noProof/>
        </w:rPr>
        <w:t>Article premier</w:t>
      </w:r>
    </w:p>
    <w:p>
      <w:pPr>
        <w:tabs>
          <w:tab w:val="left" w:pos="4252"/>
        </w:tabs>
        <w:spacing w:before="0" w:after="200" w:line="276" w:lineRule="auto"/>
        <w:jc w:val="center"/>
        <w:rPr>
          <w:noProof/>
          <w:szCs w:val="24"/>
        </w:rPr>
      </w:pPr>
      <w:r>
        <w:rPr>
          <w:noProof/>
        </w:rPr>
        <w:t>Amendement</w:t>
      </w:r>
    </w:p>
    <w:p>
      <w:pPr>
        <w:tabs>
          <w:tab w:val="left" w:pos="4252"/>
        </w:tabs>
        <w:spacing w:before="0" w:after="200" w:line="276" w:lineRule="auto"/>
        <w:rPr>
          <w:noProof/>
          <w:szCs w:val="24"/>
        </w:rPr>
      </w:pPr>
      <w:r>
        <w:rPr>
          <w:noProof/>
        </w:rPr>
        <w:t>Dans l’appendice I, les deux paragraphes suivants devront être ajoutés à la suite de la liste des espèces cultivées vivrières et fourragères:</w:t>
      </w:r>
    </w:p>
    <w:p>
      <w:pPr>
        <w:pStyle w:val="Point0"/>
        <w:rPr>
          <w:noProof/>
        </w:rPr>
      </w:pPr>
      <w:r>
        <w:rPr>
          <w:noProof/>
        </w:rPr>
        <w:t>«1.</w:t>
      </w:r>
      <w:r>
        <w:rPr>
          <w:noProof/>
        </w:rPr>
        <w:tab/>
        <w:t>Aux fins des objectifs et du champ d’application du présent traité, conformément à son article 3, et sans préjudice de son article 12.3, point h), le système multilatéral couvre, outre les espèces cultivées vivrières et fourragères énumérées dans la liste ci-dessus, toutes les autres ressources phytogénétiques pour l’alimentation et l’agriculture – y compris celles qui faisaient précédemment l’objet d’une exception ou d’une exclusion dans la liste ci-dessus –, qui sont gérées et administrées par les parties contractantes et relèvent du domaine public et qui sont conservées ex situ.»</w:t>
      </w:r>
    </w:p>
    <w:p>
      <w:pPr>
        <w:pStyle w:val="Point0"/>
        <w:rPr>
          <w:noProof/>
          <w:szCs w:val="24"/>
        </w:rPr>
      </w:pPr>
      <w:r>
        <w:rPr>
          <w:noProof/>
        </w:rPr>
        <w:t>«2.</w:t>
      </w:r>
      <w:r>
        <w:rPr>
          <w:noProof/>
        </w:rPr>
        <w:tab/>
        <w:t>Au moment où elle ratifie, accepte ou approuve le présent amendement, toute partie contractante peut, à titre exceptionnel, déclarer certaines espèces indigènes de son territoire, en nombre limité, qu’elle ne rendra pas disponibles selon les modalités du système multilatéral. Cette déclaration n’a pas d’incidence sur les droits et obligations de toute autre partie contractante en rapport avec les espèces visées ni sur ceux des centres internationaux de recherche agronomique ou d’autres institutions internationales ayant conclu un accord avec l’organe directeur au titre de l’article 15 du présent traité. Une partie contractante peut retirer sa déclaration à tout moment, ou retirer des ressources phytogénétiques pour l’alimentation et l’agriculture de sa liste à tout moment, mais ne peut faire aucune déclaration supplémentaire.»</w:t>
      </w:r>
    </w:p>
    <w:p>
      <w:pPr>
        <w:tabs>
          <w:tab w:val="left" w:pos="4252"/>
        </w:tabs>
        <w:spacing w:before="0" w:after="200" w:line="276" w:lineRule="auto"/>
        <w:jc w:val="center"/>
        <w:rPr>
          <w:noProof/>
          <w:szCs w:val="24"/>
        </w:rPr>
      </w:pPr>
      <w:r>
        <w:rPr>
          <w:i/>
          <w:noProof/>
        </w:rPr>
        <w:t>Article 2</w:t>
      </w:r>
    </w:p>
    <w:p>
      <w:pPr>
        <w:tabs>
          <w:tab w:val="left" w:pos="4252"/>
        </w:tabs>
        <w:spacing w:before="0" w:after="200" w:line="276" w:lineRule="auto"/>
        <w:jc w:val="center"/>
        <w:rPr>
          <w:noProof/>
          <w:szCs w:val="24"/>
        </w:rPr>
      </w:pPr>
      <w:r>
        <w:rPr>
          <w:noProof/>
        </w:rPr>
        <w:t>Rapport avec le traité international sur les ressources phytogénétiques pour l’alimentation et l’agriculture (2001)</w:t>
      </w:r>
    </w:p>
    <w:p>
      <w:pPr>
        <w:rPr>
          <w:noProof/>
        </w:rPr>
      </w:pPr>
      <w:r>
        <w:rPr>
          <w:noProof/>
        </w:rPr>
        <w:t>Une fois qu’il sera entré en vigueur, le présent amendement s’appliquera à toute acceptation ou approbation du traité international sur les ressources phytogénétiques pour l’alimentation et l’agriculture ou à toute adhésion à celui-ci.</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KPDIHJ+TimesNewRoman,Bold">
    <w:altName w:val="Times New Roman"/>
    <w:panose1 w:val="00000000000000000000"/>
    <w:charset w:val="00"/>
    <w:family w:val="roman"/>
    <w:notTrueType/>
    <w:pitch w:val="default"/>
    <w:sig w:usb0="00000003" w:usb1="00000000" w:usb2="00000000" w:usb3="00000000" w:csb0="00000001" w:csb1="00000000"/>
  </w:font>
  <w:font w:name="Arno Pro">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spacing w:after="80"/>
        <w:rPr>
          <w:sz w:val="18"/>
          <w:szCs w:val="18"/>
          <w:lang w:val="fr-BE"/>
        </w:rPr>
      </w:pPr>
      <w:r>
        <w:rPr>
          <w:rStyle w:val="FootnoteReference"/>
          <w:szCs w:val="18"/>
          <w:lang w:val="fr-BE"/>
        </w:rPr>
        <w:t>*</w:t>
      </w:r>
      <w:r>
        <w:rPr>
          <w:sz w:val="18"/>
          <w:szCs w:val="18"/>
          <w:lang w:val="fr-BE"/>
        </w:rPr>
        <w:t xml:space="preserve"> </w:t>
      </w:r>
      <w:r>
        <w:rPr>
          <w:i/>
          <w:sz w:val="18"/>
          <w:szCs w:val="18"/>
          <w:lang w:val="fr-BE"/>
        </w:rPr>
        <w:t>* À insérer si nécessaire. Non applicable aux accords types de transfert de matériel «sous plastique» et «au clic».</w:t>
      </w:r>
    </w:p>
    <w:p>
      <w:pPr>
        <w:spacing w:after="80"/>
        <w:rPr>
          <w:sz w:val="18"/>
          <w:szCs w:val="18"/>
          <w:lang w:val="fr-BE"/>
        </w:rPr>
      </w:pPr>
      <w:r>
        <w:rPr>
          <w:sz w:val="18"/>
          <w:szCs w:val="18"/>
          <w:lang w:val="fr-BE"/>
        </w:rPr>
        <w:t xml:space="preserve">Un accord type de transfert de matériel «sous plastique» est un accord dans le cadre duquel une copie de l’accord type de transfert de matériel est jointe à l’envoi du </w:t>
      </w:r>
      <w:r>
        <w:rPr>
          <w:b/>
          <w:bCs/>
          <w:sz w:val="18"/>
          <w:szCs w:val="18"/>
          <w:lang w:val="fr-BE"/>
        </w:rPr>
        <w:t>matériel</w:t>
      </w:r>
      <w:r>
        <w:rPr>
          <w:sz w:val="18"/>
          <w:szCs w:val="18"/>
          <w:lang w:val="fr-BE"/>
        </w:rPr>
        <w:t xml:space="preserve">, et l’acceptation du matériel par le </w:t>
      </w:r>
      <w:r>
        <w:rPr>
          <w:b/>
          <w:bCs/>
          <w:sz w:val="18"/>
          <w:szCs w:val="18"/>
          <w:lang w:val="fr-BE"/>
        </w:rPr>
        <w:t>bénéficiaire</w:t>
      </w:r>
      <w:r>
        <w:rPr>
          <w:sz w:val="18"/>
          <w:szCs w:val="18"/>
          <w:lang w:val="fr-BE"/>
        </w:rPr>
        <w:t xml:space="preserve"> constitue une acceptation des modalités et conditions de l’accord type de transfert de matériel.</w:t>
      </w:r>
    </w:p>
    <w:p>
      <w:pPr>
        <w:spacing w:after="80"/>
        <w:rPr>
          <w:sz w:val="18"/>
          <w:szCs w:val="18"/>
          <w:lang w:val="fr-BE"/>
        </w:rPr>
      </w:pPr>
      <w:r>
        <w:rPr>
          <w:sz w:val="18"/>
          <w:szCs w:val="18"/>
          <w:lang w:val="fr-BE"/>
        </w:rPr>
        <w:t>Un accord type de transfert de matériel «au clic» est un accord conclu sur l’internet dans le cadre duquel le bénéficiaire accepte les modalités et les conditions de l’accord type de transfert de matériel en cliquant sur l’icône appropriée du site web ou de la version électronique de l’accord type de transfert de matériel, selon le cas.</w:t>
      </w:r>
    </w:p>
  </w:footnote>
  <w:footnote w:id="2">
    <w:p>
      <w:pPr>
        <w:pStyle w:val="FootnoteText0"/>
        <w:rPr>
          <w:lang w:val="fr-BE"/>
        </w:rPr>
      </w:pPr>
      <w:r>
        <w:rPr>
          <w:rStyle w:val="FootnoteReference"/>
        </w:rPr>
        <w:footnoteRef/>
      </w:r>
      <w:r>
        <w:rPr>
          <w:lang w:val="fr-BE"/>
        </w:rPr>
        <w:tab/>
        <w:t>Comme le montrent par exemple le pedigree ou la notation d’insertion de gènes.</w:t>
      </w:r>
    </w:p>
  </w:footnote>
  <w:footnote w:id="3">
    <w:p>
      <w:pPr>
        <w:pStyle w:val="FootnoteText0"/>
        <w:spacing w:after="60"/>
        <w:rPr>
          <w:szCs w:val="18"/>
          <w:lang w:val="fr-BE"/>
        </w:rPr>
      </w:pPr>
      <w:r>
        <w:rPr>
          <w:rStyle w:val="FootnoteReference"/>
          <w:szCs w:val="18"/>
        </w:rPr>
        <w:footnoteRef/>
      </w:r>
      <w:r>
        <w:rPr>
          <w:lang w:val="fr-BE"/>
        </w:rPr>
        <w:tab/>
        <w:t>En ce qui concerne les Centres internationaux de recherche agronomique du Groupe consultatif pour la recherche agricole internationale (CGIAR) et les autres institutions internationales, l’accord entre l’</w:t>
      </w:r>
      <w:r>
        <w:rPr>
          <w:b/>
          <w:bCs/>
          <w:lang w:val="fr-BE"/>
        </w:rPr>
        <w:t>organe directeur</w:t>
      </w:r>
      <w:r>
        <w:rPr>
          <w:lang w:val="fr-BE"/>
        </w:rPr>
        <w:t xml:space="preserve"> et les centres du CGIAR ou d’autres institutions pertinentes sera applicable.</w:t>
      </w:r>
    </w:p>
  </w:footnote>
  <w:footnote w:id="4">
    <w:p>
      <w:pPr>
        <w:pStyle w:val="FootnoteText0"/>
        <w:rPr>
          <w:lang w:val="fr-BE"/>
        </w:rPr>
      </w:pPr>
      <w:r>
        <w:rPr>
          <w:rStyle w:val="FootnoteReference"/>
        </w:rPr>
        <w:footnoteRef/>
      </w:r>
      <w:r>
        <w:rPr>
          <w:lang w:val="fr-BE"/>
        </w:rPr>
        <w:tab/>
        <w:t>Ces informations doivent être communiquées par le fournisseur au:</w:t>
      </w:r>
    </w:p>
    <w:p>
      <w:pPr>
        <w:pStyle w:val="FootnoteText0"/>
        <w:rPr>
          <w:lang w:val="fr-BE"/>
        </w:rPr>
      </w:pPr>
      <w:r>
        <w:rPr>
          <w:lang w:val="fr-BE"/>
        </w:rPr>
        <w:tab/>
        <w:t xml:space="preserve">Secrétaire du </w:t>
      </w:r>
      <w:r>
        <w:rPr>
          <w:lang w:val="fr-BE"/>
        </w:rPr>
        <w:tab/>
        <w:t>traité international sur les ressources phytogénétiques pour l’alimentation et l’agriculture</w:t>
      </w:r>
      <w:r>
        <w:rPr>
          <w:lang w:val="fr-BE"/>
        </w:rPr>
        <w:br/>
        <w:t>Organisation des Nations unies pour l’alimentation et l’agriculture</w:t>
      </w:r>
      <w:r>
        <w:rPr>
          <w:lang w:val="fr-BE"/>
        </w:rPr>
        <w:cr/>
      </w:r>
      <w:r>
        <w:rPr>
          <w:lang w:val="fr-BE"/>
        </w:rPr>
        <w:br/>
        <w:t>I-00153 Rome (Italie)</w:t>
      </w:r>
    </w:p>
    <w:p>
      <w:pPr>
        <w:pStyle w:val="FootnoteText0"/>
        <w:rPr>
          <w:lang w:val="fr-BE"/>
        </w:rPr>
      </w:pPr>
      <w:r>
        <w:rPr>
          <w:lang w:val="fr-BE"/>
        </w:rPr>
        <w:tab/>
        <w:t xml:space="preserve">Courriel: </w:t>
      </w:r>
      <w:hyperlink r:id="rId1" w:history="1">
        <w:r>
          <w:rPr>
            <w:rStyle w:val="Hyperlink"/>
            <w:lang w:val="fr-BE"/>
          </w:rPr>
          <w:t>ITPGRFA-Secretary@FAO.org</w:t>
        </w:r>
      </w:hyperlink>
      <w:r>
        <w:rPr>
          <w:lang w:val="fr-BE"/>
        </w:rPr>
        <w:t xml:space="preserve"> ou par l’intermédiaire d’EasySMT: https://mls.planttreaty.org/itt/.</w:t>
      </w:r>
    </w:p>
  </w:footnote>
  <w:footnote w:id="5">
    <w:p>
      <w:pPr>
        <w:pStyle w:val="FootnoteText0"/>
        <w:rPr>
          <w:lang w:val="fr-BE"/>
        </w:rPr>
      </w:pPr>
      <w:r>
        <w:rPr>
          <w:rStyle w:val="FootnoteReference"/>
        </w:rPr>
        <w:footnoteRef/>
      </w:r>
      <w:r>
        <w:rPr>
          <w:lang w:val="fr-BE"/>
        </w:rPr>
        <w:tab/>
        <w:t xml:space="preserve">Lorsqu’il s’agit d’un accord type de transfert de matériel «sous plastique», conformément aux dispositions de l’article 10, option 2, de l’accord type de transfert de matériel, le </w:t>
      </w:r>
      <w:r>
        <w:rPr>
          <w:b/>
          <w:bCs/>
          <w:lang w:val="fr-BE"/>
        </w:rPr>
        <w:t>fournisseur</w:t>
      </w:r>
      <w:r>
        <w:rPr>
          <w:lang w:val="fr-BE"/>
        </w:rPr>
        <w:t xml:space="preserve"> précisera aussi a) la date à laquelle le matériel a été envoyé, et b) le nom de la personne à qui le matériel a été envoyé.</w:t>
      </w:r>
    </w:p>
  </w:footnote>
  <w:footnote w:id="6">
    <w:p>
      <w:pPr>
        <w:pStyle w:val="FootnoteText0"/>
        <w:spacing w:after="60"/>
        <w:rPr>
          <w:szCs w:val="18"/>
          <w:lang w:val="fr-BE"/>
        </w:rPr>
      </w:pPr>
      <w:r>
        <w:rPr>
          <w:rStyle w:val="FootnoteReference"/>
          <w:szCs w:val="18"/>
        </w:rPr>
        <w:sym w:font="Symbol" w:char="F02A"/>
      </w:r>
      <w:r>
        <w:rPr>
          <w:lang w:val="fr-BE"/>
        </w:rPr>
        <w:tab/>
        <w:t xml:space="preserve">Lorsque le </w:t>
      </w:r>
      <w:r>
        <w:rPr>
          <w:b/>
          <w:bCs/>
          <w:lang w:val="fr-BE"/>
        </w:rPr>
        <w:t>fournisseur</w:t>
      </w:r>
      <w:r>
        <w:rPr>
          <w:lang w:val="fr-BE"/>
        </w:rPr>
        <w:t xml:space="preserve"> choisit la signature, seule la formulation de l’option 1 apparaît dans l’accord type de transfert de matériel. De même, lorsque le </w:t>
      </w:r>
      <w:r>
        <w:rPr>
          <w:b/>
          <w:bCs/>
          <w:lang w:val="fr-BE"/>
        </w:rPr>
        <w:t>fournisseur</w:t>
      </w:r>
      <w:r>
        <w:rPr>
          <w:lang w:val="fr-BE"/>
        </w:rPr>
        <w:t xml:space="preserve"> choisit l’accord «sous plastique» ou «au clic», seule la formulation de l’option 2 ou de l’option 3, selon le cas, apparaît dans l’accord type de transfert de matériel. Lorsque l’accord «au clic» est choisi, le </w:t>
      </w:r>
      <w:r>
        <w:rPr>
          <w:b/>
          <w:bCs/>
          <w:lang w:val="fr-BE"/>
        </w:rPr>
        <w:t>matériel</w:t>
      </w:r>
      <w:r>
        <w:rPr>
          <w:lang w:val="fr-BE"/>
        </w:rPr>
        <w:t xml:space="preserve"> doit également être accompagné d’une copie écrite de l’accord type de transfert de matériel.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5474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FE20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02EC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36B62D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FFFFFFFE"/>
    <w:multiLevelType w:val="singleLevel"/>
    <w:tmpl w:val="771E5914"/>
    <w:lvl w:ilvl="0">
      <w:numFmt w:val="decimal"/>
      <w:pStyle w:val="RandListLev1"/>
      <w:lvlText w:val="*"/>
      <w:lvlJc w:val="left"/>
    </w:lvl>
  </w:abstractNum>
  <w:abstractNum w:abstractNumId="9">
    <w:nsid w:val="002C3E66"/>
    <w:multiLevelType w:val="singleLevel"/>
    <w:tmpl w:val="0608A232"/>
    <w:lvl w:ilvl="0">
      <w:start w:val="1"/>
      <w:numFmt w:val="bullet"/>
      <w:pStyle w:val="PlainList3"/>
      <w:lvlText w:val=""/>
      <w:legacy w:legacy="1" w:legacySpace="0" w:legacyIndent="360"/>
      <w:lvlJc w:val="left"/>
      <w:pPr>
        <w:ind w:left="760" w:hanging="363"/>
      </w:pPr>
      <w:rPr>
        <w:rFonts w:ascii="Symbol" w:hAnsi="Symbol" w:hint="default"/>
      </w:rPr>
    </w:lvl>
  </w:abstractNum>
  <w:abstractNum w:abstractNumId="10">
    <w:nsid w:val="101F33DB"/>
    <w:multiLevelType w:val="hybridMultilevel"/>
    <w:tmpl w:val="60A65438"/>
    <w:lvl w:ilvl="0" w:tplc="FFFFFFFF">
      <w:start w:val="1"/>
      <w:numFmt w:val="upperLetter"/>
      <w:lvlText w:val="%1."/>
      <w:lvlJc w:val="left"/>
      <w:pPr>
        <w:tabs>
          <w:tab w:val="num" w:pos="1080"/>
        </w:tabs>
        <w:ind w:left="1080" w:hanging="720"/>
      </w:pPr>
      <w:rPr>
        <w:rFonts w:hint="default"/>
      </w:rPr>
    </w:lvl>
    <w:lvl w:ilvl="1" w:tplc="FFFFFFFF">
      <w:start w:val="6"/>
      <w:numFmt w:val="decimal"/>
      <w:pStyle w:val="Para1"/>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3"/>
      <w:numFmt w:val="upperRoman"/>
      <w:lvlText w:val="%4."/>
      <w:lvlJc w:val="left"/>
      <w:pPr>
        <w:tabs>
          <w:tab w:val="num" w:pos="3240"/>
        </w:tabs>
        <w:ind w:left="3240" w:hanging="720"/>
      </w:pPr>
      <w:rPr>
        <w:rFonts w:hint="default"/>
      </w:rPr>
    </w:lvl>
    <w:lvl w:ilvl="4" w:tplc="FFFFFFFF">
      <w:start w:val="1"/>
      <w:numFmt w:val="lowerLetter"/>
      <w:lvlText w:val="%5."/>
      <w:lvlJc w:val="left"/>
      <w:pPr>
        <w:tabs>
          <w:tab w:val="num" w:pos="3600"/>
        </w:tabs>
        <w:ind w:left="3600" w:hanging="360"/>
      </w:pPr>
    </w:lvl>
    <w:lvl w:ilvl="5" w:tplc="FFFFFFFF">
      <w:start w:val="20"/>
      <w:numFmt w:val="decimal"/>
      <w:lvlText w:val="%6"/>
      <w:lvlJc w:val="left"/>
      <w:pPr>
        <w:tabs>
          <w:tab w:val="num" w:pos="4680"/>
        </w:tabs>
        <w:ind w:left="4680" w:hanging="54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31D6074"/>
    <w:multiLevelType w:val="singleLevel"/>
    <w:tmpl w:val="E6AE46CA"/>
    <w:lvl w:ilvl="0">
      <w:start w:val="1"/>
      <w:numFmt w:val="bullet"/>
      <w:pStyle w:val="DashListLev4"/>
      <w:lvlText w:val=""/>
      <w:legacy w:legacy="1" w:legacySpace="0" w:legacyIndent="360"/>
      <w:lvlJc w:val="left"/>
      <w:pPr>
        <w:ind w:left="760" w:hanging="363"/>
      </w:pPr>
      <w:rPr>
        <w:rFonts w:ascii="Symbol" w:hAnsi="Symbol" w:hint="default"/>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5FE3CD6"/>
    <w:multiLevelType w:val="singleLevel"/>
    <w:tmpl w:val="AE3E3024"/>
    <w:lvl w:ilvl="0">
      <w:start w:val="1"/>
      <w:numFmt w:val="bullet"/>
      <w:pStyle w:val="PlainList2"/>
      <w:lvlText w:val=""/>
      <w:lvlJc w:val="left"/>
      <w:pPr>
        <w:tabs>
          <w:tab w:val="num" w:pos="0"/>
        </w:tabs>
        <w:ind w:left="760" w:hanging="363"/>
      </w:pPr>
      <w:rPr>
        <w:rFonts w:ascii="Symbol" w:hAnsi="Symbol" w:hint="default"/>
      </w:r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3DC43F3E"/>
    <w:multiLevelType w:val="singleLevel"/>
    <w:tmpl w:val="075A79E8"/>
    <w:lvl w:ilvl="0">
      <w:start w:val="1"/>
      <w:numFmt w:val="bullet"/>
      <w:pStyle w:val="PlainList4"/>
      <w:lvlText w:val=""/>
      <w:legacy w:legacy="1" w:legacySpace="0" w:legacyIndent="360"/>
      <w:lvlJc w:val="left"/>
      <w:pPr>
        <w:ind w:left="760" w:hanging="363"/>
      </w:pPr>
      <w:rPr>
        <w:rFonts w:ascii="Symbol" w:hAnsi="Symbol" w:hint="default"/>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FD849AD"/>
    <w:multiLevelType w:val="multilevel"/>
    <w:tmpl w:val="81787AC8"/>
    <w:lvl w:ilvl="0">
      <w:start w:val="1"/>
      <w:numFmt w:val="none"/>
      <w:pStyle w:val="BoxNewPara"/>
      <w:suff w:val="nothing"/>
      <w:lvlText w:val=""/>
      <w:lvlJc w:val="left"/>
      <w:pPr>
        <w:ind w:left="0" w:firstLine="0"/>
      </w:pPr>
    </w:lvl>
    <w:lvl w:ilvl="1">
      <w:start w:val="1"/>
      <w:numFmt w:val="decimal"/>
      <w:pStyle w:val="BoxSeqList1"/>
      <w:lvlText w:val="%2."/>
      <w:lvlJc w:val="left"/>
      <w:pPr>
        <w:tabs>
          <w:tab w:val="num" w:pos="567"/>
        </w:tabs>
        <w:ind w:left="567" w:hanging="425"/>
      </w:pPr>
    </w:lvl>
    <w:lvl w:ilvl="2">
      <w:start w:val="1"/>
      <w:numFmt w:val="lowerLetter"/>
      <w:pStyle w:val="BoxSeqList2"/>
      <w:lvlText w:val="%3)"/>
      <w:lvlJc w:val="left"/>
      <w:pPr>
        <w:tabs>
          <w:tab w:val="num" w:pos="805"/>
        </w:tabs>
        <w:ind w:left="805" w:hanging="425"/>
      </w:pPr>
    </w:lvl>
    <w:lvl w:ilvl="3">
      <w:start w:val="1"/>
      <w:numFmt w:val="lowerRoman"/>
      <w:pStyle w:val="BoxSeqList3"/>
      <w:lvlText w:val="%4)"/>
      <w:lvlJc w:val="left"/>
      <w:pPr>
        <w:tabs>
          <w:tab w:val="num" w:pos="1009"/>
        </w:tabs>
        <w:ind w:left="1009" w:hanging="425"/>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B8D33DE"/>
    <w:multiLevelType w:val="singleLevel"/>
    <w:tmpl w:val="DF486610"/>
    <w:lvl w:ilvl="0">
      <w:start w:val="1"/>
      <w:numFmt w:val="bullet"/>
      <w:pStyle w:val="BoxRandList1"/>
      <w:lvlText w:val=""/>
      <w:lvlJc w:val="left"/>
      <w:pPr>
        <w:tabs>
          <w:tab w:val="num" w:pos="0"/>
        </w:tabs>
        <w:ind w:left="436" w:hanging="255"/>
      </w:pPr>
      <w:rPr>
        <w:rFonts w:ascii="Symbol" w:hAnsi="Symbol" w:hint="default"/>
      </w:rPr>
    </w:lvl>
  </w:abstractNum>
  <w:abstractNum w:abstractNumId="29">
    <w:nsid w:val="7BC17015"/>
    <w:multiLevelType w:val="multilevel"/>
    <w:tmpl w:val="4AEA5FB2"/>
    <w:lvl w:ilvl="0">
      <w:start w:val="1"/>
      <w:numFmt w:val="none"/>
      <w:pStyle w:val="BlankLine"/>
      <w:suff w:val="nothing"/>
      <w:lvlText w:val=""/>
      <w:lvlJc w:val="left"/>
      <w:pPr>
        <w:ind w:left="0" w:firstLine="0"/>
      </w:pPr>
    </w:lvl>
    <w:lvl w:ilvl="1">
      <w:start w:val="1"/>
      <w:numFmt w:val="decimal"/>
      <w:pStyle w:val="SeqListLev1"/>
      <w:lvlText w:val="%2."/>
      <w:lvlJc w:val="left"/>
      <w:pPr>
        <w:tabs>
          <w:tab w:val="num" w:pos="850"/>
        </w:tabs>
        <w:ind w:left="850" w:hanging="425"/>
      </w:pPr>
    </w:lvl>
    <w:lvl w:ilvl="2">
      <w:start w:val="1"/>
      <w:numFmt w:val="lowerLetter"/>
      <w:pStyle w:val="SeqListLev2"/>
      <w:lvlText w:val="%3)"/>
      <w:lvlJc w:val="right"/>
      <w:pPr>
        <w:tabs>
          <w:tab w:val="num" w:pos="1276"/>
        </w:tabs>
        <w:ind w:left="1276" w:hanging="426"/>
      </w:pPr>
    </w:lvl>
    <w:lvl w:ilvl="3">
      <w:start w:val="1"/>
      <w:numFmt w:val="lowerRoman"/>
      <w:pStyle w:val="SeqListLev3"/>
      <w:lvlText w:val="%4)"/>
      <w:lvlJc w:val="left"/>
      <w:pPr>
        <w:tabs>
          <w:tab w:val="num" w:pos="1701"/>
        </w:tabs>
        <w:ind w:left="1701" w:hanging="425"/>
      </w:pPr>
    </w:lvl>
    <w:lvl w:ilvl="4">
      <w:start w:val="1"/>
      <w:numFmt w:val="decimal"/>
      <w:pStyle w:val="SeqListLev4"/>
      <w:lvlText w:val="%5)"/>
      <w:lvlJc w:val="left"/>
      <w:pPr>
        <w:tabs>
          <w:tab w:val="num" w:pos="2126"/>
        </w:tabs>
        <w:ind w:left="2126" w:hanging="425"/>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9"/>
  </w:num>
  <w:num w:numId="10">
    <w:abstractNumId w:val="21"/>
  </w:num>
  <w:num w:numId="11">
    <w:abstractNumId w:val="28"/>
  </w:num>
  <w:num w:numId="12">
    <w:abstractNumId w:val="8"/>
    <w:lvlOverride w:ilvl="0">
      <w:lvl w:ilvl="0">
        <w:start w:val="1"/>
        <w:numFmt w:val="bullet"/>
        <w:pStyle w:val="RandListLev1"/>
        <w:lvlText w:val=""/>
        <w:lvlJc w:val="left"/>
        <w:pPr>
          <w:tabs>
            <w:tab w:val="num" w:pos="0"/>
          </w:tabs>
          <w:ind w:left="760" w:hanging="363"/>
        </w:pPr>
        <w:rPr>
          <w:rFonts w:ascii="Symbol" w:hAnsi="Symbol" w:hint="default"/>
        </w:rPr>
      </w:lvl>
    </w:lvlOverride>
  </w:num>
  <w:num w:numId="13">
    <w:abstractNumId w:val="11"/>
  </w:num>
  <w:num w:numId="14">
    <w:abstractNumId w:val="17"/>
  </w:num>
  <w:num w:numId="15">
    <w:abstractNumId w:val="9"/>
  </w:num>
  <w:num w:numId="16">
    <w:abstractNumId w:val="14"/>
  </w:num>
  <w:num w:numId="17">
    <w:abstractNumId w:val="10"/>
  </w:num>
  <w:num w:numId="18">
    <w:abstractNumId w:val="25"/>
  </w:num>
  <w:num w:numId="19">
    <w:abstractNumId w:val="18"/>
  </w:num>
  <w:num w:numId="20">
    <w:abstractNumId w:val="27"/>
  </w:num>
  <w:num w:numId="21">
    <w:abstractNumId w:val="16"/>
  </w:num>
  <w:num w:numId="22">
    <w:abstractNumId w:val="19"/>
  </w:num>
  <w:num w:numId="23">
    <w:abstractNumId w:val="13"/>
  </w:num>
  <w:num w:numId="24">
    <w:abstractNumId w:val="26"/>
  </w:num>
  <w:num w:numId="25">
    <w:abstractNumId w:val="12"/>
  </w:num>
  <w:num w:numId="26">
    <w:abstractNumId w:val="20"/>
  </w:num>
  <w:num w:numId="27">
    <w:abstractNumId w:val="23"/>
  </w:num>
  <w:num w:numId="28">
    <w:abstractNumId w:val="24"/>
  </w:num>
  <w:num w:numId="29">
    <w:abstractNumId w:val="15"/>
  </w:num>
  <w:num w:numId="30">
    <w:abstractNumId w:val="22"/>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1 10:32:33"/>
    <w:docVar w:name="DQCResult_Distribution" w:val="0;1"/>
    <w:docVar w:name="DQCResult_DocumentContent" w:val="0;0"/>
    <w:docVar w:name="DQCResult_DocumentSize" w:val="0;0"/>
    <w:docVar w:name="DQCResult_DocumentVersions" w:val="0;0"/>
    <w:docVar w:name="DQCResult_InvalidFootnotes" w:val="0;2"/>
    <w:docVar w:name="DQCResult_LinkedStyles" w:val="0;0"/>
    <w:docVar w:name="DQCResult_ModifiedMargins" w:val="0;21"/>
    <w:docVar w:name="DQCResult_ModifiedMarkers" w:val="0;0"/>
    <w:docVar w:name="DQCResult_ModifiedNumbering" w:val="0;0"/>
    <w:docVar w:name="DQCResult_Objects" w:val="0;0"/>
    <w:docVar w:name="DQCResult_Sections" w:val="0;0"/>
    <w:docVar w:name="DQCResult_StructureCheck" w:val="0;0"/>
    <w:docVar w:name="DQCResult_SuperfluousWhitespace" w:val="0;29"/>
    <w:docVar w:name="DQCResult_UnknownFonts" w:val="0;0"/>
    <w:docVar w:name="DQCResult_UnknownStyles" w:val="0;13"/>
    <w:docVar w:name="DQCStatus" w:val="Green"/>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4D6811DA-7CC0-439E-AC03-2BBA690F629B"/>
    <w:docVar w:name="LW_COVERPAGE_TYPE" w:val="1"/>
    <w:docVar w:name="LW_CROSSREFERENCE" w:val="&lt;UNUSED&gt;"/>
    <w:docVar w:name="LW_DocType" w:val="ANNEX"/>
    <w:docVar w:name="LW_EMISSION" w:val="26.9.2019"/>
    <w:docVar w:name="LW_EMISSION_ISODATE" w:val="2019-09-26"/>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relative à la position à prendre, au nom de l\u8217?Union européenne, à la huitième session de l\u8217?organe directeur du traité international sur les ressources phytogénétiques pour l\u8217?alimentation et l\u8217?agriculture&lt;/FMT&gt;_x000b_"/>
    <w:docVar w:name="LW_OBJETACTEPRINCIPAL.CP" w:val="&lt;FMT:Bold&gt;relative à la position à prendre, au nom de l\u8217?Union européenne, à la huitième session de l\u8217?organe directeur du traité international sur les ressources phytogénétiques pour l\u8217?alimentation et l\u8217?agriculture&lt;/FMT&gt;_x000b_"/>
    <w:docVar w:name="LW_PART_NBR" w:val="&lt;UNUSED&gt;"/>
    <w:docVar w:name="LW_PART_NBR_TOTAL" w:val="&lt;UNUSED&gt;"/>
    <w:docVar w:name="LW_REF.INST.NEW" w:val="COM"/>
    <w:docVar w:name="LW_REF.INST.NEW_ADOPTED" w:val="final"/>
    <w:docVar w:name="LW_REF.INST.NEW_TEXT" w:val="(2019) 4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paragraph" w:styleId="Heading5">
    <w:name w:val="heading 5"/>
    <w:aliases w:val="Subpara 2"/>
    <w:basedOn w:val="Heading3"/>
    <w:next w:val="Normal"/>
    <w:link w:val="Heading5Char"/>
    <w:uiPriority w:val="99"/>
    <w:qFormat/>
    <w:pPr>
      <w:numPr>
        <w:ilvl w:val="0"/>
        <w:numId w:val="0"/>
      </w:numPr>
      <w:spacing w:after="0"/>
      <w:jc w:val="center"/>
      <w:outlineLvl w:val="4"/>
    </w:pPr>
    <w:rPr>
      <w:rFonts w:eastAsia="SimSun"/>
      <w:bCs w:val="0"/>
      <w:caps/>
      <w:szCs w:val="24"/>
    </w:rPr>
  </w:style>
  <w:style w:type="paragraph" w:styleId="Heading6">
    <w:name w:val="heading 6"/>
    <w:aliases w:val="Subpara 3"/>
    <w:basedOn w:val="Heading3"/>
    <w:next w:val="Normal"/>
    <w:link w:val="Heading6Char"/>
    <w:uiPriority w:val="99"/>
    <w:qFormat/>
    <w:pPr>
      <w:numPr>
        <w:ilvl w:val="0"/>
        <w:numId w:val="0"/>
      </w:numPr>
      <w:spacing w:after="0"/>
      <w:jc w:val="center"/>
      <w:outlineLvl w:val="5"/>
    </w:pPr>
    <w:rPr>
      <w:rFonts w:eastAsia="SimSun"/>
      <w:bCs w:val="0"/>
      <w:szCs w:val="24"/>
    </w:rPr>
  </w:style>
  <w:style w:type="paragraph" w:styleId="Heading7">
    <w:name w:val="heading 7"/>
    <w:aliases w:val="Subpara 4"/>
    <w:basedOn w:val="Heading3"/>
    <w:next w:val="Normal"/>
    <w:link w:val="Heading7Char"/>
    <w:uiPriority w:val="99"/>
    <w:qFormat/>
    <w:pPr>
      <w:numPr>
        <w:ilvl w:val="0"/>
        <w:numId w:val="0"/>
      </w:numPr>
      <w:spacing w:after="0"/>
      <w:jc w:val="center"/>
      <w:outlineLvl w:val="6"/>
    </w:pPr>
    <w:rPr>
      <w:rFonts w:eastAsia="SimSun"/>
      <w:bCs w:val="0"/>
      <w:szCs w:val="24"/>
    </w:rPr>
  </w:style>
  <w:style w:type="paragraph" w:styleId="Heading8">
    <w:name w:val="heading 8"/>
    <w:aliases w:val="Subpara 5"/>
    <w:basedOn w:val="Heading3"/>
    <w:next w:val="Normal"/>
    <w:link w:val="Heading8Char"/>
    <w:uiPriority w:val="99"/>
    <w:qFormat/>
    <w:pPr>
      <w:numPr>
        <w:ilvl w:val="0"/>
        <w:numId w:val="0"/>
      </w:numPr>
      <w:spacing w:after="0"/>
      <w:jc w:val="center"/>
      <w:outlineLvl w:val="7"/>
    </w:pPr>
    <w:rPr>
      <w:rFonts w:eastAsia="SimSun"/>
      <w:bCs w:val="0"/>
      <w:szCs w:val="24"/>
    </w:rPr>
  </w:style>
  <w:style w:type="paragraph" w:styleId="Heading9">
    <w:name w:val="heading 9"/>
    <w:aliases w:val="Subpara 6"/>
    <w:basedOn w:val="Heading3"/>
    <w:next w:val="Normal"/>
    <w:link w:val="Heading9Char"/>
    <w:uiPriority w:val="99"/>
    <w:qFormat/>
    <w:pPr>
      <w:numPr>
        <w:ilvl w:val="0"/>
        <w:numId w:val="0"/>
      </w:numPr>
      <w:tabs>
        <w:tab w:val="num" w:pos="360"/>
      </w:tabs>
      <w:spacing w:after="0"/>
      <w:jc w:val="center"/>
      <w:outlineLvl w:val="8"/>
    </w:pPr>
    <w:rPr>
      <w:rFonts w:eastAsia="SimSun"/>
      <w:bCs w:val="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Heading5Char">
    <w:name w:val="Heading 5 Char"/>
    <w:aliases w:val="Subpara 2 Char"/>
    <w:basedOn w:val="DefaultParagraphFont"/>
    <w:link w:val="Heading5"/>
    <w:uiPriority w:val="99"/>
    <w:rPr>
      <w:rFonts w:ascii="Times New Roman" w:eastAsia="SimSun" w:hAnsi="Times New Roman" w:cs="Times New Roman"/>
      <w:i/>
      <w:caps/>
      <w:sz w:val="24"/>
      <w:szCs w:val="24"/>
      <w:lang w:val="fr-FR"/>
    </w:rPr>
  </w:style>
  <w:style w:type="character" w:customStyle="1" w:styleId="Heading6Char">
    <w:name w:val="Heading 6 Char"/>
    <w:aliases w:val="Subpara 3 Char"/>
    <w:basedOn w:val="DefaultParagraphFont"/>
    <w:link w:val="Heading6"/>
    <w:uiPriority w:val="99"/>
    <w:rPr>
      <w:rFonts w:ascii="Times New Roman" w:eastAsia="SimSun" w:hAnsi="Times New Roman" w:cs="Times New Roman"/>
      <w:i/>
      <w:sz w:val="24"/>
      <w:szCs w:val="24"/>
      <w:lang w:val="fr-FR"/>
    </w:rPr>
  </w:style>
  <w:style w:type="character" w:customStyle="1" w:styleId="Heading7Char">
    <w:name w:val="Heading 7 Char"/>
    <w:aliases w:val="Subpara 4 Char"/>
    <w:basedOn w:val="DefaultParagraphFont"/>
    <w:link w:val="Heading7"/>
    <w:uiPriority w:val="99"/>
    <w:rPr>
      <w:rFonts w:ascii="Times New Roman" w:eastAsia="SimSun" w:hAnsi="Times New Roman" w:cs="Times New Roman"/>
      <w:i/>
      <w:sz w:val="24"/>
      <w:szCs w:val="24"/>
      <w:lang w:val="fr-FR"/>
    </w:rPr>
  </w:style>
  <w:style w:type="character" w:customStyle="1" w:styleId="Heading8Char">
    <w:name w:val="Heading 8 Char"/>
    <w:aliases w:val="Subpara 5 Char"/>
    <w:basedOn w:val="DefaultParagraphFont"/>
    <w:link w:val="Heading8"/>
    <w:uiPriority w:val="99"/>
    <w:rPr>
      <w:rFonts w:ascii="Times New Roman" w:eastAsia="SimSun" w:hAnsi="Times New Roman" w:cs="Times New Roman"/>
      <w:i/>
      <w:sz w:val="24"/>
      <w:szCs w:val="24"/>
      <w:lang w:val="fr-FR"/>
    </w:rPr>
  </w:style>
  <w:style w:type="character" w:customStyle="1" w:styleId="Heading9Char">
    <w:name w:val="Heading 9 Char"/>
    <w:aliases w:val="Subpara 6 Char"/>
    <w:basedOn w:val="DefaultParagraphFont"/>
    <w:link w:val="Heading9"/>
    <w:uiPriority w:val="99"/>
    <w:rPr>
      <w:rFonts w:ascii="Times New Roman" w:eastAsia="SimSun" w:hAnsi="Times New Roman" w:cs="Times New Roman"/>
      <w:i/>
      <w:sz w:val="24"/>
      <w:szCs w:val="24"/>
      <w:lang w:val="fr-FR"/>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rPr>
      <w:color w:val="0000FF"/>
      <w:u w:val="single"/>
      <w:shd w:val="clear" w:color="auto" w:fill="auto"/>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link w:val="ListParagraphChar"/>
    <w:uiPriority w:val="34"/>
    <w:qFormat/>
    <w:pPr>
      <w:spacing w:before="0" w:after="0" w:line="320" w:lineRule="atLeast"/>
      <w:ind w:left="720"/>
      <w:jc w:val="left"/>
    </w:pPr>
    <w:rPr>
      <w:rFonts w:ascii="Arial" w:eastAsia="Cambria" w:hAnsi="Arial" w:cs="Arial"/>
      <w:sz w:val="22"/>
    </w:rPr>
  </w:style>
  <w:style w:type="numbering" w:customStyle="1" w:styleId="NoList1">
    <w:name w:val="No List1"/>
    <w:next w:val="No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IE"/>
    </w:rPr>
  </w:style>
  <w:style w:type="paragraph" w:styleId="Revision">
    <w:name w:val="Revision"/>
    <w:hidden/>
    <w:uiPriority w:val="99"/>
    <w:semiHidden/>
    <w:pPr>
      <w:spacing w:after="0" w:line="240" w:lineRule="auto"/>
    </w:pPr>
  </w:style>
  <w:style w:type="paragraph" w:customStyle="1" w:styleId="BlankLine">
    <w:name w:val="BlankLine"/>
    <w:basedOn w:val="Normal"/>
    <w:next w:val="Normal"/>
    <w:uiPriority w:val="99"/>
    <w:pPr>
      <w:numPr>
        <w:numId w:val="9"/>
      </w:numPr>
      <w:spacing w:before="0" w:after="0"/>
      <w:jc w:val="left"/>
    </w:pPr>
    <w:rPr>
      <w:rFonts w:eastAsia="SimSun"/>
      <w:sz w:val="22"/>
      <w:szCs w:val="24"/>
    </w:rPr>
  </w:style>
  <w:style w:type="character" w:customStyle="1" w:styleId="Bold">
    <w:name w:val="Bold"/>
    <w:rPr>
      <w:b/>
    </w:rPr>
  </w:style>
  <w:style w:type="character" w:customStyle="1" w:styleId="BoldItalic">
    <w:name w:val="Bold Italic"/>
    <w:uiPriority w:val="99"/>
    <w:rPr>
      <w:b/>
      <w:i/>
    </w:rPr>
  </w:style>
  <w:style w:type="character" w:customStyle="1" w:styleId="BoldItalicUnderline">
    <w:name w:val="Bold Italic Underline"/>
    <w:uiPriority w:val="99"/>
    <w:rPr>
      <w:b/>
      <w:i/>
      <w:u w:val="single"/>
    </w:rPr>
  </w:style>
  <w:style w:type="character" w:customStyle="1" w:styleId="BoldUnderline">
    <w:name w:val="Bold Underline"/>
    <w:uiPriority w:val="99"/>
    <w:rPr>
      <w:b/>
      <w:u w:val="single"/>
    </w:rPr>
  </w:style>
  <w:style w:type="paragraph" w:customStyle="1" w:styleId="BoxText">
    <w:name w:val="Box Text"/>
    <w:basedOn w:val="BoxNewPara"/>
    <w:uiPriority w:val="99"/>
    <w:pPr>
      <w:tabs>
        <w:tab w:val="clear" w:pos="425"/>
        <w:tab w:val="left" w:pos="426"/>
      </w:tabs>
    </w:pPr>
  </w:style>
  <w:style w:type="paragraph" w:customStyle="1" w:styleId="BoxNewPara">
    <w:name w:val="Box NewPara"/>
    <w:basedOn w:val="Normal"/>
    <w:next w:val="Normal"/>
    <w:qFormat/>
    <w:pPr>
      <w:numPr>
        <w:numId w:val="10"/>
      </w:numPr>
      <w:pBdr>
        <w:left w:val="single" w:sz="6" w:space="1" w:color="auto"/>
        <w:right w:val="single" w:sz="6" w:space="1" w:color="auto"/>
      </w:pBdr>
      <w:shd w:val="pct10" w:color="auto" w:fill="auto"/>
      <w:tabs>
        <w:tab w:val="left" w:pos="425"/>
      </w:tabs>
      <w:spacing w:before="0" w:after="0"/>
    </w:pPr>
    <w:rPr>
      <w:rFonts w:eastAsia="SimSun"/>
      <w:sz w:val="20"/>
      <w:szCs w:val="24"/>
    </w:rPr>
  </w:style>
  <w:style w:type="paragraph" w:customStyle="1" w:styleId="FigureCaption">
    <w:name w:val="Figure Caption"/>
    <w:basedOn w:val="Normal"/>
    <w:uiPriority w:val="99"/>
    <w:pPr>
      <w:spacing w:after="0"/>
      <w:jc w:val="left"/>
    </w:pPr>
    <w:rPr>
      <w:rFonts w:eastAsia="SimSun"/>
      <w:i/>
      <w:sz w:val="22"/>
      <w:szCs w:val="24"/>
    </w:rPr>
  </w:style>
  <w:style w:type="paragraph" w:customStyle="1" w:styleId="BoxNote">
    <w:name w:val="Box Note"/>
    <w:basedOn w:val="Normal"/>
    <w:next w:val="Normal"/>
    <w:uiPriority w:val="99"/>
    <w:pPr>
      <w:pBdr>
        <w:left w:val="single" w:sz="6" w:space="1" w:color="auto"/>
        <w:right w:val="single" w:sz="6" w:space="1" w:color="auto"/>
      </w:pBdr>
      <w:shd w:val="pct10" w:color="auto" w:fill="auto"/>
      <w:suppressAutoHyphens/>
      <w:spacing w:before="0" w:after="0"/>
    </w:pPr>
    <w:rPr>
      <w:rFonts w:eastAsia="SimSun"/>
      <w:i/>
      <w:sz w:val="20"/>
      <w:szCs w:val="24"/>
    </w:rPr>
  </w:style>
  <w:style w:type="paragraph" w:customStyle="1" w:styleId="Note">
    <w:name w:val="Note"/>
    <w:basedOn w:val="Normal"/>
    <w:next w:val="NewPara"/>
    <w:uiPriority w:val="99"/>
    <w:pPr>
      <w:suppressAutoHyphens/>
      <w:spacing w:after="0"/>
      <w:jc w:val="left"/>
    </w:pPr>
    <w:rPr>
      <w:rFonts w:eastAsia="SimSun"/>
      <w:i/>
      <w:sz w:val="22"/>
      <w:szCs w:val="24"/>
    </w:rPr>
  </w:style>
  <w:style w:type="paragraph" w:customStyle="1" w:styleId="NewPara">
    <w:name w:val="NewPara"/>
    <w:basedOn w:val="Normal"/>
    <w:next w:val="Normal"/>
    <w:uiPriority w:val="99"/>
    <w:pPr>
      <w:tabs>
        <w:tab w:val="left" w:pos="709"/>
      </w:tabs>
      <w:spacing w:before="160" w:after="20"/>
      <w:jc w:val="left"/>
    </w:pPr>
    <w:rPr>
      <w:rFonts w:eastAsia="SimSun"/>
      <w:sz w:val="22"/>
      <w:szCs w:val="24"/>
    </w:rPr>
  </w:style>
  <w:style w:type="paragraph" w:customStyle="1" w:styleId="BoxParaTitle">
    <w:name w:val="Box ParaTitle"/>
    <w:basedOn w:val="BoxNote"/>
    <w:uiPriority w:val="99"/>
    <w:rPr>
      <w:b/>
      <w:i w:val="0"/>
    </w:rPr>
  </w:style>
  <w:style w:type="paragraph" w:customStyle="1" w:styleId="BoxRandList1">
    <w:name w:val="Box RandList 1"/>
    <w:basedOn w:val="Normal"/>
    <w:uiPriority w:val="99"/>
    <w:pPr>
      <w:numPr>
        <w:numId w:val="11"/>
      </w:numPr>
      <w:pBdr>
        <w:left w:val="single" w:sz="6" w:space="10" w:color="auto"/>
        <w:right w:val="single" w:sz="6" w:space="10" w:color="auto"/>
      </w:pBdr>
      <w:shd w:val="pct10" w:color="auto" w:fill="auto"/>
      <w:tabs>
        <w:tab w:val="left" w:pos="437"/>
      </w:tabs>
      <w:spacing w:before="0" w:after="0" w:line="360" w:lineRule="auto"/>
      <w:ind w:left="437" w:right="181" w:hanging="256"/>
    </w:pPr>
    <w:rPr>
      <w:rFonts w:eastAsia="SimSun"/>
      <w:sz w:val="20"/>
      <w:szCs w:val="24"/>
    </w:rPr>
  </w:style>
  <w:style w:type="paragraph" w:customStyle="1" w:styleId="RandListLev1">
    <w:name w:val="Rand List Lev1"/>
    <w:basedOn w:val="Normal"/>
    <w:uiPriority w:val="99"/>
    <w:pPr>
      <w:numPr>
        <w:numId w:val="12"/>
      </w:numPr>
      <w:tabs>
        <w:tab w:val="clear" w:pos="0"/>
        <w:tab w:val="left" w:pos="754"/>
      </w:tabs>
      <w:spacing w:before="0" w:after="0"/>
      <w:ind w:left="754" w:hanging="357"/>
      <w:jc w:val="left"/>
    </w:pPr>
    <w:rPr>
      <w:rFonts w:eastAsia="SimSun"/>
      <w:sz w:val="22"/>
      <w:szCs w:val="24"/>
    </w:rPr>
  </w:style>
  <w:style w:type="paragraph" w:customStyle="1" w:styleId="BoxRandList2">
    <w:name w:val="Box RandList 2"/>
    <w:basedOn w:val="BoxRandList1"/>
    <w:uiPriority w:val="99"/>
    <w:pPr>
      <w:pBdr>
        <w:left w:val="single" w:sz="6" w:space="20" w:color="auto"/>
        <w:right w:val="single" w:sz="6" w:space="20" w:color="auto"/>
      </w:pBdr>
      <w:tabs>
        <w:tab w:val="left" w:pos="635"/>
      </w:tabs>
      <w:ind w:left="635" w:right="380" w:hanging="255"/>
    </w:pPr>
  </w:style>
  <w:style w:type="paragraph" w:customStyle="1" w:styleId="BoxRandList3">
    <w:name w:val="Box RandList 3"/>
    <w:basedOn w:val="BoxRandList2"/>
    <w:uiPriority w:val="99"/>
    <w:pPr>
      <w:pBdr>
        <w:left w:val="single" w:sz="6" w:space="29" w:color="auto"/>
        <w:right w:val="single" w:sz="6" w:space="30" w:color="auto"/>
      </w:pBdr>
      <w:tabs>
        <w:tab w:val="left" w:pos="816"/>
      </w:tabs>
      <w:ind w:left="816" w:right="584"/>
    </w:pPr>
  </w:style>
  <w:style w:type="paragraph" w:customStyle="1" w:styleId="BoxSeqList1">
    <w:name w:val="Box SeqList 1"/>
    <w:basedOn w:val="Normal"/>
    <w:pPr>
      <w:numPr>
        <w:ilvl w:val="1"/>
        <w:numId w:val="10"/>
      </w:numPr>
      <w:pBdr>
        <w:left w:val="single" w:sz="6" w:space="8" w:color="auto"/>
        <w:right w:val="single" w:sz="6" w:space="10" w:color="auto"/>
      </w:pBdr>
      <w:shd w:val="pct10" w:color="auto" w:fill="auto"/>
      <w:spacing w:before="0" w:after="0" w:line="360" w:lineRule="auto"/>
      <w:ind w:right="181"/>
    </w:pPr>
    <w:rPr>
      <w:rFonts w:eastAsia="SimSun"/>
      <w:sz w:val="20"/>
      <w:szCs w:val="24"/>
    </w:rPr>
  </w:style>
  <w:style w:type="paragraph" w:customStyle="1" w:styleId="BoxSeqList3">
    <w:name w:val="Box SeqList 3"/>
    <w:basedOn w:val="BoxSeqList2"/>
    <w:pPr>
      <w:numPr>
        <w:ilvl w:val="3"/>
      </w:numPr>
      <w:pBdr>
        <w:left w:val="single" w:sz="6" w:space="30" w:color="auto"/>
        <w:right w:val="single" w:sz="6" w:space="30" w:color="auto"/>
      </w:pBdr>
      <w:ind w:right="584"/>
    </w:pPr>
  </w:style>
  <w:style w:type="paragraph" w:customStyle="1" w:styleId="BoxSeqList2">
    <w:name w:val="Box SeqList 2"/>
    <w:basedOn w:val="BoxSeqList1"/>
    <w:pPr>
      <w:numPr>
        <w:ilvl w:val="2"/>
      </w:numPr>
      <w:pBdr>
        <w:left w:val="single" w:sz="6" w:space="20" w:color="auto"/>
      </w:pBdr>
    </w:pPr>
  </w:style>
  <w:style w:type="paragraph" w:customStyle="1" w:styleId="TableEntry">
    <w:name w:val="TableEntry"/>
    <w:basedOn w:val="Normal"/>
    <w:uiPriority w:val="99"/>
    <w:pPr>
      <w:spacing w:before="80" w:after="0"/>
      <w:jc w:val="left"/>
    </w:pPr>
    <w:rPr>
      <w:rFonts w:eastAsia="SimSun"/>
      <w:sz w:val="22"/>
      <w:szCs w:val="24"/>
    </w:rPr>
  </w:style>
  <w:style w:type="paragraph" w:customStyle="1" w:styleId="BoxTitle">
    <w:name w:val="Box Title"/>
    <w:basedOn w:val="Normal"/>
    <w:next w:val="BoxText"/>
    <w:uiPriority w:val="99"/>
    <w:pPr>
      <w:pBdr>
        <w:top w:val="single" w:sz="6" w:space="7" w:color="auto"/>
        <w:left w:val="single" w:sz="6" w:space="7" w:color="auto"/>
        <w:right w:val="single" w:sz="6" w:space="7" w:color="auto"/>
      </w:pBdr>
      <w:shd w:val="pct10" w:color="auto" w:fill="auto"/>
      <w:spacing w:after="0" w:line="360" w:lineRule="auto"/>
      <w:ind w:left="119" w:right="119"/>
      <w:jc w:val="center"/>
    </w:pPr>
    <w:rPr>
      <w:rFonts w:eastAsia="SimSun"/>
      <w:b/>
      <w:i/>
      <w:sz w:val="20"/>
      <w:szCs w:val="24"/>
    </w:rPr>
  </w:style>
  <w:style w:type="character" w:customStyle="1" w:styleId="Chart">
    <w:name w:val="Chart"/>
    <w:basedOn w:val="DefaultParagraphFont"/>
    <w:uiPriority w:val="99"/>
  </w:style>
  <w:style w:type="paragraph" w:customStyle="1" w:styleId="RandListLev2">
    <w:name w:val="Rand List Lev2"/>
    <w:basedOn w:val="RandListLev1"/>
    <w:uiPriority w:val="99"/>
    <w:pPr>
      <w:tabs>
        <w:tab w:val="clear" w:pos="754"/>
        <w:tab w:val="left" w:pos="1134"/>
      </w:tabs>
      <w:ind w:left="1134"/>
    </w:pPr>
  </w:style>
  <w:style w:type="paragraph" w:customStyle="1" w:styleId="RandListLev3">
    <w:name w:val="Rand List Lev3"/>
    <w:basedOn w:val="RandListLev2"/>
    <w:uiPriority w:val="99"/>
    <w:pPr>
      <w:tabs>
        <w:tab w:val="clear" w:pos="1134"/>
        <w:tab w:val="left" w:pos="1559"/>
      </w:tabs>
      <w:ind w:left="1559"/>
    </w:pPr>
  </w:style>
  <w:style w:type="paragraph" w:customStyle="1" w:styleId="RandListLev4">
    <w:name w:val="Rand List Lev4"/>
    <w:basedOn w:val="RandListLev3"/>
    <w:uiPriority w:val="99"/>
    <w:pPr>
      <w:tabs>
        <w:tab w:val="clear" w:pos="1559"/>
        <w:tab w:val="left" w:pos="1984"/>
      </w:tabs>
      <w:ind w:left="1984"/>
    </w:pPr>
  </w:style>
  <w:style w:type="paragraph" w:customStyle="1" w:styleId="DefListHeader">
    <w:name w:val="Def List Header"/>
    <w:basedOn w:val="Normal"/>
    <w:next w:val="Normal"/>
    <w:uiPriority w:val="99"/>
    <w:pPr>
      <w:keepNext/>
      <w:tabs>
        <w:tab w:val="left" w:pos="2835"/>
      </w:tabs>
      <w:spacing w:after="0"/>
      <w:jc w:val="left"/>
    </w:pPr>
    <w:rPr>
      <w:rFonts w:eastAsia="SimSun"/>
      <w:b/>
      <w:caps/>
      <w:sz w:val="28"/>
      <w:szCs w:val="24"/>
    </w:rPr>
  </w:style>
  <w:style w:type="paragraph" w:customStyle="1" w:styleId="DefinitionList">
    <w:name w:val="Definition List"/>
    <w:basedOn w:val="Normal"/>
    <w:next w:val="Normal"/>
    <w:uiPriority w:val="99"/>
    <w:pPr>
      <w:tabs>
        <w:tab w:val="left" w:pos="2835"/>
      </w:tabs>
      <w:spacing w:after="0"/>
      <w:ind w:left="2835" w:hanging="2835"/>
      <w:jc w:val="left"/>
    </w:pPr>
    <w:rPr>
      <w:rFonts w:eastAsia="SimSun"/>
      <w:sz w:val="22"/>
      <w:szCs w:val="24"/>
    </w:rPr>
  </w:style>
  <w:style w:type="paragraph" w:customStyle="1" w:styleId="DocTitle">
    <w:name w:val="DocTitle"/>
    <w:basedOn w:val="Normal"/>
    <w:next w:val="MeetingInfo"/>
    <w:uiPriority w:val="99"/>
    <w:pPr>
      <w:spacing w:after="480"/>
      <w:jc w:val="center"/>
    </w:pPr>
    <w:rPr>
      <w:rFonts w:eastAsia="SimSun"/>
      <w:smallCaps/>
      <w:color w:val="808080"/>
      <w:sz w:val="56"/>
      <w:szCs w:val="24"/>
    </w:rPr>
  </w:style>
  <w:style w:type="paragraph" w:customStyle="1" w:styleId="MeetingInfo">
    <w:name w:val="MeetingInfo"/>
    <w:basedOn w:val="Normal"/>
    <w:pPr>
      <w:pBdr>
        <w:top w:val="single" w:sz="12" w:space="6" w:color="auto"/>
        <w:left w:val="single" w:sz="12" w:space="6" w:color="auto"/>
        <w:bottom w:val="single" w:sz="12" w:space="6" w:color="auto"/>
        <w:right w:val="single" w:sz="12" w:space="6" w:color="auto"/>
        <w:between w:val="single" w:sz="12" w:space="6" w:color="auto"/>
      </w:pBdr>
      <w:jc w:val="center"/>
    </w:pPr>
    <w:rPr>
      <w:rFonts w:eastAsia="SimSun"/>
      <w:b/>
      <w:sz w:val="28"/>
      <w:szCs w:val="24"/>
    </w:rPr>
  </w:style>
  <w:style w:type="paragraph" w:customStyle="1" w:styleId="EndBox">
    <w:name w:val="EndBox"/>
    <w:basedOn w:val="Normal"/>
    <w:next w:val="Normal"/>
    <w:uiPriority w:val="99"/>
    <w:pPr>
      <w:pBdr>
        <w:left w:val="single" w:sz="6" w:space="1" w:color="auto"/>
        <w:bottom w:val="single" w:sz="6" w:space="1" w:color="auto"/>
        <w:right w:val="single" w:sz="6" w:space="1" w:color="auto"/>
      </w:pBdr>
      <w:shd w:val="pct10" w:color="auto" w:fill="auto"/>
      <w:spacing w:before="0" w:after="0"/>
      <w:jc w:val="left"/>
    </w:pPr>
    <w:rPr>
      <w:rFonts w:eastAsia="SimSun"/>
      <w:sz w:val="22"/>
      <w:szCs w:val="24"/>
    </w:rPr>
  </w:style>
  <w:style w:type="paragraph" w:customStyle="1" w:styleId="FigInfo-P">
    <w:name w:val="FigInfo-P"/>
    <w:basedOn w:val="Normal"/>
    <w:uiPriority w:val="99"/>
    <w:pPr>
      <w:spacing w:after="0"/>
      <w:jc w:val="left"/>
    </w:pPr>
    <w:rPr>
      <w:rFonts w:eastAsia="SimSun"/>
      <w:sz w:val="22"/>
      <w:szCs w:val="24"/>
    </w:rPr>
  </w:style>
  <w:style w:type="paragraph" w:customStyle="1" w:styleId="FigureTitle">
    <w:name w:val="Figure Title"/>
    <w:basedOn w:val="Normal"/>
    <w:uiPriority w:val="99"/>
    <w:pPr>
      <w:keepNext/>
      <w:spacing w:after="0"/>
      <w:jc w:val="left"/>
    </w:pPr>
    <w:rPr>
      <w:rFonts w:eastAsia="SimSun"/>
      <w:b/>
      <w:i/>
      <w:sz w:val="22"/>
      <w:szCs w:val="24"/>
    </w:rPr>
  </w:style>
  <w:style w:type="character" w:customStyle="1" w:styleId="Graph">
    <w:name w:val="Graph"/>
    <w:basedOn w:val="DefaultParagraphFont"/>
    <w:uiPriority w:val="99"/>
  </w:style>
  <w:style w:type="character" w:customStyle="1" w:styleId="Image">
    <w:name w:val="Image"/>
    <w:basedOn w:val="DefaultParagraphFont"/>
    <w:uiPriority w:val="99"/>
  </w:style>
  <w:style w:type="character" w:customStyle="1" w:styleId="Italic">
    <w:name w:val="Italic"/>
    <w:uiPriority w:val="99"/>
    <w:rPr>
      <w:i/>
    </w:rPr>
  </w:style>
  <w:style w:type="character" w:customStyle="1" w:styleId="ItalicUnderline">
    <w:name w:val="Italic Underline"/>
    <w:uiPriority w:val="99"/>
    <w:rPr>
      <w:i/>
      <w:u w:val="single"/>
    </w:rPr>
  </w:style>
  <w:style w:type="paragraph" w:customStyle="1" w:styleId="ListHeader">
    <w:name w:val="List Header"/>
    <w:basedOn w:val="Normal"/>
    <w:uiPriority w:val="99"/>
    <w:pPr>
      <w:keepNext/>
      <w:spacing w:after="0"/>
      <w:jc w:val="left"/>
    </w:pPr>
    <w:rPr>
      <w:rFonts w:eastAsia="SimSun"/>
      <w:sz w:val="22"/>
      <w:szCs w:val="24"/>
    </w:rPr>
  </w:style>
  <w:style w:type="paragraph" w:customStyle="1" w:styleId="MeetInfo">
    <w:name w:val="MeetInfo"/>
    <w:basedOn w:val="Normal"/>
    <w:next w:val="Normal"/>
    <w:uiPriority w:val="99"/>
    <w:pPr>
      <w:tabs>
        <w:tab w:val="left" w:pos="426"/>
      </w:tabs>
      <w:spacing w:before="60" w:after="0"/>
      <w:jc w:val="left"/>
    </w:pPr>
    <w:rPr>
      <w:rFonts w:eastAsia="SimSun"/>
      <w:sz w:val="18"/>
      <w:szCs w:val="24"/>
    </w:rPr>
  </w:style>
  <w:style w:type="paragraph" w:customStyle="1" w:styleId="SpacePara">
    <w:name w:val="SpacePara"/>
    <w:basedOn w:val="Normal"/>
    <w:next w:val="DocTitle"/>
    <w:uiPriority w:val="99"/>
    <w:pPr>
      <w:spacing w:before="0" w:after="0" w:line="480" w:lineRule="auto"/>
      <w:jc w:val="left"/>
    </w:pPr>
    <w:rPr>
      <w:rFonts w:eastAsia="SimSun"/>
      <w:sz w:val="22"/>
      <w:szCs w:val="24"/>
    </w:rPr>
  </w:style>
  <w:style w:type="character" w:customStyle="1" w:styleId="NroPara">
    <w:name w:val="NroPara"/>
    <w:basedOn w:val="DefaultParagraphFont"/>
    <w:uiPriority w:val="99"/>
  </w:style>
  <w:style w:type="character" w:customStyle="1" w:styleId="NumBox">
    <w:name w:val="NumBox"/>
    <w:basedOn w:val="DefaultParagraphFont"/>
    <w:uiPriority w:val="99"/>
  </w:style>
  <w:style w:type="character" w:customStyle="1" w:styleId="NumFigure">
    <w:name w:val="NumFigure"/>
    <w:basedOn w:val="DefaultParagraphFont"/>
    <w:uiPriority w:val="99"/>
  </w:style>
  <w:style w:type="character" w:customStyle="1" w:styleId="NumTable">
    <w:name w:val="NumTable"/>
    <w:basedOn w:val="DefaultParagraphFont"/>
    <w:uiPriority w:val="99"/>
  </w:style>
  <w:style w:type="character" w:styleId="PageNumber">
    <w:name w:val="page number"/>
    <w:basedOn w:val="DefaultParagraphFont"/>
    <w:uiPriority w:val="99"/>
  </w:style>
  <w:style w:type="paragraph" w:customStyle="1" w:styleId="PgBrk">
    <w:name w:val="PgBrk"/>
    <w:basedOn w:val="Normal"/>
    <w:next w:val="Heading1"/>
    <w:uiPriority w:val="99"/>
    <w:pPr>
      <w:pageBreakBefore/>
      <w:spacing w:after="0" w:line="14" w:lineRule="exact"/>
      <w:jc w:val="left"/>
    </w:pPr>
    <w:rPr>
      <w:rFonts w:eastAsia="SimSun"/>
      <w:sz w:val="22"/>
      <w:szCs w:val="24"/>
    </w:rPr>
  </w:style>
  <w:style w:type="paragraph" w:customStyle="1" w:styleId="StartBack">
    <w:name w:val="StartBack"/>
    <w:basedOn w:val="SpacePara"/>
    <w:next w:val="Normal"/>
    <w:uiPriority w:val="99"/>
  </w:style>
  <w:style w:type="paragraph" w:customStyle="1" w:styleId="StartBody">
    <w:name w:val="StartBody"/>
    <w:basedOn w:val="SpacePara"/>
    <w:next w:val="Normal"/>
    <w:uiPriority w:val="99"/>
  </w:style>
  <w:style w:type="paragraph" w:customStyle="1" w:styleId="TBL-COLMNhd">
    <w:name w:val="TBL-COLMNhd"/>
    <w:basedOn w:val="Normal"/>
    <w:uiPriority w:val="99"/>
    <w:pPr>
      <w:tabs>
        <w:tab w:val="left" w:pos="-720"/>
      </w:tabs>
      <w:suppressAutoHyphens/>
      <w:spacing w:before="60" w:after="20"/>
      <w:jc w:val="center"/>
    </w:pPr>
    <w:rPr>
      <w:rFonts w:eastAsia="SimSun"/>
      <w:b/>
      <w:sz w:val="22"/>
      <w:szCs w:val="24"/>
    </w:rPr>
  </w:style>
  <w:style w:type="character" w:customStyle="1" w:styleId="Term">
    <w:name w:val="Term"/>
    <w:uiPriority w:val="99"/>
    <w:rPr>
      <w:b/>
    </w:rPr>
  </w:style>
  <w:style w:type="character" w:customStyle="1" w:styleId="TermHeading">
    <w:name w:val="Term Heading"/>
    <w:uiPriority w:val="99"/>
    <w:rPr>
      <w:b/>
    </w:rPr>
  </w:style>
  <w:style w:type="paragraph" w:customStyle="1" w:styleId="TOCRef">
    <w:name w:val="TOCRef"/>
    <w:basedOn w:val="Normal"/>
    <w:next w:val="TOC1"/>
    <w:uiPriority w:val="99"/>
    <w:pPr>
      <w:spacing w:after="0" w:line="200" w:lineRule="exact"/>
      <w:jc w:val="right"/>
    </w:pPr>
    <w:rPr>
      <w:rFonts w:eastAsia="SimSun"/>
      <w:sz w:val="22"/>
      <w:szCs w:val="24"/>
    </w:rPr>
  </w:style>
  <w:style w:type="paragraph" w:customStyle="1" w:styleId="TOCTitle">
    <w:name w:val="TOCTitle"/>
    <w:basedOn w:val="Normal"/>
    <w:next w:val="TOCRef"/>
    <w:uiPriority w:val="99"/>
    <w:pPr>
      <w:pBdr>
        <w:top w:val="single" w:sz="6" w:space="5" w:color="auto"/>
        <w:bottom w:val="single" w:sz="6" w:space="5" w:color="auto"/>
      </w:pBdr>
      <w:spacing w:before="600" w:after="600" w:line="360" w:lineRule="auto"/>
      <w:ind w:left="-170" w:right="-170"/>
      <w:jc w:val="center"/>
    </w:pPr>
    <w:rPr>
      <w:rFonts w:eastAsia="SimSun"/>
      <w:b/>
      <w:sz w:val="28"/>
      <w:szCs w:val="24"/>
    </w:rPr>
  </w:style>
  <w:style w:type="character" w:customStyle="1" w:styleId="Underline">
    <w:name w:val="Underline"/>
    <w:uiPriority w:val="99"/>
    <w:rPr>
      <w:u w:val="single"/>
    </w:rPr>
  </w:style>
  <w:style w:type="character" w:customStyle="1" w:styleId="XReference">
    <w:name w:val="XReference"/>
    <w:uiPriority w:val="99"/>
    <w:rPr>
      <w:color w:val="0000FF"/>
    </w:rPr>
  </w:style>
  <w:style w:type="paragraph" w:customStyle="1" w:styleId="Format1">
    <w:name w:val="Format1"/>
    <w:basedOn w:val="Normal"/>
    <w:uiPriority w:val="99"/>
    <w:pPr>
      <w:spacing w:before="60" w:after="0"/>
      <w:jc w:val="left"/>
    </w:pPr>
    <w:rPr>
      <w:rFonts w:ascii="Courier New" w:eastAsia="SimSun" w:hAnsi="Courier New"/>
      <w:sz w:val="22"/>
      <w:szCs w:val="24"/>
    </w:rPr>
  </w:style>
  <w:style w:type="paragraph" w:customStyle="1" w:styleId="Format2">
    <w:name w:val="Format2"/>
    <w:basedOn w:val="Normal"/>
    <w:uiPriority w:val="99"/>
    <w:pPr>
      <w:spacing w:before="60" w:after="0"/>
      <w:jc w:val="left"/>
    </w:pPr>
    <w:rPr>
      <w:rFonts w:ascii="Courier New" w:eastAsia="SimSun" w:hAnsi="Courier New"/>
      <w:sz w:val="16"/>
      <w:szCs w:val="24"/>
    </w:rPr>
  </w:style>
  <w:style w:type="paragraph" w:customStyle="1" w:styleId="RightJust">
    <w:name w:val="RightJust"/>
    <w:basedOn w:val="Normal"/>
    <w:uiPriority w:val="99"/>
    <w:pPr>
      <w:spacing w:after="0"/>
      <w:jc w:val="right"/>
    </w:pPr>
    <w:rPr>
      <w:rFonts w:eastAsia="SimSun"/>
      <w:sz w:val="22"/>
      <w:szCs w:val="24"/>
    </w:rPr>
  </w:style>
  <w:style w:type="paragraph" w:customStyle="1" w:styleId="BlockQuote">
    <w:name w:val="BlockQuote"/>
    <w:basedOn w:val="Normal"/>
    <w:uiPriority w:val="99"/>
    <w:pPr>
      <w:spacing w:before="60" w:after="0"/>
      <w:ind w:left="284" w:right="284"/>
      <w:jc w:val="left"/>
    </w:pPr>
    <w:rPr>
      <w:rFonts w:eastAsia="SimSun"/>
      <w:i/>
      <w:sz w:val="22"/>
      <w:szCs w:val="24"/>
    </w:rPr>
  </w:style>
  <w:style w:type="paragraph" w:customStyle="1" w:styleId="BoxBlankLine">
    <w:name w:val="Box BlankLine"/>
    <w:basedOn w:val="BlankLine"/>
    <w:next w:val="Normal"/>
    <w:uiPriority w:val="99"/>
  </w:style>
  <w:style w:type="paragraph" w:customStyle="1" w:styleId="BoxFigCaption">
    <w:name w:val="Box FigCaption"/>
    <w:basedOn w:val="Normal"/>
    <w:uiPriority w:val="99"/>
    <w:pPr>
      <w:shd w:val="pct10" w:color="auto" w:fill="auto"/>
      <w:spacing w:before="0" w:after="0"/>
    </w:pPr>
    <w:rPr>
      <w:rFonts w:eastAsia="SimSun"/>
      <w:i/>
      <w:sz w:val="20"/>
      <w:szCs w:val="24"/>
    </w:rPr>
  </w:style>
  <w:style w:type="paragraph" w:customStyle="1" w:styleId="BoxTableTitle">
    <w:name w:val="Box Table Title"/>
    <w:basedOn w:val="Normal"/>
    <w:uiPriority w:val="99"/>
    <w:pPr>
      <w:keepNext/>
      <w:pBdr>
        <w:left w:val="single" w:sz="6" w:space="1" w:color="auto"/>
        <w:right w:val="single" w:sz="6" w:space="1" w:color="auto"/>
      </w:pBdr>
      <w:shd w:val="pct10" w:color="auto" w:fill="auto"/>
      <w:spacing w:after="0"/>
    </w:pPr>
    <w:rPr>
      <w:rFonts w:eastAsia="SimSun"/>
      <w:b/>
      <w:sz w:val="20"/>
      <w:szCs w:val="24"/>
    </w:rPr>
  </w:style>
  <w:style w:type="paragraph" w:customStyle="1" w:styleId="BoxTblEntry">
    <w:name w:val="Box TblEntry"/>
    <w:basedOn w:val="Normal"/>
    <w:uiPriority w:val="99"/>
    <w:pPr>
      <w:shd w:val="pct10" w:color="auto" w:fill="auto"/>
      <w:spacing w:after="0"/>
    </w:pPr>
    <w:rPr>
      <w:rFonts w:eastAsia="SimSun"/>
      <w:sz w:val="20"/>
      <w:szCs w:val="24"/>
    </w:rPr>
  </w:style>
  <w:style w:type="character" w:customStyle="1" w:styleId="BoxFigInfo-C">
    <w:name w:val="BoxFigInfo-C"/>
    <w:basedOn w:val="DefaultParagraphFont"/>
    <w:uiPriority w:val="99"/>
  </w:style>
  <w:style w:type="paragraph" w:customStyle="1" w:styleId="BoxFigInfo-P">
    <w:name w:val="BoxFigInfo-P"/>
    <w:basedOn w:val="BoxText"/>
    <w:uiPriority w:val="99"/>
  </w:style>
  <w:style w:type="paragraph" w:customStyle="1" w:styleId="BoxFigTitle">
    <w:name w:val="BoxFigTitle"/>
    <w:basedOn w:val="BoxFigCaption"/>
    <w:uiPriority w:val="99"/>
    <w:pPr>
      <w:keepNext/>
    </w:pPr>
    <w:rPr>
      <w:b/>
      <w:i w:val="0"/>
    </w:rPr>
  </w:style>
  <w:style w:type="paragraph" w:customStyle="1" w:styleId="BoxTblColHd">
    <w:name w:val="BoxTblColHd"/>
    <w:basedOn w:val="BoxTblEntry"/>
    <w:uiPriority w:val="99"/>
    <w:rPr>
      <w:b/>
    </w:rPr>
  </w:style>
  <w:style w:type="paragraph" w:customStyle="1" w:styleId="DashListLev1">
    <w:name w:val="Dash List Lev1"/>
    <w:basedOn w:val="Normal"/>
    <w:uiPriority w:val="99"/>
    <w:pPr>
      <w:tabs>
        <w:tab w:val="num" w:pos="0"/>
      </w:tabs>
      <w:spacing w:before="0" w:after="0"/>
      <w:ind w:left="760" w:hanging="363"/>
      <w:jc w:val="left"/>
    </w:pPr>
    <w:rPr>
      <w:rFonts w:eastAsia="SimSun"/>
      <w:sz w:val="22"/>
      <w:szCs w:val="24"/>
    </w:rPr>
  </w:style>
  <w:style w:type="paragraph" w:customStyle="1" w:styleId="DashListLev2">
    <w:name w:val="Dash List Lev2"/>
    <w:basedOn w:val="DashListLev1"/>
    <w:uiPriority w:val="99"/>
    <w:pPr>
      <w:tabs>
        <w:tab w:val="clear" w:pos="0"/>
      </w:tabs>
      <w:ind w:left="981" w:hanging="357"/>
    </w:pPr>
  </w:style>
  <w:style w:type="paragraph" w:customStyle="1" w:styleId="DashListLev3">
    <w:name w:val="Dash List Lev3"/>
    <w:basedOn w:val="DashListLev2"/>
    <w:uiPriority w:val="99"/>
    <w:pPr>
      <w:ind w:left="1208"/>
    </w:pPr>
  </w:style>
  <w:style w:type="paragraph" w:customStyle="1" w:styleId="DashListLev4">
    <w:name w:val="Dash List Lev4"/>
    <w:basedOn w:val="DashListLev3"/>
    <w:uiPriority w:val="99"/>
    <w:pPr>
      <w:numPr>
        <w:numId w:val="13"/>
      </w:numPr>
      <w:ind w:left="1434" w:hanging="357"/>
    </w:pPr>
  </w:style>
  <w:style w:type="character" w:customStyle="1" w:styleId="FigInfo-C">
    <w:name w:val="FigInfo-C"/>
    <w:basedOn w:val="DefaultParagraphFont"/>
    <w:uiPriority w:val="99"/>
  </w:style>
  <w:style w:type="paragraph" w:customStyle="1" w:styleId="ParaNote">
    <w:name w:val="Para Note"/>
    <w:basedOn w:val="Note"/>
    <w:uiPriority w:val="99"/>
    <w:pPr>
      <w:pBdr>
        <w:top w:val="single" w:sz="6" w:space="3" w:color="auto" w:shadow="1"/>
        <w:left w:val="single" w:sz="6" w:space="3" w:color="auto" w:shadow="1"/>
        <w:bottom w:val="single" w:sz="6" w:space="3" w:color="auto" w:shadow="1"/>
        <w:right w:val="single" w:sz="6" w:space="3" w:color="auto" w:shadow="1"/>
      </w:pBdr>
      <w:shd w:val="pct20" w:color="auto" w:fill="auto"/>
    </w:pPr>
    <w:rPr>
      <w:b/>
      <w:i w:val="0"/>
      <w:sz w:val="18"/>
    </w:rPr>
  </w:style>
  <w:style w:type="character" w:customStyle="1" w:styleId="Picture">
    <w:name w:val="Picture"/>
    <w:basedOn w:val="DefaultParagraphFont"/>
    <w:uiPriority w:val="99"/>
  </w:style>
  <w:style w:type="paragraph" w:customStyle="1" w:styleId="PlainList1">
    <w:name w:val="PlainList 1"/>
    <w:basedOn w:val="Normal"/>
    <w:uiPriority w:val="99"/>
    <w:pPr>
      <w:spacing w:before="0" w:after="0"/>
      <w:jc w:val="left"/>
    </w:pPr>
    <w:rPr>
      <w:rFonts w:eastAsia="SimSun"/>
      <w:sz w:val="22"/>
      <w:szCs w:val="24"/>
    </w:rPr>
  </w:style>
  <w:style w:type="paragraph" w:customStyle="1" w:styleId="PlainList2">
    <w:name w:val="PlainList 2"/>
    <w:basedOn w:val="PlainList1"/>
    <w:uiPriority w:val="99"/>
    <w:pPr>
      <w:numPr>
        <w:numId w:val="16"/>
      </w:numPr>
      <w:tabs>
        <w:tab w:val="clear" w:pos="0"/>
      </w:tabs>
      <w:ind w:left="567" w:firstLine="0"/>
    </w:pPr>
  </w:style>
  <w:style w:type="paragraph" w:customStyle="1" w:styleId="PlainList3">
    <w:name w:val="PlainList 3"/>
    <w:basedOn w:val="PlainList2"/>
    <w:uiPriority w:val="99"/>
    <w:pPr>
      <w:numPr>
        <w:numId w:val="15"/>
      </w:numPr>
      <w:ind w:left="1134" w:firstLine="0"/>
    </w:pPr>
  </w:style>
  <w:style w:type="paragraph" w:customStyle="1" w:styleId="PlainList4">
    <w:name w:val="PlainList 4"/>
    <w:basedOn w:val="PlainList3"/>
    <w:uiPriority w:val="99"/>
    <w:pPr>
      <w:numPr>
        <w:numId w:val="14"/>
      </w:numPr>
      <w:ind w:left="1701" w:firstLine="0"/>
    </w:pPr>
  </w:style>
  <w:style w:type="character" w:customStyle="1" w:styleId="Quote1">
    <w:name w:val="Quote1"/>
    <w:uiPriority w:val="99"/>
    <w:rPr>
      <w:rFonts w:ascii="Times New Roman" w:hAnsi="Times New Roman"/>
      <w:i/>
      <w:sz w:val="20"/>
    </w:rPr>
  </w:style>
  <w:style w:type="character" w:customStyle="1" w:styleId="NroSeq">
    <w:name w:val="NroSeq"/>
    <w:uiPriority w:val="99"/>
    <w:rPr>
      <w:color w:val="0000FF"/>
    </w:rPr>
  </w:style>
  <w:style w:type="character" w:customStyle="1" w:styleId="NroTOC">
    <w:name w:val="NroTOC"/>
    <w:uiPriority w:val="99"/>
    <w:rPr>
      <w:color w:val="auto"/>
      <w:sz w:val="22"/>
      <w:u w:val="none"/>
      <w:vertAlign w:val="baseline"/>
    </w:rPr>
  </w:style>
  <w:style w:type="paragraph" w:customStyle="1" w:styleId="PrelimNote">
    <w:name w:val="PrelimNote"/>
    <w:basedOn w:val="Normal"/>
    <w:next w:val="Normal"/>
    <w:uiPriority w:val="99"/>
    <w:pPr>
      <w:spacing w:after="0"/>
      <w:ind w:left="709" w:right="709"/>
      <w:jc w:val="left"/>
    </w:pPr>
    <w:rPr>
      <w:rFonts w:eastAsia="SimSun"/>
      <w:sz w:val="22"/>
      <w:szCs w:val="24"/>
    </w:rPr>
  </w:style>
  <w:style w:type="paragraph" w:customStyle="1" w:styleId="CentredJust">
    <w:name w:val="CentredJust"/>
    <w:basedOn w:val="Normal"/>
    <w:uiPriority w:val="99"/>
    <w:pPr>
      <w:spacing w:after="0"/>
      <w:jc w:val="center"/>
    </w:pPr>
    <w:rPr>
      <w:rFonts w:eastAsia="SimSun"/>
      <w:sz w:val="22"/>
      <w:szCs w:val="24"/>
    </w:rPr>
  </w:style>
  <w:style w:type="character" w:customStyle="1" w:styleId="Subscript">
    <w:name w:val="Subscript"/>
    <w:uiPriority w:val="99"/>
    <w:rPr>
      <w:noProof w:val="0"/>
      <w:vertAlign w:val="subscript"/>
      <w:lang w:val="fr-FR"/>
    </w:rPr>
  </w:style>
  <w:style w:type="character" w:customStyle="1" w:styleId="Superscript">
    <w:name w:val="Superscript"/>
    <w:uiPriority w:val="99"/>
    <w:rPr>
      <w:noProof w:val="0"/>
      <w:vertAlign w:val="superscript"/>
      <w:lang w:val="fr-FR"/>
    </w:rPr>
  </w:style>
  <w:style w:type="paragraph" w:customStyle="1" w:styleId="ListDel">
    <w:name w:val="ListDel"/>
    <w:basedOn w:val="Normal"/>
    <w:next w:val="Country"/>
    <w:uiPriority w:val="99"/>
    <w:pPr>
      <w:spacing w:after="0"/>
      <w:jc w:val="center"/>
    </w:pPr>
    <w:rPr>
      <w:rFonts w:eastAsia="SimSun"/>
      <w:b/>
      <w:sz w:val="22"/>
      <w:szCs w:val="24"/>
    </w:rPr>
  </w:style>
  <w:style w:type="paragraph" w:customStyle="1" w:styleId="Country">
    <w:name w:val="Country"/>
    <w:basedOn w:val="Normal"/>
    <w:next w:val="Role"/>
    <w:uiPriority w:val="99"/>
    <w:pPr>
      <w:keepNext/>
      <w:spacing w:after="0"/>
      <w:jc w:val="left"/>
    </w:pPr>
    <w:rPr>
      <w:rFonts w:eastAsia="SimSun"/>
      <w:b/>
      <w:caps/>
      <w:sz w:val="22"/>
      <w:szCs w:val="24"/>
    </w:rPr>
  </w:style>
  <w:style w:type="paragraph" w:customStyle="1" w:styleId="Role">
    <w:name w:val="Role"/>
    <w:basedOn w:val="Normal"/>
    <w:next w:val="Name"/>
    <w:uiPriority w:val="99"/>
    <w:pPr>
      <w:keepNext/>
      <w:spacing w:after="0"/>
      <w:jc w:val="left"/>
    </w:pPr>
    <w:rPr>
      <w:rFonts w:eastAsia="SimSun"/>
      <w:sz w:val="22"/>
      <w:szCs w:val="24"/>
    </w:rPr>
  </w:style>
  <w:style w:type="paragraph" w:customStyle="1" w:styleId="Name">
    <w:name w:val="Name"/>
    <w:basedOn w:val="Normal"/>
    <w:uiPriority w:val="99"/>
    <w:pPr>
      <w:keepLines/>
      <w:spacing w:after="0"/>
      <w:ind w:left="284"/>
      <w:jc w:val="left"/>
    </w:pPr>
    <w:rPr>
      <w:rFonts w:eastAsia="SimSun"/>
      <w:sz w:val="22"/>
      <w:szCs w:val="24"/>
    </w:rPr>
  </w:style>
  <w:style w:type="paragraph" w:customStyle="1" w:styleId="ColumnBreak">
    <w:name w:val="ColumnBreak"/>
    <w:basedOn w:val="Normal"/>
    <w:next w:val="Normal"/>
    <w:uiPriority w:val="99"/>
    <w:pPr>
      <w:spacing w:before="0" w:after="0" w:line="10" w:lineRule="exact"/>
      <w:jc w:val="left"/>
    </w:pPr>
    <w:rPr>
      <w:rFonts w:ascii="Courier New" w:eastAsia="SimSun" w:hAnsi="Courier New"/>
      <w:sz w:val="22"/>
      <w:szCs w:val="24"/>
    </w:rPr>
  </w:style>
  <w:style w:type="paragraph" w:customStyle="1" w:styleId="ContBrk">
    <w:name w:val="ContBrk"/>
    <w:basedOn w:val="Normal"/>
    <w:next w:val="Normal"/>
    <w:uiPriority w:val="99"/>
    <w:pPr>
      <w:spacing w:after="0" w:line="360" w:lineRule="auto"/>
      <w:jc w:val="left"/>
    </w:pPr>
    <w:rPr>
      <w:rFonts w:ascii="Courier New" w:eastAsia="SimSun" w:hAnsi="Courier New"/>
      <w:sz w:val="22"/>
      <w:szCs w:val="24"/>
    </w:rPr>
  </w:style>
  <w:style w:type="paragraph" w:customStyle="1" w:styleId="SectionBreak">
    <w:name w:val="SectionBreak"/>
    <w:basedOn w:val="Normal"/>
    <w:next w:val="Heading1"/>
    <w:uiPriority w:val="99"/>
    <w:pPr>
      <w:spacing w:before="0" w:after="0" w:line="10" w:lineRule="exact"/>
      <w:jc w:val="left"/>
    </w:pPr>
    <w:rPr>
      <w:rFonts w:ascii="Courier New" w:eastAsia="SimSun" w:hAnsi="Courier New"/>
      <w:sz w:val="22"/>
      <w:szCs w:val="24"/>
    </w:rPr>
  </w:style>
  <w:style w:type="paragraph" w:customStyle="1" w:styleId="HeadingAnnex">
    <w:name w:val="Heading Annex"/>
    <w:basedOn w:val="Normal"/>
    <w:next w:val="Normal"/>
    <w:uiPriority w:val="99"/>
    <w:pPr>
      <w:keepNext/>
      <w:pBdr>
        <w:top w:val="single" w:sz="6" w:space="1" w:color="auto"/>
        <w:bottom w:val="single" w:sz="6" w:space="1" w:color="auto"/>
      </w:pBdr>
      <w:spacing w:before="240" w:after="0"/>
      <w:ind w:left="709" w:hanging="709"/>
      <w:jc w:val="center"/>
    </w:pPr>
    <w:rPr>
      <w:rFonts w:ascii="Times New Roman Bold" w:eastAsia="SimSun" w:hAnsi="Times New Roman Bold"/>
      <w:b/>
      <w:caps/>
      <w:szCs w:val="24"/>
    </w:rPr>
  </w:style>
  <w:style w:type="paragraph" w:customStyle="1" w:styleId="SeqListLev1">
    <w:name w:val="Seq List Lev1"/>
    <w:basedOn w:val="Normal"/>
    <w:uiPriority w:val="99"/>
    <w:pPr>
      <w:numPr>
        <w:ilvl w:val="1"/>
        <w:numId w:val="9"/>
      </w:numPr>
      <w:spacing w:before="0" w:after="0"/>
      <w:jc w:val="left"/>
    </w:pPr>
    <w:rPr>
      <w:rFonts w:eastAsia="SimSun"/>
      <w:sz w:val="22"/>
      <w:szCs w:val="24"/>
    </w:rPr>
  </w:style>
  <w:style w:type="paragraph" w:customStyle="1" w:styleId="SeqListLev2">
    <w:name w:val="Seq List Lev2"/>
    <w:basedOn w:val="SeqListLev1"/>
    <w:uiPriority w:val="99"/>
    <w:pPr>
      <w:numPr>
        <w:ilvl w:val="2"/>
      </w:numPr>
    </w:pPr>
  </w:style>
  <w:style w:type="paragraph" w:customStyle="1" w:styleId="SeqListLev3">
    <w:name w:val="Seq List Lev3"/>
    <w:basedOn w:val="SeqListLev2"/>
    <w:uiPriority w:val="99"/>
    <w:pPr>
      <w:numPr>
        <w:ilvl w:val="3"/>
      </w:numPr>
    </w:pPr>
  </w:style>
  <w:style w:type="paragraph" w:customStyle="1" w:styleId="SeqListLev4">
    <w:name w:val="Seq List Lev4"/>
    <w:basedOn w:val="SeqListLev3"/>
    <w:uiPriority w:val="99"/>
    <w:pPr>
      <w:numPr>
        <w:ilvl w:val="4"/>
      </w:numPr>
    </w:pPr>
  </w:style>
  <w:style w:type="paragraph" w:customStyle="1" w:styleId="Para1">
    <w:name w:val="Para1"/>
    <w:basedOn w:val="Normal"/>
    <w:uiPriority w:val="99"/>
    <w:pPr>
      <w:numPr>
        <w:ilvl w:val="1"/>
        <w:numId w:val="17"/>
      </w:numPr>
    </w:pPr>
    <w:rPr>
      <w:rFonts w:eastAsia="SimSun"/>
      <w:snapToGrid w:val="0"/>
      <w:sz w:val="22"/>
      <w:szCs w:val="18"/>
    </w:rPr>
  </w:style>
  <w:style w:type="paragraph" w:styleId="BodyText">
    <w:name w:val="Body Text"/>
    <w:basedOn w:val="Normal"/>
    <w:link w:val="BodyTextChar"/>
    <w:uiPriority w:val="99"/>
    <w:pPr>
      <w:spacing w:before="0" w:after="0"/>
    </w:pPr>
    <w:rPr>
      <w:rFonts w:eastAsia="SimSun"/>
      <w:szCs w:val="24"/>
    </w:rPr>
  </w:style>
  <w:style w:type="character" w:customStyle="1" w:styleId="BodyTextChar">
    <w:name w:val="Body Text Char"/>
    <w:basedOn w:val="DefaultParagraphFont"/>
    <w:link w:val="BodyText"/>
    <w:uiPriority w:val="99"/>
    <w:rPr>
      <w:rFonts w:ascii="Times New Roman" w:eastAsia="SimSun" w:hAnsi="Times New Roman" w:cs="Times New Roman"/>
      <w:sz w:val="24"/>
      <w:szCs w:val="24"/>
    </w:rPr>
  </w:style>
  <w:style w:type="paragraph" w:styleId="BodyText2">
    <w:name w:val="Body Text 2"/>
    <w:basedOn w:val="Normal"/>
    <w:link w:val="BodyText2Char"/>
    <w:uiPriority w:val="99"/>
    <w:pPr>
      <w:spacing w:before="0" w:line="480" w:lineRule="auto"/>
      <w:jc w:val="left"/>
    </w:pPr>
    <w:rPr>
      <w:rFonts w:eastAsia="PMingLiU"/>
      <w:szCs w:val="24"/>
    </w:rPr>
  </w:style>
  <w:style w:type="character" w:customStyle="1" w:styleId="BodyText2Char">
    <w:name w:val="Body Text 2 Char"/>
    <w:basedOn w:val="DefaultParagraphFont"/>
    <w:link w:val="BodyText2"/>
    <w:uiPriority w:val="99"/>
    <w:rPr>
      <w:rFonts w:ascii="Times New Roman" w:eastAsia="PMingLiU" w:hAnsi="Times New Roman" w:cs="Times New Roman"/>
      <w:sz w:val="24"/>
      <w:szCs w:val="24"/>
      <w:lang w:val="fr-FR"/>
    </w:rPr>
  </w:style>
  <w:style w:type="paragraph" w:styleId="PlainText">
    <w:name w:val="Plain Text"/>
    <w:basedOn w:val="Normal"/>
    <w:link w:val="PlainTextChar"/>
    <w:uiPriority w:val="99"/>
    <w:pPr>
      <w:spacing w:before="0" w:after="0"/>
      <w:jc w:val="left"/>
    </w:pPr>
    <w:rPr>
      <w:rFonts w:ascii="Courier New" w:eastAsia="SimSun" w:hAnsi="Courier New" w:cs="Courier New"/>
      <w:sz w:val="20"/>
      <w:szCs w:val="24"/>
    </w:rPr>
  </w:style>
  <w:style w:type="character" w:customStyle="1" w:styleId="PlainTextChar">
    <w:name w:val="Plain Text Char"/>
    <w:basedOn w:val="DefaultParagraphFont"/>
    <w:link w:val="PlainText"/>
    <w:uiPriority w:val="99"/>
    <w:rPr>
      <w:rFonts w:ascii="Courier New" w:eastAsia="SimSun" w:hAnsi="Courier New" w:cs="Courier New"/>
      <w:sz w:val="20"/>
      <w:szCs w:val="24"/>
    </w:rPr>
  </w:style>
  <w:style w:type="paragraph" w:customStyle="1" w:styleId="FootNoteText">
    <w:name w:val="Foot Note Text"/>
    <w:basedOn w:val="Normal"/>
    <w:uiPriority w:val="99"/>
    <w:pPr>
      <w:autoSpaceDE w:val="0"/>
      <w:autoSpaceDN w:val="0"/>
      <w:adjustRightInd w:val="0"/>
      <w:spacing w:before="0" w:after="0"/>
      <w:jc w:val="left"/>
    </w:pPr>
    <w:rPr>
      <w:rFonts w:eastAsia="PMingLiU"/>
      <w:szCs w:val="24"/>
      <w:lang w:eastAsia="zh-TW"/>
    </w:rPr>
  </w:style>
  <w:style w:type="character" w:customStyle="1" w:styleId="FootNoteTextChar">
    <w:name w:val="Foot Note Text Char"/>
    <w:uiPriority w:val="99"/>
    <w:rPr>
      <w:rFonts w:eastAsia="PMingLiU"/>
      <w:noProof/>
      <w:sz w:val="24"/>
      <w:szCs w:val="24"/>
      <w:lang w:val="fr-FR" w:eastAsia="zh-TW" w:bidi="ar-SA"/>
    </w:rPr>
  </w:style>
  <w:style w:type="character" w:customStyle="1" w:styleId="Char">
    <w:name w:val="Char"/>
    <w:uiPriority w:val="99"/>
    <w:rPr>
      <w:noProof/>
      <w:sz w:val="18"/>
      <w:lang w:val="fr-FR" w:eastAsia="en-GB" w:bidi="ar-SA"/>
    </w:rPr>
  </w:style>
  <w:style w:type="paragraph" w:styleId="BodyTextIndent2">
    <w:name w:val="Body Text Indent 2"/>
    <w:basedOn w:val="Normal"/>
    <w:link w:val="BodyTextIndent2Char"/>
    <w:uiPriority w:val="99"/>
    <w:pPr>
      <w:spacing w:line="480" w:lineRule="auto"/>
      <w:ind w:left="283"/>
      <w:jc w:val="left"/>
    </w:pPr>
    <w:rPr>
      <w:rFonts w:eastAsia="SimSun"/>
      <w:sz w:val="22"/>
      <w:szCs w:val="24"/>
    </w:rPr>
  </w:style>
  <w:style w:type="character" w:customStyle="1" w:styleId="BodyTextIndent2Char">
    <w:name w:val="Body Text Indent 2 Char"/>
    <w:basedOn w:val="DefaultParagraphFont"/>
    <w:link w:val="BodyTextIndent2"/>
    <w:uiPriority w:val="99"/>
    <w:rPr>
      <w:rFonts w:ascii="Times New Roman" w:eastAsia="SimSun" w:hAnsi="Times New Roman" w:cs="Times New Roman"/>
      <w:szCs w:val="24"/>
      <w:lang w:val="fr-FR"/>
    </w:rPr>
  </w:style>
  <w:style w:type="paragraph" w:customStyle="1" w:styleId="bulltext">
    <w:name w:val="bulltext"/>
    <w:basedOn w:val="Normal"/>
    <w:next w:val="Normal"/>
    <w:uiPriority w:val="99"/>
    <w:pPr>
      <w:autoSpaceDE w:val="0"/>
      <w:autoSpaceDN w:val="0"/>
      <w:adjustRightInd w:val="0"/>
      <w:spacing w:before="0" w:after="60"/>
      <w:jc w:val="left"/>
    </w:pPr>
    <w:rPr>
      <w:rFonts w:ascii="KPDIHJ+TimesNewRoman,Bold" w:eastAsia="SimSun" w:hAnsi="KPDIHJ+TimesNewRoman,Bold"/>
      <w:szCs w:val="24"/>
    </w:rPr>
  </w:style>
  <w:style w:type="paragraph" w:customStyle="1" w:styleId="Heading2longmultiline">
    <w:name w:val="Heading 2 (long multiline)"/>
    <w:basedOn w:val="Normal"/>
    <w:uiPriority w:val="99"/>
    <w:pPr>
      <w:keepNext/>
      <w:tabs>
        <w:tab w:val="left" w:pos="720"/>
        <w:tab w:val="num" w:pos="2880"/>
      </w:tabs>
      <w:ind w:left="2880" w:right="998" w:hanging="360"/>
      <w:jc w:val="left"/>
      <w:outlineLvl w:val="0"/>
    </w:pPr>
    <w:rPr>
      <w:rFonts w:eastAsia="Times New Roman"/>
      <w:b/>
      <w:bCs/>
      <w:i/>
      <w:iCs/>
      <w:sz w:val="22"/>
    </w:rPr>
  </w:style>
  <w:style w:type="paragraph" w:customStyle="1" w:styleId="Paragrafoelenco1">
    <w:name w:val="Paragrafo elenco1"/>
    <w:basedOn w:val="Normal"/>
    <w:uiPriority w:val="99"/>
    <w:pPr>
      <w:spacing w:before="0" w:after="200" w:line="276" w:lineRule="auto"/>
      <w:ind w:left="720"/>
    </w:pPr>
    <w:rPr>
      <w:rFonts w:ascii="Cambria" w:eastAsia="Times New Roman" w:hAnsi="Cambria" w:cs="Cambria"/>
      <w:sz w:val="20"/>
      <w:szCs w:val="20"/>
    </w:rPr>
  </w:style>
  <w:style w:type="paragraph" w:customStyle="1" w:styleId="ListParagraph1">
    <w:name w:val="List Paragraph1"/>
    <w:basedOn w:val="Normal"/>
    <w:uiPriority w:val="99"/>
    <w:pPr>
      <w:spacing w:before="0" w:after="200" w:line="276" w:lineRule="atLeast"/>
      <w:ind w:left="720"/>
      <w:jc w:val="left"/>
    </w:pPr>
    <w:rPr>
      <w:rFonts w:ascii="Calibri" w:eastAsia="Times New Roman" w:hAnsi="Calibri" w:cs="Calibri"/>
      <w:sz w:val="22"/>
    </w:rPr>
  </w:style>
  <w:style w:type="table" w:styleId="TableGrid">
    <w:name w:val="Table Grid"/>
    <w:basedOn w:val="TableNormal"/>
    <w:uiPriority w:val="5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rFonts w:ascii="Times New Roman" w:eastAsia="SimSun" w:hAnsi="Times New Roman" w:cs="Times New Roman"/>
      <w:color w:val="000000" w:themeColor="text1" w:themeShade="BF"/>
      <w:sz w:val="20"/>
      <w:szCs w:val="20"/>
      <w:lang w:val="fr-BE"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pPr>
      <w:spacing w:after="0" w:line="240" w:lineRule="auto"/>
    </w:pPr>
    <w:rPr>
      <w:rFonts w:ascii="Times New Roman" w:eastAsia="SimSun" w:hAnsi="Times New Roman" w:cs="Times New Roman"/>
      <w:sz w:val="20"/>
      <w:szCs w:val="20"/>
      <w:lang w:val="fr-BE"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Default">
    <w:name w:val="Default"/>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EndnoteText">
    <w:name w:val="endnote text"/>
    <w:basedOn w:val="Normal"/>
    <w:link w:val="EndnoteTextChar"/>
    <w:uiPriority w:val="99"/>
    <w:semiHidden/>
    <w:unhideWhenUsed/>
    <w:pPr>
      <w:spacing w:before="0" w:after="0"/>
      <w:jc w:val="left"/>
    </w:pPr>
    <w:rPr>
      <w:rFonts w:eastAsia="SimSun"/>
      <w:sz w:val="20"/>
      <w:szCs w:val="20"/>
    </w:rPr>
  </w:style>
  <w:style w:type="character" w:customStyle="1" w:styleId="EndnoteTextChar">
    <w:name w:val="Endnote Text Char"/>
    <w:basedOn w:val="DefaultParagraphFont"/>
    <w:link w:val="EndnoteText"/>
    <w:uiPriority w:val="99"/>
    <w:semiHidden/>
    <w:rPr>
      <w:rFonts w:ascii="Times New Roman" w:eastAsia="SimSu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customStyle="1" w:styleId="A1">
    <w:name w:val="A1"/>
    <w:uiPriority w:val="99"/>
    <w:rPr>
      <w:rFonts w:cs="Arno Pro"/>
      <w:color w:val="000000"/>
      <w:sz w:val="22"/>
      <w:szCs w:val="22"/>
    </w:rPr>
  </w:style>
  <w:style w:type="paragraph" w:styleId="BodyText3">
    <w:name w:val="Body Text 3"/>
    <w:basedOn w:val="Normal"/>
    <w:link w:val="BodyText3Char"/>
    <w:uiPriority w:val="99"/>
    <w:semiHidden/>
    <w:unhideWhenUsed/>
    <w:pPr>
      <w:jc w:val="left"/>
    </w:pPr>
    <w:rPr>
      <w:rFonts w:eastAsia="SimSun"/>
      <w:sz w:val="16"/>
      <w:szCs w:val="16"/>
    </w:rPr>
  </w:style>
  <w:style w:type="character" w:customStyle="1" w:styleId="BodyText3Char">
    <w:name w:val="Body Text 3 Char"/>
    <w:basedOn w:val="DefaultParagraphFont"/>
    <w:link w:val="BodyText3"/>
    <w:uiPriority w:val="99"/>
    <w:semiHidden/>
    <w:rPr>
      <w:rFonts w:ascii="Times New Roman" w:eastAsia="SimSun" w:hAnsi="Times New Roman" w:cs="Times New Roman"/>
      <w:sz w:val="16"/>
      <w:szCs w:val="16"/>
      <w:lang w:val="fr-FR"/>
    </w:rPr>
  </w:style>
  <w:style w:type="character" w:styleId="Strong">
    <w:name w:val="Strong"/>
    <w:basedOn w:val="DefaultParagraphFont"/>
    <w:qFormat/>
    <w:rPr>
      <w:b/>
      <w:bCs/>
    </w:rPr>
  </w:style>
  <w:style w:type="paragraph" w:styleId="NormalWeb">
    <w:name w:val="Normal (Web)"/>
    <w:basedOn w:val="Normal"/>
    <w:uiPriority w:val="99"/>
    <w:unhideWhenUsed/>
    <w:pPr>
      <w:spacing w:before="100" w:beforeAutospacing="1" w:after="100" w:afterAutospacing="1"/>
      <w:jc w:val="left"/>
    </w:pPr>
    <w:rPr>
      <w:rFonts w:ascii="Times" w:hAnsi="Times"/>
      <w:sz w:val="20"/>
      <w:szCs w:val="20"/>
    </w:rPr>
  </w:style>
  <w:style w:type="numbering" w:customStyle="1" w:styleId="NoList11">
    <w:name w:val="No List11"/>
    <w:next w:val="NoList"/>
    <w:uiPriority w:val="99"/>
    <w:semiHidden/>
    <w:unhideWhenUsed/>
  </w:style>
  <w:style w:type="numbering" w:customStyle="1" w:styleId="NoList111">
    <w:name w:val="No List111"/>
    <w:next w:val="NoList"/>
    <w:uiPriority w:val="99"/>
    <w:semiHidden/>
    <w:unhideWhenUsed/>
  </w:style>
  <w:style w:type="table" w:customStyle="1" w:styleId="LightShading1">
    <w:name w:val="Light Shading1"/>
    <w:basedOn w:val="TableNormal"/>
    <w:next w:val="LightShading"/>
    <w:uiPriority w:val="60"/>
    <w:pPr>
      <w:spacing w:after="0" w:line="240" w:lineRule="auto"/>
    </w:pPr>
    <w:rPr>
      <w:rFonts w:ascii="Times New Roman" w:eastAsia="SimSun" w:hAnsi="Times New Roman" w:cs="Times New Roman"/>
      <w:color w:val="000000"/>
      <w:sz w:val="20"/>
      <w:szCs w:val="20"/>
      <w:lang w:val="fr-BE"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31">
    <w:name w:val="Light Grid - Accent 31"/>
    <w:basedOn w:val="TableNormal"/>
    <w:next w:val="LightGrid-Accent3"/>
    <w:uiPriority w:val="62"/>
    <w:pPr>
      <w:spacing w:after="0" w:line="240" w:lineRule="auto"/>
    </w:pPr>
    <w:rPr>
      <w:rFonts w:ascii="Times New Roman" w:eastAsia="SimSun" w:hAnsi="Times New Roman" w:cs="Times New Roman"/>
      <w:sz w:val="20"/>
      <w:szCs w:val="20"/>
      <w:lang w:val="fr-BE"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SimSu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SimSu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SimSun" w:hAnsi="Calibri" w:cs="Times New Roman"/>
        <w:b/>
        <w:bCs/>
      </w:rPr>
    </w:tblStylePr>
    <w:tblStylePr w:type="lastCol">
      <w:rPr>
        <w:rFonts w:ascii="Calibri" w:eastAsia="SimSu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NormalWeb1">
    <w:name w:val="Normal (Web)1"/>
    <w:basedOn w:val="Normal"/>
    <w:next w:val="NormalWeb"/>
    <w:uiPriority w:val="99"/>
    <w:unhideWhenUsed/>
    <w:pPr>
      <w:spacing w:before="100" w:beforeAutospacing="1" w:after="100" w:afterAutospacing="1"/>
      <w:jc w:val="left"/>
    </w:pPr>
    <w:rPr>
      <w:rFonts w:ascii="Times" w:eastAsia="Calibri" w:hAnsi="Times"/>
      <w:sz w:val="20"/>
      <w:szCs w:val="20"/>
    </w:rPr>
  </w:style>
  <w:style w:type="table" w:customStyle="1" w:styleId="LightShading2">
    <w:name w:val="Light Shading2"/>
    <w:basedOn w:val="TableNormal"/>
    <w:next w:val="LightShading"/>
    <w:uiPriority w:val="60"/>
    <w:semiHidden/>
    <w:unhideWhenUsed/>
    <w:pPr>
      <w:spacing w:after="0" w:line="240" w:lineRule="auto"/>
    </w:pPr>
    <w:rPr>
      <w:rFonts w:ascii="Calibri" w:eastAsia="Calibri" w:hAnsi="Calibri" w:cs="Times New Roman"/>
      <w:color w:val="000000"/>
      <w:sz w:val="24"/>
      <w:szCs w:val="24"/>
      <w:lang w:val="fr-BE"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32">
    <w:name w:val="Light Grid - Accent 32"/>
    <w:basedOn w:val="TableNormal"/>
    <w:next w:val="LightGrid-Accent3"/>
    <w:uiPriority w:val="62"/>
    <w:semiHidden/>
    <w:unhideWhenUsed/>
    <w:pPr>
      <w:spacing w:after="0" w:line="240" w:lineRule="auto"/>
    </w:pPr>
    <w:rPr>
      <w:rFonts w:ascii="Calibri" w:eastAsia="Calibri" w:hAnsi="Calibri" w:cs="Times New Roman"/>
      <w:sz w:val="24"/>
      <w:szCs w:val="24"/>
      <w:lang w:val="fr-BE"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table" w:customStyle="1" w:styleId="TableGrid1">
    <w:name w:val="Table Grid1"/>
    <w:basedOn w:val="TableNormal"/>
    <w:next w:val="TableGrid"/>
    <w:uiPriority w:val="5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next w:val="LightShading"/>
    <w:uiPriority w:val="60"/>
    <w:pPr>
      <w:spacing w:after="0" w:line="240" w:lineRule="auto"/>
    </w:pPr>
    <w:rPr>
      <w:rFonts w:ascii="Times New Roman" w:eastAsia="SimSun" w:hAnsi="Times New Roman" w:cs="Times New Roman"/>
      <w:color w:val="000000"/>
      <w:sz w:val="20"/>
      <w:szCs w:val="20"/>
      <w:lang w:val="fr-BE"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311">
    <w:name w:val="Light Grid - Accent 311"/>
    <w:basedOn w:val="TableNormal"/>
    <w:next w:val="LightGrid-Accent3"/>
    <w:uiPriority w:val="62"/>
    <w:pPr>
      <w:spacing w:after="0" w:line="240" w:lineRule="auto"/>
    </w:pPr>
    <w:rPr>
      <w:rFonts w:ascii="Times New Roman" w:eastAsia="SimSun" w:hAnsi="Times New Roman" w:cs="Times New Roman"/>
      <w:sz w:val="20"/>
      <w:szCs w:val="20"/>
      <w:lang w:val="fr-BE"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SimSu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SimSu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SimSun" w:hAnsi="Calibri" w:cs="Times New Roman"/>
        <w:b/>
        <w:bCs/>
      </w:rPr>
    </w:tblStylePr>
    <w:tblStylePr w:type="lastCol">
      <w:rPr>
        <w:rFonts w:ascii="Calibri" w:eastAsia="SimSu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3">
    <w:name w:val="Light Shading3"/>
    <w:basedOn w:val="TableNormal"/>
    <w:next w:val="LightShading"/>
    <w:uiPriority w:val="60"/>
    <w:semiHidden/>
    <w:unhideWhenUsed/>
    <w:pPr>
      <w:spacing w:after="0" w:line="240" w:lineRule="auto"/>
    </w:pPr>
    <w:rPr>
      <w:rFonts w:ascii="Calibri" w:eastAsia="Calibri" w:hAnsi="Calibri" w:cs="Times New Roman"/>
      <w:color w:val="000000"/>
      <w:sz w:val="24"/>
      <w:szCs w:val="24"/>
      <w:lang w:val="fr-BE"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33">
    <w:name w:val="Light Grid - Accent 33"/>
    <w:basedOn w:val="TableNormal"/>
    <w:next w:val="LightGrid-Accent3"/>
    <w:uiPriority w:val="62"/>
    <w:semiHidden/>
    <w:unhideWhenUsed/>
    <w:pPr>
      <w:spacing w:after="0" w:line="240" w:lineRule="auto"/>
    </w:pPr>
    <w:rPr>
      <w:rFonts w:ascii="Calibri" w:eastAsia="Calibri" w:hAnsi="Calibri" w:cs="Times New Roman"/>
      <w:sz w:val="24"/>
      <w:szCs w:val="24"/>
      <w:lang w:val="fr-BE"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st">
    <w:name w:val="st"/>
    <w:basedOn w:val="DefaultParagraphFont"/>
  </w:style>
  <w:style w:type="paragraph" w:customStyle="1" w:styleId="Style">
    <w:name w:val="Style"/>
    <w:basedOn w:val="Normal"/>
    <w:uiPriority w:val="99"/>
    <w:pPr>
      <w:spacing w:before="0" w:after="0"/>
      <w:jc w:val="left"/>
    </w:pPr>
    <w:rPr>
      <w:rFonts w:eastAsia="Times New Roman"/>
      <w:szCs w:val="24"/>
      <w:lang w:eastAsia="pl-PL"/>
    </w:rPr>
  </w:style>
  <w:style w:type="paragraph" w:customStyle="1" w:styleId="People">
    <w:name w:val="People"/>
    <w:basedOn w:val="Normal"/>
    <w:pPr>
      <w:keepNext/>
      <w:keepLines/>
      <w:spacing w:before="0" w:after="0"/>
      <w:ind w:left="284"/>
      <w:jc w:val="left"/>
    </w:pPr>
    <w:rPr>
      <w:rFonts w:eastAsia="SimSun"/>
      <w:sz w:val="22"/>
      <w:lang w:eastAsia="zh-CN"/>
    </w:rPr>
  </w:style>
  <w:style w:type="paragraph" w:customStyle="1" w:styleId="ColorfulShading-Accent31">
    <w:name w:val="Colorful Shading - Accent 31"/>
    <w:basedOn w:val="Normal"/>
    <w:uiPriority w:val="34"/>
    <w:qFormat/>
    <w:pPr>
      <w:spacing w:before="0" w:after="200" w:line="276" w:lineRule="auto"/>
      <w:ind w:left="720"/>
      <w:jc w:val="left"/>
    </w:pPr>
    <w:rPr>
      <w:rFonts w:ascii="Calibri" w:eastAsia="Times New Roman" w:hAnsi="Calibri" w:cs="Calibri"/>
      <w:sz w:val="22"/>
    </w:rPr>
  </w:style>
  <w:style w:type="paragraph" w:styleId="HTMLPreformatted">
    <w:name w:val="HTML Preformatted"/>
    <w:basedOn w:val="Normal"/>
    <w:link w:val="HTMLPreformattedChar"/>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sz w:val="20"/>
      <w:szCs w:val="20"/>
    </w:rPr>
  </w:style>
  <w:style w:type="character" w:customStyle="1" w:styleId="HTMLPreformattedChar">
    <w:name w:val="HTML Preformatted Char"/>
    <w:basedOn w:val="DefaultParagraphFont"/>
    <w:link w:val="HTMLPreformatted"/>
    <w:semiHidden/>
    <w:rPr>
      <w:rFonts w:ascii="Courier New" w:eastAsia="Times New Roman" w:hAnsi="Courier New" w:cs="Times New Roman"/>
      <w:sz w:val="20"/>
      <w:szCs w:val="20"/>
      <w:lang w:val="fr-FR"/>
    </w:rPr>
  </w:style>
  <w:style w:type="paragraph" w:customStyle="1" w:styleId="ColorfulList-Accent31">
    <w:name w:val="Colorful List - Accent 31"/>
    <w:basedOn w:val="Normal"/>
    <w:next w:val="Normal"/>
    <w:uiPriority w:val="29"/>
    <w:qFormat/>
    <w:pPr>
      <w:spacing w:after="0"/>
      <w:jc w:val="left"/>
    </w:pPr>
    <w:rPr>
      <w:rFonts w:eastAsia="Times New Roman"/>
      <w:i/>
      <w:iCs/>
      <w:noProof/>
      <w:color w:val="000000"/>
      <w:sz w:val="22"/>
      <w:szCs w:val="20"/>
    </w:rPr>
  </w:style>
  <w:style w:type="character" w:customStyle="1" w:styleId="ColorfulList-Accent3Char">
    <w:name w:val="Colorful List - Accent 3 Char"/>
    <w:uiPriority w:val="29"/>
    <w:rPr>
      <w:rFonts w:ascii="Times New Roman" w:eastAsia="Times New Roman" w:hAnsi="Times New Roman" w:cs="Times New Roman"/>
      <w:i/>
      <w:iCs/>
      <w:noProof/>
      <w:color w:val="000000"/>
      <w:szCs w:val="20"/>
      <w:lang w:val="fr-FR"/>
    </w:rPr>
  </w:style>
  <w:style w:type="character" w:styleId="LineNumber">
    <w:name w:val="line number"/>
    <w:basedOn w:val="DefaultParagraphFont"/>
    <w:uiPriority w:val="99"/>
    <w:semiHidden/>
    <w:unhideWhenUsed/>
  </w:style>
  <w:style w:type="character" w:customStyle="1" w:styleId="ListParagraphChar">
    <w:name w:val="List Paragraph Char"/>
    <w:basedOn w:val="DefaultParagraphFont"/>
    <w:link w:val="ListParagraph"/>
    <w:uiPriority w:val="34"/>
    <w:rPr>
      <w:rFonts w:ascii="Arial" w:eastAsia="Cambria" w:hAnsi="Arial" w:cs="Arial"/>
      <w:lang w:val="fr-FR"/>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FootnoteTextChar1">
    <w:name w:val="Footnote Text Char1"/>
    <w:basedOn w:val="DefaultParagraphFont"/>
    <w:uiPriority w:val="99"/>
    <w:semiHidden/>
    <w:rPr>
      <w:rFonts w:ascii="Times New Roman" w:hAnsi="Times New Roman" w:cs="Times New Roman"/>
      <w:sz w:val="20"/>
      <w:szCs w:val="20"/>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character" w:customStyle="1" w:styleId="FootnoteTextChar2">
    <w:name w:val="Footnote Text Char2"/>
    <w:basedOn w:val="DefaultParagraphFont"/>
    <w:uiPriority w:val="99"/>
    <w:semiHidden/>
    <w:rPr>
      <w:rFonts w:ascii="Times New Roman" w:hAnsi="Times New Roman" w:cs="Times New Roman"/>
      <w:sz w:val="20"/>
      <w:szCs w:val="20"/>
      <w:shd w:val="clear" w:color="auto" w:fill="auto"/>
      <w:lang w:val="fr-FR"/>
    </w:rPr>
  </w:style>
  <w:style w:type="paragraph" w:styleId="FootnoteText0">
    <w:name w:val="footnote text"/>
    <w:basedOn w:val="Normal"/>
    <w:link w:val="FootnoteTextChar13"/>
    <w:uiPriority w:val="99"/>
    <w:semiHidden/>
    <w:unhideWhenUsed/>
    <w:pPr>
      <w:spacing w:before="0" w:after="0"/>
      <w:ind w:left="720" w:hanging="720"/>
    </w:pPr>
    <w:rPr>
      <w:sz w:val="20"/>
      <w:szCs w:val="20"/>
    </w:rPr>
  </w:style>
  <w:style w:type="character" w:customStyle="1" w:styleId="FootnoteTextChar0">
    <w:name w:val="Footnote Text Char"/>
    <w:basedOn w:val="DefaultParagraphFont"/>
    <w:uiPriority w:val="99"/>
    <w:semiHidden/>
    <w:rPr>
      <w:rFonts w:ascii="Times New Roman" w:hAnsi="Times New Roman" w:cs="Times New Roman"/>
      <w:sz w:val="20"/>
      <w:szCs w:val="20"/>
      <w:shd w:val="clear" w:color="auto" w:fill="auto"/>
      <w:lang w:val="fr-FR"/>
    </w:rPr>
  </w:style>
  <w:style w:type="character" w:customStyle="1" w:styleId="FootnoteTextChar3">
    <w:name w:val="Footnote Text Char3"/>
    <w:basedOn w:val="DefaultParagraphFont"/>
    <w:uiPriority w:val="99"/>
    <w:semiHidden/>
    <w:rPr>
      <w:rFonts w:ascii="Times New Roman" w:hAnsi="Times New Roman" w:cs="Times New Roman"/>
      <w:sz w:val="20"/>
      <w:szCs w:val="20"/>
      <w:shd w:val="clear" w:color="auto" w:fill="auto"/>
      <w:lang w:val="fr-FR"/>
    </w:rPr>
  </w:style>
  <w:style w:type="character" w:customStyle="1" w:styleId="FootnoteTextChar4">
    <w:name w:val="Footnote Text Char4"/>
    <w:basedOn w:val="DefaultParagraphFont"/>
    <w:uiPriority w:val="99"/>
    <w:semiHidden/>
    <w:rPr>
      <w:rFonts w:ascii="Times New Roman" w:hAnsi="Times New Roman" w:cs="Times New Roman"/>
      <w:sz w:val="20"/>
      <w:szCs w:val="20"/>
      <w:shd w:val="clear" w:color="auto" w:fill="auto"/>
      <w:lang w:val="fr-FR"/>
    </w:rPr>
  </w:style>
  <w:style w:type="character" w:customStyle="1" w:styleId="FootnoteTextChar5">
    <w:name w:val="Footnote Text Char5"/>
    <w:basedOn w:val="DefaultParagraphFont"/>
    <w:uiPriority w:val="99"/>
    <w:semiHidden/>
    <w:rPr>
      <w:rFonts w:ascii="Times New Roman" w:hAnsi="Times New Roman" w:cs="Times New Roman"/>
      <w:sz w:val="20"/>
      <w:szCs w:val="20"/>
      <w:shd w:val="clear" w:color="auto" w:fill="auto"/>
      <w:lang w:val="fr-FR"/>
    </w:rPr>
  </w:style>
  <w:style w:type="character" w:customStyle="1" w:styleId="FootnoteTextChar6">
    <w:name w:val="Footnote Text Char6"/>
    <w:basedOn w:val="DefaultParagraphFont"/>
    <w:uiPriority w:val="99"/>
    <w:semiHidden/>
    <w:rPr>
      <w:rFonts w:ascii="Times New Roman" w:hAnsi="Times New Roman" w:cs="Times New Roman"/>
      <w:sz w:val="20"/>
      <w:szCs w:val="20"/>
      <w:shd w:val="clear" w:color="auto" w:fill="auto"/>
      <w:lang w:val="fr-FR"/>
    </w:rPr>
  </w:style>
  <w:style w:type="character" w:customStyle="1" w:styleId="FootnoteTextChar7">
    <w:name w:val="Footnote Text Char7"/>
    <w:basedOn w:val="DefaultParagraphFont"/>
    <w:uiPriority w:val="99"/>
    <w:semiHidden/>
    <w:rPr>
      <w:rFonts w:ascii="Times New Roman" w:hAnsi="Times New Roman" w:cs="Times New Roman"/>
      <w:sz w:val="20"/>
      <w:szCs w:val="20"/>
      <w:shd w:val="clear" w:color="auto" w:fill="auto"/>
      <w:lang w:val="fr-FR"/>
    </w:rPr>
  </w:style>
  <w:style w:type="character" w:customStyle="1" w:styleId="FootnoteTextChar8">
    <w:name w:val="Footnote Text Char8"/>
    <w:basedOn w:val="DefaultParagraphFont"/>
    <w:uiPriority w:val="99"/>
    <w:semiHidden/>
    <w:rPr>
      <w:rFonts w:ascii="Times New Roman" w:hAnsi="Times New Roman" w:cs="Times New Roman"/>
      <w:sz w:val="20"/>
      <w:szCs w:val="20"/>
      <w:shd w:val="clear" w:color="auto" w:fill="auto"/>
      <w:lang w:val="fr-FR"/>
    </w:rPr>
  </w:style>
  <w:style w:type="character" w:customStyle="1" w:styleId="FootnoteTextChar9">
    <w:name w:val="Footnote Text Char9"/>
    <w:basedOn w:val="DefaultParagraphFont"/>
    <w:uiPriority w:val="99"/>
    <w:semiHidden/>
    <w:rPr>
      <w:rFonts w:ascii="Times New Roman" w:hAnsi="Times New Roman" w:cs="Times New Roman"/>
      <w:sz w:val="20"/>
      <w:szCs w:val="20"/>
      <w:shd w:val="clear" w:color="auto" w:fill="auto"/>
      <w:lang w:val="fr-FR"/>
    </w:rPr>
  </w:style>
  <w:style w:type="character" w:customStyle="1" w:styleId="FootnoteTextChar10">
    <w:name w:val="Footnote Text Char10"/>
    <w:basedOn w:val="DefaultParagraphFont"/>
    <w:uiPriority w:val="99"/>
    <w:semiHidden/>
    <w:rPr>
      <w:rFonts w:ascii="Times New Roman" w:hAnsi="Times New Roman" w:cs="Times New Roman"/>
      <w:sz w:val="20"/>
      <w:szCs w:val="20"/>
      <w:shd w:val="clear" w:color="auto" w:fill="auto"/>
      <w:lang w:val="fr-FR"/>
    </w:rPr>
  </w:style>
  <w:style w:type="character" w:customStyle="1" w:styleId="FootnoteTextChar11">
    <w:name w:val="Footnote Text Char11"/>
    <w:basedOn w:val="DefaultParagraphFont"/>
    <w:uiPriority w:val="99"/>
    <w:semiHidden/>
    <w:rPr>
      <w:rFonts w:ascii="Times New Roman" w:hAnsi="Times New Roman" w:cs="Times New Roman"/>
      <w:sz w:val="20"/>
      <w:szCs w:val="20"/>
      <w:shd w:val="clear" w:color="auto" w:fill="auto"/>
      <w:lang w:val="en-GB"/>
    </w:rPr>
  </w:style>
  <w:style w:type="character" w:customStyle="1" w:styleId="FootnoteTextChar12">
    <w:name w:val="Footnote Text Char12"/>
    <w:basedOn w:val="DefaultParagraphFont"/>
    <w:uiPriority w:val="99"/>
    <w:semiHidden/>
    <w:rPr>
      <w:rFonts w:ascii="Times New Roman" w:hAnsi="Times New Roman" w:cs="Times New Roman"/>
      <w:sz w:val="20"/>
      <w:szCs w:val="20"/>
      <w:shd w:val="clear" w:color="auto" w:fill="auto"/>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character" w:customStyle="1" w:styleId="FootnoteTextChar13">
    <w:name w:val="Footnote Text Char13"/>
    <w:basedOn w:val="DefaultParagraphFont"/>
    <w:link w:val="FootnoteText0"/>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paragraph" w:styleId="Heading5">
    <w:name w:val="heading 5"/>
    <w:aliases w:val="Subpara 2"/>
    <w:basedOn w:val="Heading3"/>
    <w:next w:val="Normal"/>
    <w:link w:val="Heading5Char"/>
    <w:uiPriority w:val="99"/>
    <w:qFormat/>
    <w:pPr>
      <w:numPr>
        <w:ilvl w:val="0"/>
        <w:numId w:val="0"/>
      </w:numPr>
      <w:spacing w:after="0"/>
      <w:jc w:val="center"/>
      <w:outlineLvl w:val="4"/>
    </w:pPr>
    <w:rPr>
      <w:rFonts w:eastAsia="SimSun"/>
      <w:bCs w:val="0"/>
      <w:caps/>
      <w:szCs w:val="24"/>
    </w:rPr>
  </w:style>
  <w:style w:type="paragraph" w:styleId="Heading6">
    <w:name w:val="heading 6"/>
    <w:aliases w:val="Subpara 3"/>
    <w:basedOn w:val="Heading3"/>
    <w:next w:val="Normal"/>
    <w:link w:val="Heading6Char"/>
    <w:uiPriority w:val="99"/>
    <w:qFormat/>
    <w:pPr>
      <w:numPr>
        <w:ilvl w:val="0"/>
        <w:numId w:val="0"/>
      </w:numPr>
      <w:spacing w:after="0"/>
      <w:jc w:val="center"/>
      <w:outlineLvl w:val="5"/>
    </w:pPr>
    <w:rPr>
      <w:rFonts w:eastAsia="SimSun"/>
      <w:bCs w:val="0"/>
      <w:szCs w:val="24"/>
    </w:rPr>
  </w:style>
  <w:style w:type="paragraph" w:styleId="Heading7">
    <w:name w:val="heading 7"/>
    <w:aliases w:val="Subpara 4"/>
    <w:basedOn w:val="Heading3"/>
    <w:next w:val="Normal"/>
    <w:link w:val="Heading7Char"/>
    <w:uiPriority w:val="99"/>
    <w:qFormat/>
    <w:pPr>
      <w:numPr>
        <w:ilvl w:val="0"/>
        <w:numId w:val="0"/>
      </w:numPr>
      <w:spacing w:after="0"/>
      <w:jc w:val="center"/>
      <w:outlineLvl w:val="6"/>
    </w:pPr>
    <w:rPr>
      <w:rFonts w:eastAsia="SimSun"/>
      <w:bCs w:val="0"/>
      <w:szCs w:val="24"/>
    </w:rPr>
  </w:style>
  <w:style w:type="paragraph" w:styleId="Heading8">
    <w:name w:val="heading 8"/>
    <w:aliases w:val="Subpara 5"/>
    <w:basedOn w:val="Heading3"/>
    <w:next w:val="Normal"/>
    <w:link w:val="Heading8Char"/>
    <w:uiPriority w:val="99"/>
    <w:qFormat/>
    <w:pPr>
      <w:numPr>
        <w:ilvl w:val="0"/>
        <w:numId w:val="0"/>
      </w:numPr>
      <w:spacing w:after="0"/>
      <w:jc w:val="center"/>
      <w:outlineLvl w:val="7"/>
    </w:pPr>
    <w:rPr>
      <w:rFonts w:eastAsia="SimSun"/>
      <w:bCs w:val="0"/>
      <w:szCs w:val="24"/>
    </w:rPr>
  </w:style>
  <w:style w:type="paragraph" w:styleId="Heading9">
    <w:name w:val="heading 9"/>
    <w:aliases w:val="Subpara 6"/>
    <w:basedOn w:val="Heading3"/>
    <w:next w:val="Normal"/>
    <w:link w:val="Heading9Char"/>
    <w:uiPriority w:val="99"/>
    <w:qFormat/>
    <w:pPr>
      <w:numPr>
        <w:ilvl w:val="0"/>
        <w:numId w:val="0"/>
      </w:numPr>
      <w:tabs>
        <w:tab w:val="num" w:pos="360"/>
      </w:tabs>
      <w:spacing w:after="0"/>
      <w:jc w:val="center"/>
      <w:outlineLvl w:val="8"/>
    </w:pPr>
    <w:rPr>
      <w:rFonts w:eastAsia="SimSun"/>
      <w:bCs w:val="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Heading5Char">
    <w:name w:val="Heading 5 Char"/>
    <w:aliases w:val="Subpara 2 Char"/>
    <w:basedOn w:val="DefaultParagraphFont"/>
    <w:link w:val="Heading5"/>
    <w:uiPriority w:val="99"/>
    <w:rPr>
      <w:rFonts w:ascii="Times New Roman" w:eastAsia="SimSun" w:hAnsi="Times New Roman" w:cs="Times New Roman"/>
      <w:i/>
      <w:caps/>
      <w:sz w:val="24"/>
      <w:szCs w:val="24"/>
      <w:lang w:val="fr-FR"/>
    </w:rPr>
  </w:style>
  <w:style w:type="character" w:customStyle="1" w:styleId="Heading6Char">
    <w:name w:val="Heading 6 Char"/>
    <w:aliases w:val="Subpara 3 Char"/>
    <w:basedOn w:val="DefaultParagraphFont"/>
    <w:link w:val="Heading6"/>
    <w:uiPriority w:val="99"/>
    <w:rPr>
      <w:rFonts w:ascii="Times New Roman" w:eastAsia="SimSun" w:hAnsi="Times New Roman" w:cs="Times New Roman"/>
      <w:i/>
      <w:sz w:val="24"/>
      <w:szCs w:val="24"/>
      <w:lang w:val="fr-FR"/>
    </w:rPr>
  </w:style>
  <w:style w:type="character" w:customStyle="1" w:styleId="Heading7Char">
    <w:name w:val="Heading 7 Char"/>
    <w:aliases w:val="Subpara 4 Char"/>
    <w:basedOn w:val="DefaultParagraphFont"/>
    <w:link w:val="Heading7"/>
    <w:uiPriority w:val="99"/>
    <w:rPr>
      <w:rFonts w:ascii="Times New Roman" w:eastAsia="SimSun" w:hAnsi="Times New Roman" w:cs="Times New Roman"/>
      <w:i/>
      <w:sz w:val="24"/>
      <w:szCs w:val="24"/>
      <w:lang w:val="fr-FR"/>
    </w:rPr>
  </w:style>
  <w:style w:type="character" w:customStyle="1" w:styleId="Heading8Char">
    <w:name w:val="Heading 8 Char"/>
    <w:aliases w:val="Subpara 5 Char"/>
    <w:basedOn w:val="DefaultParagraphFont"/>
    <w:link w:val="Heading8"/>
    <w:uiPriority w:val="99"/>
    <w:rPr>
      <w:rFonts w:ascii="Times New Roman" w:eastAsia="SimSun" w:hAnsi="Times New Roman" w:cs="Times New Roman"/>
      <w:i/>
      <w:sz w:val="24"/>
      <w:szCs w:val="24"/>
      <w:lang w:val="fr-FR"/>
    </w:rPr>
  </w:style>
  <w:style w:type="character" w:customStyle="1" w:styleId="Heading9Char">
    <w:name w:val="Heading 9 Char"/>
    <w:aliases w:val="Subpara 6 Char"/>
    <w:basedOn w:val="DefaultParagraphFont"/>
    <w:link w:val="Heading9"/>
    <w:uiPriority w:val="99"/>
    <w:rPr>
      <w:rFonts w:ascii="Times New Roman" w:eastAsia="SimSun" w:hAnsi="Times New Roman" w:cs="Times New Roman"/>
      <w:i/>
      <w:sz w:val="24"/>
      <w:szCs w:val="24"/>
      <w:lang w:val="fr-FR"/>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rPr>
      <w:color w:val="0000FF"/>
      <w:u w:val="single"/>
      <w:shd w:val="clear" w:color="auto" w:fill="auto"/>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link w:val="ListParagraphChar"/>
    <w:uiPriority w:val="34"/>
    <w:qFormat/>
    <w:pPr>
      <w:spacing w:before="0" w:after="0" w:line="320" w:lineRule="atLeast"/>
      <w:ind w:left="720"/>
      <w:jc w:val="left"/>
    </w:pPr>
    <w:rPr>
      <w:rFonts w:ascii="Arial" w:eastAsia="Cambria" w:hAnsi="Arial" w:cs="Arial"/>
      <w:sz w:val="22"/>
    </w:rPr>
  </w:style>
  <w:style w:type="numbering" w:customStyle="1" w:styleId="NoList1">
    <w:name w:val="No List1"/>
    <w:next w:val="No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IE"/>
    </w:rPr>
  </w:style>
  <w:style w:type="paragraph" w:styleId="Revision">
    <w:name w:val="Revision"/>
    <w:hidden/>
    <w:uiPriority w:val="99"/>
    <w:semiHidden/>
    <w:pPr>
      <w:spacing w:after="0" w:line="240" w:lineRule="auto"/>
    </w:pPr>
  </w:style>
  <w:style w:type="paragraph" w:customStyle="1" w:styleId="BlankLine">
    <w:name w:val="BlankLine"/>
    <w:basedOn w:val="Normal"/>
    <w:next w:val="Normal"/>
    <w:uiPriority w:val="99"/>
    <w:pPr>
      <w:numPr>
        <w:numId w:val="9"/>
      </w:numPr>
      <w:spacing w:before="0" w:after="0"/>
      <w:jc w:val="left"/>
    </w:pPr>
    <w:rPr>
      <w:rFonts w:eastAsia="SimSun"/>
      <w:sz w:val="22"/>
      <w:szCs w:val="24"/>
    </w:rPr>
  </w:style>
  <w:style w:type="character" w:customStyle="1" w:styleId="Bold">
    <w:name w:val="Bold"/>
    <w:rPr>
      <w:b/>
    </w:rPr>
  </w:style>
  <w:style w:type="character" w:customStyle="1" w:styleId="BoldItalic">
    <w:name w:val="Bold Italic"/>
    <w:uiPriority w:val="99"/>
    <w:rPr>
      <w:b/>
      <w:i/>
    </w:rPr>
  </w:style>
  <w:style w:type="character" w:customStyle="1" w:styleId="BoldItalicUnderline">
    <w:name w:val="Bold Italic Underline"/>
    <w:uiPriority w:val="99"/>
    <w:rPr>
      <w:b/>
      <w:i/>
      <w:u w:val="single"/>
    </w:rPr>
  </w:style>
  <w:style w:type="character" w:customStyle="1" w:styleId="BoldUnderline">
    <w:name w:val="Bold Underline"/>
    <w:uiPriority w:val="99"/>
    <w:rPr>
      <w:b/>
      <w:u w:val="single"/>
    </w:rPr>
  </w:style>
  <w:style w:type="paragraph" w:customStyle="1" w:styleId="BoxText">
    <w:name w:val="Box Text"/>
    <w:basedOn w:val="BoxNewPara"/>
    <w:uiPriority w:val="99"/>
    <w:pPr>
      <w:tabs>
        <w:tab w:val="clear" w:pos="425"/>
        <w:tab w:val="left" w:pos="426"/>
      </w:tabs>
    </w:pPr>
  </w:style>
  <w:style w:type="paragraph" w:customStyle="1" w:styleId="BoxNewPara">
    <w:name w:val="Box NewPara"/>
    <w:basedOn w:val="Normal"/>
    <w:next w:val="Normal"/>
    <w:qFormat/>
    <w:pPr>
      <w:numPr>
        <w:numId w:val="10"/>
      </w:numPr>
      <w:pBdr>
        <w:left w:val="single" w:sz="6" w:space="1" w:color="auto"/>
        <w:right w:val="single" w:sz="6" w:space="1" w:color="auto"/>
      </w:pBdr>
      <w:shd w:val="pct10" w:color="auto" w:fill="auto"/>
      <w:tabs>
        <w:tab w:val="left" w:pos="425"/>
      </w:tabs>
      <w:spacing w:before="0" w:after="0"/>
    </w:pPr>
    <w:rPr>
      <w:rFonts w:eastAsia="SimSun"/>
      <w:sz w:val="20"/>
      <w:szCs w:val="24"/>
    </w:rPr>
  </w:style>
  <w:style w:type="paragraph" w:customStyle="1" w:styleId="FigureCaption">
    <w:name w:val="Figure Caption"/>
    <w:basedOn w:val="Normal"/>
    <w:uiPriority w:val="99"/>
    <w:pPr>
      <w:spacing w:after="0"/>
      <w:jc w:val="left"/>
    </w:pPr>
    <w:rPr>
      <w:rFonts w:eastAsia="SimSun"/>
      <w:i/>
      <w:sz w:val="22"/>
      <w:szCs w:val="24"/>
    </w:rPr>
  </w:style>
  <w:style w:type="paragraph" w:customStyle="1" w:styleId="BoxNote">
    <w:name w:val="Box Note"/>
    <w:basedOn w:val="Normal"/>
    <w:next w:val="Normal"/>
    <w:uiPriority w:val="99"/>
    <w:pPr>
      <w:pBdr>
        <w:left w:val="single" w:sz="6" w:space="1" w:color="auto"/>
        <w:right w:val="single" w:sz="6" w:space="1" w:color="auto"/>
      </w:pBdr>
      <w:shd w:val="pct10" w:color="auto" w:fill="auto"/>
      <w:suppressAutoHyphens/>
      <w:spacing w:before="0" w:after="0"/>
    </w:pPr>
    <w:rPr>
      <w:rFonts w:eastAsia="SimSun"/>
      <w:i/>
      <w:sz w:val="20"/>
      <w:szCs w:val="24"/>
    </w:rPr>
  </w:style>
  <w:style w:type="paragraph" w:customStyle="1" w:styleId="Note">
    <w:name w:val="Note"/>
    <w:basedOn w:val="Normal"/>
    <w:next w:val="NewPara"/>
    <w:uiPriority w:val="99"/>
    <w:pPr>
      <w:suppressAutoHyphens/>
      <w:spacing w:after="0"/>
      <w:jc w:val="left"/>
    </w:pPr>
    <w:rPr>
      <w:rFonts w:eastAsia="SimSun"/>
      <w:i/>
      <w:sz w:val="22"/>
      <w:szCs w:val="24"/>
    </w:rPr>
  </w:style>
  <w:style w:type="paragraph" w:customStyle="1" w:styleId="NewPara">
    <w:name w:val="NewPara"/>
    <w:basedOn w:val="Normal"/>
    <w:next w:val="Normal"/>
    <w:uiPriority w:val="99"/>
    <w:pPr>
      <w:tabs>
        <w:tab w:val="left" w:pos="709"/>
      </w:tabs>
      <w:spacing w:before="160" w:after="20"/>
      <w:jc w:val="left"/>
    </w:pPr>
    <w:rPr>
      <w:rFonts w:eastAsia="SimSun"/>
      <w:sz w:val="22"/>
      <w:szCs w:val="24"/>
    </w:rPr>
  </w:style>
  <w:style w:type="paragraph" w:customStyle="1" w:styleId="BoxParaTitle">
    <w:name w:val="Box ParaTitle"/>
    <w:basedOn w:val="BoxNote"/>
    <w:uiPriority w:val="99"/>
    <w:rPr>
      <w:b/>
      <w:i w:val="0"/>
    </w:rPr>
  </w:style>
  <w:style w:type="paragraph" w:customStyle="1" w:styleId="BoxRandList1">
    <w:name w:val="Box RandList 1"/>
    <w:basedOn w:val="Normal"/>
    <w:uiPriority w:val="99"/>
    <w:pPr>
      <w:numPr>
        <w:numId w:val="11"/>
      </w:numPr>
      <w:pBdr>
        <w:left w:val="single" w:sz="6" w:space="10" w:color="auto"/>
        <w:right w:val="single" w:sz="6" w:space="10" w:color="auto"/>
      </w:pBdr>
      <w:shd w:val="pct10" w:color="auto" w:fill="auto"/>
      <w:tabs>
        <w:tab w:val="left" w:pos="437"/>
      </w:tabs>
      <w:spacing w:before="0" w:after="0" w:line="360" w:lineRule="auto"/>
      <w:ind w:left="437" w:right="181" w:hanging="256"/>
    </w:pPr>
    <w:rPr>
      <w:rFonts w:eastAsia="SimSun"/>
      <w:sz w:val="20"/>
      <w:szCs w:val="24"/>
    </w:rPr>
  </w:style>
  <w:style w:type="paragraph" w:customStyle="1" w:styleId="RandListLev1">
    <w:name w:val="Rand List Lev1"/>
    <w:basedOn w:val="Normal"/>
    <w:uiPriority w:val="99"/>
    <w:pPr>
      <w:numPr>
        <w:numId w:val="12"/>
      </w:numPr>
      <w:tabs>
        <w:tab w:val="clear" w:pos="0"/>
        <w:tab w:val="left" w:pos="754"/>
      </w:tabs>
      <w:spacing w:before="0" w:after="0"/>
      <w:ind w:left="754" w:hanging="357"/>
      <w:jc w:val="left"/>
    </w:pPr>
    <w:rPr>
      <w:rFonts w:eastAsia="SimSun"/>
      <w:sz w:val="22"/>
      <w:szCs w:val="24"/>
    </w:rPr>
  </w:style>
  <w:style w:type="paragraph" w:customStyle="1" w:styleId="BoxRandList2">
    <w:name w:val="Box RandList 2"/>
    <w:basedOn w:val="BoxRandList1"/>
    <w:uiPriority w:val="99"/>
    <w:pPr>
      <w:pBdr>
        <w:left w:val="single" w:sz="6" w:space="20" w:color="auto"/>
        <w:right w:val="single" w:sz="6" w:space="20" w:color="auto"/>
      </w:pBdr>
      <w:tabs>
        <w:tab w:val="left" w:pos="635"/>
      </w:tabs>
      <w:ind w:left="635" w:right="380" w:hanging="255"/>
    </w:pPr>
  </w:style>
  <w:style w:type="paragraph" w:customStyle="1" w:styleId="BoxRandList3">
    <w:name w:val="Box RandList 3"/>
    <w:basedOn w:val="BoxRandList2"/>
    <w:uiPriority w:val="99"/>
    <w:pPr>
      <w:pBdr>
        <w:left w:val="single" w:sz="6" w:space="29" w:color="auto"/>
        <w:right w:val="single" w:sz="6" w:space="30" w:color="auto"/>
      </w:pBdr>
      <w:tabs>
        <w:tab w:val="left" w:pos="816"/>
      </w:tabs>
      <w:ind w:left="816" w:right="584"/>
    </w:pPr>
  </w:style>
  <w:style w:type="paragraph" w:customStyle="1" w:styleId="BoxSeqList1">
    <w:name w:val="Box SeqList 1"/>
    <w:basedOn w:val="Normal"/>
    <w:pPr>
      <w:numPr>
        <w:ilvl w:val="1"/>
        <w:numId w:val="10"/>
      </w:numPr>
      <w:pBdr>
        <w:left w:val="single" w:sz="6" w:space="8" w:color="auto"/>
        <w:right w:val="single" w:sz="6" w:space="10" w:color="auto"/>
      </w:pBdr>
      <w:shd w:val="pct10" w:color="auto" w:fill="auto"/>
      <w:spacing w:before="0" w:after="0" w:line="360" w:lineRule="auto"/>
      <w:ind w:right="181"/>
    </w:pPr>
    <w:rPr>
      <w:rFonts w:eastAsia="SimSun"/>
      <w:sz w:val="20"/>
      <w:szCs w:val="24"/>
    </w:rPr>
  </w:style>
  <w:style w:type="paragraph" w:customStyle="1" w:styleId="BoxSeqList3">
    <w:name w:val="Box SeqList 3"/>
    <w:basedOn w:val="BoxSeqList2"/>
    <w:pPr>
      <w:numPr>
        <w:ilvl w:val="3"/>
      </w:numPr>
      <w:pBdr>
        <w:left w:val="single" w:sz="6" w:space="30" w:color="auto"/>
        <w:right w:val="single" w:sz="6" w:space="30" w:color="auto"/>
      </w:pBdr>
      <w:ind w:right="584"/>
    </w:pPr>
  </w:style>
  <w:style w:type="paragraph" w:customStyle="1" w:styleId="BoxSeqList2">
    <w:name w:val="Box SeqList 2"/>
    <w:basedOn w:val="BoxSeqList1"/>
    <w:pPr>
      <w:numPr>
        <w:ilvl w:val="2"/>
      </w:numPr>
      <w:pBdr>
        <w:left w:val="single" w:sz="6" w:space="20" w:color="auto"/>
      </w:pBdr>
    </w:pPr>
  </w:style>
  <w:style w:type="paragraph" w:customStyle="1" w:styleId="TableEntry">
    <w:name w:val="TableEntry"/>
    <w:basedOn w:val="Normal"/>
    <w:uiPriority w:val="99"/>
    <w:pPr>
      <w:spacing w:before="80" w:after="0"/>
      <w:jc w:val="left"/>
    </w:pPr>
    <w:rPr>
      <w:rFonts w:eastAsia="SimSun"/>
      <w:sz w:val="22"/>
      <w:szCs w:val="24"/>
    </w:rPr>
  </w:style>
  <w:style w:type="paragraph" w:customStyle="1" w:styleId="BoxTitle">
    <w:name w:val="Box Title"/>
    <w:basedOn w:val="Normal"/>
    <w:next w:val="BoxText"/>
    <w:uiPriority w:val="99"/>
    <w:pPr>
      <w:pBdr>
        <w:top w:val="single" w:sz="6" w:space="7" w:color="auto"/>
        <w:left w:val="single" w:sz="6" w:space="7" w:color="auto"/>
        <w:right w:val="single" w:sz="6" w:space="7" w:color="auto"/>
      </w:pBdr>
      <w:shd w:val="pct10" w:color="auto" w:fill="auto"/>
      <w:spacing w:after="0" w:line="360" w:lineRule="auto"/>
      <w:ind w:left="119" w:right="119"/>
      <w:jc w:val="center"/>
    </w:pPr>
    <w:rPr>
      <w:rFonts w:eastAsia="SimSun"/>
      <w:b/>
      <w:i/>
      <w:sz w:val="20"/>
      <w:szCs w:val="24"/>
    </w:rPr>
  </w:style>
  <w:style w:type="character" w:customStyle="1" w:styleId="Chart">
    <w:name w:val="Chart"/>
    <w:basedOn w:val="DefaultParagraphFont"/>
    <w:uiPriority w:val="99"/>
  </w:style>
  <w:style w:type="paragraph" w:customStyle="1" w:styleId="RandListLev2">
    <w:name w:val="Rand List Lev2"/>
    <w:basedOn w:val="RandListLev1"/>
    <w:uiPriority w:val="99"/>
    <w:pPr>
      <w:tabs>
        <w:tab w:val="clear" w:pos="754"/>
        <w:tab w:val="left" w:pos="1134"/>
      </w:tabs>
      <w:ind w:left="1134"/>
    </w:pPr>
  </w:style>
  <w:style w:type="paragraph" w:customStyle="1" w:styleId="RandListLev3">
    <w:name w:val="Rand List Lev3"/>
    <w:basedOn w:val="RandListLev2"/>
    <w:uiPriority w:val="99"/>
    <w:pPr>
      <w:tabs>
        <w:tab w:val="clear" w:pos="1134"/>
        <w:tab w:val="left" w:pos="1559"/>
      </w:tabs>
      <w:ind w:left="1559"/>
    </w:pPr>
  </w:style>
  <w:style w:type="paragraph" w:customStyle="1" w:styleId="RandListLev4">
    <w:name w:val="Rand List Lev4"/>
    <w:basedOn w:val="RandListLev3"/>
    <w:uiPriority w:val="99"/>
    <w:pPr>
      <w:tabs>
        <w:tab w:val="clear" w:pos="1559"/>
        <w:tab w:val="left" w:pos="1984"/>
      </w:tabs>
      <w:ind w:left="1984"/>
    </w:pPr>
  </w:style>
  <w:style w:type="paragraph" w:customStyle="1" w:styleId="DefListHeader">
    <w:name w:val="Def List Header"/>
    <w:basedOn w:val="Normal"/>
    <w:next w:val="Normal"/>
    <w:uiPriority w:val="99"/>
    <w:pPr>
      <w:keepNext/>
      <w:tabs>
        <w:tab w:val="left" w:pos="2835"/>
      </w:tabs>
      <w:spacing w:after="0"/>
      <w:jc w:val="left"/>
    </w:pPr>
    <w:rPr>
      <w:rFonts w:eastAsia="SimSun"/>
      <w:b/>
      <w:caps/>
      <w:sz w:val="28"/>
      <w:szCs w:val="24"/>
    </w:rPr>
  </w:style>
  <w:style w:type="paragraph" w:customStyle="1" w:styleId="DefinitionList">
    <w:name w:val="Definition List"/>
    <w:basedOn w:val="Normal"/>
    <w:next w:val="Normal"/>
    <w:uiPriority w:val="99"/>
    <w:pPr>
      <w:tabs>
        <w:tab w:val="left" w:pos="2835"/>
      </w:tabs>
      <w:spacing w:after="0"/>
      <w:ind w:left="2835" w:hanging="2835"/>
      <w:jc w:val="left"/>
    </w:pPr>
    <w:rPr>
      <w:rFonts w:eastAsia="SimSun"/>
      <w:sz w:val="22"/>
      <w:szCs w:val="24"/>
    </w:rPr>
  </w:style>
  <w:style w:type="paragraph" w:customStyle="1" w:styleId="DocTitle">
    <w:name w:val="DocTitle"/>
    <w:basedOn w:val="Normal"/>
    <w:next w:val="MeetingInfo"/>
    <w:uiPriority w:val="99"/>
    <w:pPr>
      <w:spacing w:after="480"/>
      <w:jc w:val="center"/>
    </w:pPr>
    <w:rPr>
      <w:rFonts w:eastAsia="SimSun"/>
      <w:smallCaps/>
      <w:color w:val="808080"/>
      <w:sz w:val="56"/>
      <w:szCs w:val="24"/>
    </w:rPr>
  </w:style>
  <w:style w:type="paragraph" w:customStyle="1" w:styleId="MeetingInfo">
    <w:name w:val="MeetingInfo"/>
    <w:basedOn w:val="Normal"/>
    <w:pPr>
      <w:pBdr>
        <w:top w:val="single" w:sz="12" w:space="6" w:color="auto"/>
        <w:left w:val="single" w:sz="12" w:space="6" w:color="auto"/>
        <w:bottom w:val="single" w:sz="12" w:space="6" w:color="auto"/>
        <w:right w:val="single" w:sz="12" w:space="6" w:color="auto"/>
        <w:between w:val="single" w:sz="12" w:space="6" w:color="auto"/>
      </w:pBdr>
      <w:jc w:val="center"/>
    </w:pPr>
    <w:rPr>
      <w:rFonts w:eastAsia="SimSun"/>
      <w:b/>
      <w:sz w:val="28"/>
      <w:szCs w:val="24"/>
    </w:rPr>
  </w:style>
  <w:style w:type="paragraph" w:customStyle="1" w:styleId="EndBox">
    <w:name w:val="EndBox"/>
    <w:basedOn w:val="Normal"/>
    <w:next w:val="Normal"/>
    <w:uiPriority w:val="99"/>
    <w:pPr>
      <w:pBdr>
        <w:left w:val="single" w:sz="6" w:space="1" w:color="auto"/>
        <w:bottom w:val="single" w:sz="6" w:space="1" w:color="auto"/>
        <w:right w:val="single" w:sz="6" w:space="1" w:color="auto"/>
      </w:pBdr>
      <w:shd w:val="pct10" w:color="auto" w:fill="auto"/>
      <w:spacing w:before="0" w:after="0"/>
      <w:jc w:val="left"/>
    </w:pPr>
    <w:rPr>
      <w:rFonts w:eastAsia="SimSun"/>
      <w:sz w:val="22"/>
      <w:szCs w:val="24"/>
    </w:rPr>
  </w:style>
  <w:style w:type="paragraph" w:customStyle="1" w:styleId="FigInfo-P">
    <w:name w:val="FigInfo-P"/>
    <w:basedOn w:val="Normal"/>
    <w:uiPriority w:val="99"/>
    <w:pPr>
      <w:spacing w:after="0"/>
      <w:jc w:val="left"/>
    </w:pPr>
    <w:rPr>
      <w:rFonts w:eastAsia="SimSun"/>
      <w:sz w:val="22"/>
      <w:szCs w:val="24"/>
    </w:rPr>
  </w:style>
  <w:style w:type="paragraph" w:customStyle="1" w:styleId="FigureTitle">
    <w:name w:val="Figure Title"/>
    <w:basedOn w:val="Normal"/>
    <w:uiPriority w:val="99"/>
    <w:pPr>
      <w:keepNext/>
      <w:spacing w:after="0"/>
      <w:jc w:val="left"/>
    </w:pPr>
    <w:rPr>
      <w:rFonts w:eastAsia="SimSun"/>
      <w:b/>
      <w:i/>
      <w:sz w:val="22"/>
      <w:szCs w:val="24"/>
    </w:rPr>
  </w:style>
  <w:style w:type="character" w:customStyle="1" w:styleId="Graph">
    <w:name w:val="Graph"/>
    <w:basedOn w:val="DefaultParagraphFont"/>
    <w:uiPriority w:val="99"/>
  </w:style>
  <w:style w:type="character" w:customStyle="1" w:styleId="Image">
    <w:name w:val="Image"/>
    <w:basedOn w:val="DefaultParagraphFont"/>
    <w:uiPriority w:val="99"/>
  </w:style>
  <w:style w:type="character" w:customStyle="1" w:styleId="Italic">
    <w:name w:val="Italic"/>
    <w:uiPriority w:val="99"/>
    <w:rPr>
      <w:i/>
    </w:rPr>
  </w:style>
  <w:style w:type="character" w:customStyle="1" w:styleId="ItalicUnderline">
    <w:name w:val="Italic Underline"/>
    <w:uiPriority w:val="99"/>
    <w:rPr>
      <w:i/>
      <w:u w:val="single"/>
    </w:rPr>
  </w:style>
  <w:style w:type="paragraph" w:customStyle="1" w:styleId="ListHeader">
    <w:name w:val="List Header"/>
    <w:basedOn w:val="Normal"/>
    <w:uiPriority w:val="99"/>
    <w:pPr>
      <w:keepNext/>
      <w:spacing w:after="0"/>
      <w:jc w:val="left"/>
    </w:pPr>
    <w:rPr>
      <w:rFonts w:eastAsia="SimSun"/>
      <w:sz w:val="22"/>
      <w:szCs w:val="24"/>
    </w:rPr>
  </w:style>
  <w:style w:type="paragraph" w:customStyle="1" w:styleId="MeetInfo">
    <w:name w:val="MeetInfo"/>
    <w:basedOn w:val="Normal"/>
    <w:next w:val="Normal"/>
    <w:uiPriority w:val="99"/>
    <w:pPr>
      <w:tabs>
        <w:tab w:val="left" w:pos="426"/>
      </w:tabs>
      <w:spacing w:before="60" w:after="0"/>
      <w:jc w:val="left"/>
    </w:pPr>
    <w:rPr>
      <w:rFonts w:eastAsia="SimSun"/>
      <w:sz w:val="18"/>
      <w:szCs w:val="24"/>
    </w:rPr>
  </w:style>
  <w:style w:type="paragraph" w:customStyle="1" w:styleId="SpacePara">
    <w:name w:val="SpacePara"/>
    <w:basedOn w:val="Normal"/>
    <w:next w:val="DocTitle"/>
    <w:uiPriority w:val="99"/>
    <w:pPr>
      <w:spacing w:before="0" w:after="0" w:line="480" w:lineRule="auto"/>
      <w:jc w:val="left"/>
    </w:pPr>
    <w:rPr>
      <w:rFonts w:eastAsia="SimSun"/>
      <w:sz w:val="22"/>
      <w:szCs w:val="24"/>
    </w:rPr>
  </w:style>
  <w:style w:type="character" w:customStyle="1" w:styleId="NroPara">
    <w:name w:val="NroPara"/>
    <w:basedOn w:val="DefaultParagraphFont"/>
    <w:uiPriority w:val="99"/>
  </w:style>
  <w:style w:type="character" w:customStyle="1" w:styleId="NumBox">
    <w:name w:val="NumBox"/>
    <w:basedOn w:val="DefaultParagraphFont"/>
    <w:uiPriority w:val="99"/>
  </w:style>
  <w:style w:type="character" w:customStyle="1" w:styleId="NumFigure">
    <w:name w:val="NumFigure"/>
    <w:basedOn w:val="DefaultParagraphFont"/>
    <w:uiPriority w:val="99"/>
  </w:style>
  <w:style w:type="character" w:customStyle="1" w:styleId="NumTable">
    <w:name w:val="NumTable"/>
    <w:basedOn w:val="DefaultParagraphFont"/>
    <w:uiPriority w:val="99"/>
  </w:style>
  <w:style w:type="character" w:styleId="PageNumber">
    <w:name w:val="page number"/>
    <w:basedOn w:val="DefaultParagraphFont"/>
    <w:uiPriority w:val="99"/>
  </w:style>
  <w:style w:type="paragraph" w:customStyle="1" w:styleId="PgBrk">
    <w:name w:val="PgBrk"/>
    <w:basedOn w:val="Normal"/>
    <w:next w:val="Heading1"/>
    <w:uiPriority w:val="99"/>
    <w:pPr>
      <w:pageBreakBefore/>
      <w:spacing w:after="0" w:line="14" w:lineRule="exact"/>
      <w:jc w:val="left"/>
    </w:pPr>
    <w:rPr>
      <w:rFonts w:eastAsia="SimSun"/>
      <w:sz w:val="22"/>
      <w:szCs w:val="24"/>
    </w:rPr>
  </w:style>
  <w:style w:type="paragraph" w:customStyle="1" w:styleId="StartBack">
    <w:name w:val="StartBack"/>
    <w:basedOn w:val="SpacePara"/>
    <w:next w:val="Normal"/>
    <w:uiPriority w:val="99"/>
  </w:style>
  <w:style w:type="paragraph" w:customStyle="1" w:styleId="StartBody">
    <w:name w:val="StartBody"/>
    <w:basedOn w:val="SpacePara"/>
    <w:next w:val="Normal"/>
    <w:uiPriority w:val="99"/>
  </w:style>
  <w:style w:type="paragraph" w:customStyle="1" w:styleId="TBL-COLMNhd">
    <w:name w:val="TBL-COLMNhd"/>
    <w:basedOn w:val="Normal"/>
    <w:uiPriority w:val="99"/>
    <w:pPr>
      <w:tabs>
        <w:tab w:val="left" w:pos="-720"/>
      </w:tabs>
      <w:suppressAutoHyphens/>
      <w:spacing w:before="60" w:after="20"/>
      <w:jc w:val="center"/>
    </w:pPr>
    <w:rPr>
      <w:rFonts w:eastAsia="SimSun"/>
      <w:b/>
      <w:sz w:val="22"/>
      <w:szCs w:val="24"/>
    </w:rPr>
  </w:style>
  <w:style w:type="character" w:customStyle="1" w:styleId="Term">
    <w:name w:val="Term"/>
    <w:uiPriority w:val="99"/>
    <w:rPr>
      <w:b/>
    </w:rPr>
  </w:style>
  <w:style w:type="character" w:customStyle="1" w:styleId="TermHeading">
    <w:name w:val="Term Heading"/>
    <w:uiPriority w:val="99"/>
    <w:rPr>
      <w:b/>
    </w:rPr>
  </w:style>
  <w:style w:type="paragraph" w:customStyle="1" w:styleId="TOCRef">
    <w:name w:val="TOCRef"/>
    <w:basedOn w:val="Normal"/>
    <w:next w:val="TOC1"/>
    <w:uiPriority w:val="99"/>
    <w:pPr>
      <w:spacing w:after="0" w:line="200" w:lineRule="exact"/>
      <w:jc w:val="right"/>
    </w:pPr>
    <w:rPr>
      <w:rFonts w:eastAsia="SimSun"/>
      <w:sz w:val="22"/>
      <w:szCs w:val="24"/>
    </w:rPr>
  </w:style>
  <w:style w:type="paragraph" w:customStyle="1" w:styleId="TOCTitle">
    <w:name w:val="TOCTitle"/>
    <w:basedOn w:val="Normal"/>
    <w:next w:val="TOCRef"/>
    <w:uiPriority w:val="99"/>
    <w:pPr>
      <w:pBdr>
        <w:top w:val="single" w:sz="6" w:space="5" w:color="auto"/>
        <w:bottom w:val="single" w:sz="6" w:space="5" w:color="auto"/>
      </w:pBdr>
      <w:spacing w:before="600" w:after="600" w:line="360" w:lineRule="auto"/>
      <w:ind w:left="-170" w:right="-170"/>
      <w:jc w:val="center"/>
    </w:pPr>
    <w:rPr>
      <w:rFonts w:eastAsia="SimSun"/>
      <w:b/>
      <w:sz w:val="28"/>
      <w:szCs w:val="24"/>
    </w:rPr>
  </w:style>
  <w:style w:type="character" w:customStyle="1" w:styleId="Underline">
    <w:name w:val="Underline"/>
    <w:uiPriority w:val="99"/>
    <w:rPr>
      <w:u w:val="single"/>
    </w:rPr>
  </w:style>
  <w:style w:type="character" w:customStyle="1" w:styleId="XReference">
    <w:name w:val="XReference"/>
    <w:uiPriority w:val="99"/>
    <w:rPr>
      <w:color w:val="0000FF"/>
    </w:rPr>
  </w:style>
  <w:style w:type="paragraph" w:customStyle="1" w:styleId="Format1">
    <w:name w:val="Format1"/>
    <w:basedOn w:val="Normal"/>
    <w:uiPriority w:val="99"/>
    <w:pPr>
      <w:spacing w:before="60" w:after="0"/>
      <w:jc w:val="left"/>
    </w:pPr>
    <w:rPr>
      <w:rFonts w:ascii="Courier New" w:eastAsia="SimSun" w:hAnsi="Courier New"/>
      <w:sz w:val="22"/>
      <w:szCs w:val="24"/>
    </w:rPr>
  </w:style>
  <w:style w:type="paragraph" w:customStyle="1" w:styleId="Format2">
    <w:name w:val="Format2"/>
    <w:basedOn w:val="Normal"/>
    <w:uiPriority w:val="99"/>
    <w:pPr>
      <w:spacing w:before="60" w:after="0"/>
      <w:jc w:val="left"/>
    </w:pPr>
    <w:rPr>
      <w:rFonts w:ascii="Courier New" w:eastAsia="SimSun" w:hAnsi="Courier New"/>
      <w:sz w:val="16"/>
      <w:szCs w:val="24"/>
    </w:rPr>
  </w:style>
  <w:style w:type="paragraph" w:customStyle="1" w:styleId="RightJust">
    <w:name w:val="RightJust"/>
    <w:basedOn w:val="Normal"/>
    <w:uiPriority w:val="99"/>
    <w:pPr>
      <w:spacing w:after="0"/>
      <w:jc w:val="right"/>
    </w:pPr>
    <w:rPr>
      <w:rFonts w:eastAsia="SimSun"/>
      <w:sz w:val="22"/>
      <w:szCs w:val="24"/>
    </w:rPr>
  </w:style>
  <w:style w:type="paragraph" w:customStyle="1" w:styleId="BlockQuote">
    <w:name w:val="BlockQuote"/>
    <w:basedOn w:val="Normal"/>
    <w:uiPriority w:val="99"/>
    <w:pPr>
      <w:spacing w:before="60" w:after="0"/>
      <w:ind w:left="284" w:right="284"/>
      <w:jc w:val="left"/>
    </w:pPr>
    <w:rPr>
      <w:rFonts w:eastAsia="SimSun"/>
      <w:i/>
      <w:sz w:val="22"/>
      <w:szCs w:val="24"/>
    </w:rPr>
  </w:style>
  <w:style w:type="paragraph" w:customStyle="1" w:styleId="BoxBlankLine">
    <w:name w:val="Box BlankLine"/>
    <w:basedOn w:val="BlankLine"/>
    <w:next w:val="Normal"/>
    <w:uiPriority w:val="99"/>
  </w:style>
  <w:style w:type="paragraph" w:customStyle="1" w:styleId="BoxFigCaption">
    <w:name w:val="Box FigCaption"/>
    <w:basedOn w:val="Normal"/>
    <w:uiPriority w:val="99"/>
    <w:pPr>
      <w:shd w:val="pct10" w:color="auto" w:fill="auto"/>
      <w:spacing w:before="0" w:after="0"/>
    </w:pPr>
    <w:rPr>
      <w:rFonts w:eastAsia="SimSun"/>
      <w:i/>
      <w:sz w:val="20"/>
      <w:szCs w:val="24"/>
    </w:rPr>
  </w:style>
  <w:style w:type="paragraph" w:customStyle="1" w:styleId="BoxTableTitle">
    <w:name w:val="Box Table Title"/>
    <w:basedOn w:val="Normal"/>
    <w:uiPriority w:val="99"/>
    <w:pPr>
      <w:keepNext/>
      <w:pBdr>
        <w:left w:val="single" w:sz="6" w:space="1" w:color="auto"/>
        <w:right w:val="single" w:sz="6" w:space="1" w:color="auto"/>
      </w:pBdr>
      <w:shd w:val="pct10" w:color="auto" w:fill="auto"/>
      <w:spacing w:after="0"/>
    </w:pPr>
    <w:rPr>
      <w:rFonts w:eastAsia="SimSun"/>
      <w:b/>
      <w:sz w:val="20"/>
      <w:szCs w:val="24"/>
    </w:rPr>
  </w:style>
  <w:style w:type="paragraph" w:customStyle="1" w:styleId="BoxTblEntry">
    <w:name w:val="Box TblEntry"/>
    <w:basedOn w:val="Normal"/>
    <w:uiPriority w:val="99"/>
    <w:pPr>
      <w:shd w:val="pct10" w:color="auto" w:fill="auto"/>
      <w:spacing w:after="0"/>
    </w:pPr>
    <w:rPr>
      <w:rFonts w:eastAsia="SimSun"/>
      <w:sz w:val="20"/>
      <w:szCs w:val="24"/>
    </w:rPr>
  </w:style>
  <w:style w:type="character" w:customStyle="1" w:styleId="BoxFigInfo-C">
    <w:name w:val="BoxFigInfo-C"/>
    <w:basedOn w:val="DefaultParagraphFont"/>
    <w:uiPriority w:val="99"/>
  </w:style>
  <w:style w:type="paragraph" w:customStyle="1" w:styleId="BoxFigInfo-P">
    <w:name w:val="BoxFigInfo-P"/>
    <w:basedOn w:val="BoxText"/>
    <w:uiPriority w:val="99"/>
  </w:style>
  <w:style w:type="paragraph" w:customStyle="1" w:styleId="BoxFigTitle">
    <w:name w:val="BoxFigTitle"/>
    <w:basedOn w:val="BoxFigCaption"/>
    <w:uiPriority w:val="99"/>
    <w:pPr>
      <w:keepNext/>
    </w:pPr>
    <w:rPr>
      <w:b/>
      <w:i w:val="0"/>
    </w:rPr>
  </w:style>
  <w:style w:type="paragraph" w:customStyle="1" w:styleId="BoxTblColHd">
    <w:name w:val="BoxTblColHd"/>
    <w:basedOn w:val="BoxTblEntry"/>
    <w:uiPriority w:val="99"/>
    <w:rPr>
      <w:b/>
    </w:rPr>
  </w:style>
  <w:style w:type="paragraph" w:customStyle="1" w:styleId="DashListLev1">
    <w:name w:val="Dash List Lev1"/>
    <w:basedOn w:val="Normal"/>
    <w:uiPriority w:val="99"/>
    <w:pPr>
      <w:tabs>
        <w:tab w:val="num" w:pos="0"/>
      </w:tabs>
      <w:spacing w:before="0" w:after="0"/>
      <w:ind w:left="760" w:hanging="363"/>
      <w:jc w:val="left"/>
    </w:pPr>
    <w:rPr>
      <w:rFonts w:eastAsia="SimSun"/>
      <w:sz w:val="22"/>
      <w:szCs w:val="24"/>
    </w:rPr>
  </w:style>
  <w:style w:type="paragraph" w:customStyle="1" w:styleId="DashListLev2">
    <w:name w:val="Dash List Lev2"/>
    <w:basedOn w:val="DashListLev1"/>
    <w:uiPriority w:val="99"/>
    <w:pPr>
      <w:tabs>
        <w:tab w:val="clear" w:pos="0"/>
      </w:tabs>
      <w:ind w:left="981" w:hanging="357"/>
    </w:pPr>
  </w:style>
  <w:style w:type="paragraph" w:customStyle="1" w:styleId="DashListLev3">
    <w:name w:val="Dash List Lev3"/>
    <w:basedOn w:val="DashListLev2"/>
    <w:uiPriority w:val="99"/>
    <w:pPr>
      <w:ind w:left="1208"/>
    </w:pPr>
  </w:style>
  <w:style w:type="paragraph" w:customStyle="1" w:styleId="DashListLev4">
    <w:name w:val="Dash List Lev4"/>
    <w:basedOn w:val="DashListLev3"/>
    <w:uiPriority w:val="99"/>
    <w:pPr>
      <w:numPr>
        <w:numId w:val="13"/>
      </w:numPr>
      <w:ind w:left="1434" w:hanging="357"/>
    </w:pPr>
  </w:style>
  <w:style w:type="character" w:customStyle="1" w:styleId="FigInfo-C">
    <w:name w:val="FigInfo-C"/>
    <w:basedOn w:val="DefaultParagraphFont"/>
    <w:uiPriority w:val="99"/>
  </w:style>
  <w:style w:type="paragraph" w:customStyle="1" w:styleId="ParaNote">
    <w:name w:val="Para Note"/>
    <w:basedOn w:val="Note"/>
    <w:uiPriority w:val="99"/>
    <w:pPr>
      <w:pBdr>
        <w:top w:val="single" w:sz="6" w:space="3" w:color="auto" w:shadow="1"/>
        <w:left w:val="single" w:sz="6" w:space="3" w:color="auto" w:shadow="1"/>
        <w:bottom w:val="single" w:sz="6" w:space="3" w:color="auto" w:shadow="1"/>
        <w:right w:val="single" w:sz="6" w:space="3" w:color="auto" w:shadow="1"/>
      </w:pBdr>
      <w:shd w:val="pct20" w:color="auto" w:fill="auto"/>
    </w:pPr>
    <w:rPr>
      <w:b/>
      <w:i w:val="0"/>
      <w:sz w:val="18"/>
    </w:rPr>
  </w:style>
  <w:style w:type="character" w:customStyle="1" w:styleId="Picture">
    <w:name w:val="Picture"/>
    <w:basedOn w:val="DefaultParagraphFont"/>
    <w:uiPriority w:val="99"/>
  </w:style>
  <w:style w:type="paragraph" w:customStyle="1" w:styleId="PlainList1">
    <w:name w:val="PlainList 1"/>
    <w:basedOn w:val="Normal"/>
    <w:uiPriority w:val="99"/>
    <w:pPr>
      <w:spacing w:before="0" w:after="0"/>
      <w:jc w:val="left"/>
    </w:pPr>
    <w:rPr>
      <w:rFonts w:eastAsia="SimSun"/>
      <w:sz w:val="22"/>
      <w:szCs w:val="24"/>
    </w:rPr>
  </w:style>
  <w:style w:type="paragraph" w:customStyle="1" w:styleId="PlainList2">
    <w:name w:val="PlainList 2"/>
    <w:basedOn w:val="PlainList1"/>
    <w:uiPriority w:val="99"/>
    <w:pPr>
      <w:numPr>
        <w:numId w:val="16"/>
      </w:numPr>
      <w:tabs>
        <w:tab w:val="clear" w:pos="0"/>
      </w:tabs>
      <w:ind w:left="567" w:firstLine="0"/>
    </w:pPr>
  </w:style>
  <w:style w:type="paragraph" w:customStyle="1" w:styleId="PlainList3">
    <w:name w:val="PlainList 3"/>
    <w:basedOn w:val="PlainList2"/>
    <w:uiPriority w:val="99"/>
    <w:pPr>
      <w:numPr>
        <w:numId w:val="15"/>
      </w:numPr>
      <w:ind w:left="1134" w:firstLine="0"/>
    </w:pPr>
  </w:style>
  <w:style w:type="paragraph" w:customStyle="1" w:styleId="PlainList4">
    <w:name w:val="PlainList 4"/>
    <w:basedOn w:val="PlainList3"/>
    <w:uiPriority w:val="99"/>
    <w:pPr>
      <w:numPr>
        <w:numId w:val="14"/>
      </w:numPr>
      <w:ind w:left="1701" w:firstLine="0"/>
    </w:pPr>
  </w:style>
  <w:style w:type="character" w:customStyle="1" w:styleId="Quote1">
    <w:name w:val="Quote1"/>
    <w:uiPriority w:val="99"/>
    <w:rPr>
      <w:rFonts w:ascii="Times New Roman" w:hAnsi="Times New Roman"/>
      <w:i/>
      <w:sz w:val="20"/>
    </w:rPr>
  </w:style>
  <w:style w:type="character" w:customStyle="1" w:styleId="NroSeq">
    <w:name w:val="NroSeq"/>
    <w:uiPriority w:val="99"/>
    <w:rPr>
      <w:color w:val="0000FF"/>
    </w:rPr>
  </w:style>
  <w:style w:type="character" w:customStyle="1" w:styleId="NroTOC">
    <w:name w:val="NroTOC"/>
    <w:uiPriority w:val="99"/>
    <w:rPr>
      <w:color w:val="auto"/>
      <w:sz w:val="22"/>
      <w:u w:val="none"/>
      <w:vertAlign w:val="baseline"/>
    </w:rPr>
  </w:style>
  <w:style w:type="paragraph" w:customStyle="1" w:styleId="PrelimNote">
    <w:name w:val="PrelimNote"/>
    <w:basedOn w:val="Normal"/>
    <w:next w:val="Normal"/>
    <w:uiPriority w:val="99"/>
    <w:pPr>
      <w:spacing w:after="0"/>
      <w:ind w:left="709" w:right="709"/>
      <w:jc w:val="left"/>
    </w:pPr>
    <w:rPr>
      <w:rFonts w:eastAsia="SimSun"/>
      <w:sz w:val="22"/>
      <w:szCs w:val="24"/>
    </w:rPr>
  </w:style>
  <w:style w:type="paragraph" w:customStyle="1" w:styleId="CentredJust">
    <w:name w:val="CentredJust"/>
    <w:basedOn w:val="Normal"/>
    <w:uiPriority w:val="99"/>
    <w:pPr>
      <w:spacing w:after="0"/>
      <w:jc w:val="center"/>
    </w:pPr>
    <w:rPr>
      <w:rFonts w:eastAsia="SimSun"/>
      <w:sz w:val="22"/>
      <w:szCs w:val="24"/>
    </w:rPr>
  </w:style>
  <w:style w:type="character" w:customStyle="1" w:styleId="Subscript">
    <w:name w:val="Subscript"/>
    <w:uiPriority w:val="99"/>
    <w:rPr>
      <w:noProof w:val="0"/>
      <w:vertAlign w:val="subscript"/>
      <w:lang w:val="fr-FR"/>
    </w:rPr>
  </w:style>
  <w:style w:type="character" w:customStyle="1" w:styleId="Superscript">
    <w:name w:val="Superscript"/>
    <w:uiPriority w:val="99"/>
    <w:rPr>
      <w:noProof w:val="0"/>
      <w:vertAlign w:val="superscript"/>
      <w:lang w:val="fr-FR"/>
    </w:rPr>
  </w:style>
  <w:style w:type="paragraph" w:customStyle="1" w:styleId="ListDel">
    <w:name w:val="ListDel"/>
    <w:basedOn w:val="Normal"/>
    <w:next w:val="Country"/>
    <w:uiPriority w:val="99"/>
    <w:pPr>
      <w:spacing w:after="0"/>
      <w:jc w:val="center"/>
    </w:pPr>
    <w:rPr>
      <w:rFonts w:eastAsia="SimSun"/>
      <w:b/>
      <w:sz w:val="22"/>
      <w:szCs w:val="24"/>
    </w:rPr>
  </w:style>
  <w:style w:type="paragraph" w:customStyle="1" w:styleId="Country">
    <w:name w:val="Country"/>
    <w:basedOn w:val="Normal"/>
    <w:next w:val="Role"/>
    <w:uiPriority w:val="99"/>
    <w:pPr>
      <w:keepNext/>
      <w:spacing w:after="0"/>
      <w:jc w:val="left"/>
    </w:pPr>
    <w:rPr>
      <w:rFonts w:eastAsia="SimSun"/>
      <w:b/>
      <w:caps/>
      <w:sz w:val="22"/>
      <w:szCs w:val="24"/>
    </w:rPr>
  </w:style>
  <w:style w:type="paragraph" w:customStyle="1" w:styleId="Role">
    <w:name w:val="Role"/>
    <w:basedOn w:val="Normal"/>
    <w:next w:val="Name"/>
    <w:uiPriority w:val="99"/>
    <w:pPr>
      <w:keepNext/>
      <w:spacing w:after="0"/>
      <w:jc w:val="left"/>
    </w:pPr>
    <w:rPr>
      <w:rFonts w:eastAsia="SimSun"/>
      <w:sz w:val="22"/>
      <w:szCs w:val="24"/>
    </w:rPr>
  </w:style>
  <w:style w:type="paragraph" w:customStyle="1" w:styleId="Name">
    <w:name w:val="Name"/>
    <w:basedOn w:val="Normal"/>
    <w:uiPriority w:val="99"/>
    <w:pPr>
      <w:keepLines/>
      <w:spacing w:after="0"/>
      <w:ind w:left="284"/>
      <w:jc w:val="left"/>
    </w:pPr>
    <w:rPr>
      <w:rFonts w:eastAsia="SimSun"/>
      <w:sz w:val="22"/>
      <w:szCs w:val="24"/>
    </w:rPr>
  </w:style>
  <w:style w:type="paragraph" w:customStyle="1" w:styleId="ColumnBreak">
    <w:name w:val="ColumnBreak"/>
    <w:basedOn w:val="Normal"/>
    <w:next w:val="Normal"/>
    <w:uiPriority w:val="99"/>
    <w:pPr>
      <w:spacing w:before="0" w:after="0" w:line="10" w:lineRule="exact"/>
      <w:jc w:val="left"/>
    </w:pPr>
    <w:rPr>
      <w:rFonts w:ascii="Courier New" w:eastAsia="SimSun" w:hAnsi="Courier New"/>
      <w:sz w:val="22"/>
      <w:szCs w:val="24"/>
    </w:rPr>
  </w:style>
  <w:style w:type="paragraph" w:customStyle="1" w:styleId="ContBrk">
    <w:name w:val="ContBrk"/>
    <w:basedOn w:val="Normal"/>
    <w:next w:val="Normal"/>
    <w:uiPriority w:val="99"/>
    <w:pPr>
      <w:spacing w:after="0" w:line="360" w:lineRule="auto"/>
      <w:jc w:val="left"/>
    </w:pPr>
    <w:rPr>
      <w:rFonts w:ascii="Courier New" w:eastAsia="SimSun" w:hAnsi="Courier New"/>
      <w:sz w:val="22"/>
      <w:szCs w:val="24"/>
    </w:rPr>
  </w:style>
  <w:style w:type="paragraph" w:customStyle="1" w:styleId="SectionBreak">
    <w:name w:val="SectionBreak"/>
    <w:basedOn w:val="Normal"/>
    <w:next w:val="Heading1"/>
    <w:uiPriority w:val="99"/>
    <w:pPr>
      <w:spacing w:before="0" w:after="0" w:line="10" w:lineRule="exact"/>
      <w:jc w:val="left"/>
    </w:pPr>
    <w:rPr>
      <w:rFonts w:ascii="Courier New" w:eastAsia="SimSun" w:hAnsi="Courier New"/>
      <w:sz w:val="22"/>
      <w:szCs w:val="24"/>
    </w:rPr>
  </w:style>
  <w:style w:type="paragraph" w:customStyle="1" w:styleId="HeadingAnnex">
    <w:name w:val="Heading Annex"/>
    <w:basedOn w:val="Normal"/>
    <w:next w:val="Normal"/>
    <w:uiPriority w:val="99"/>
    <w:pPr>
      <w:keepNext/>
      <w:pBdr>
        <w:top w:val="single" w:sz="6" w:space="1" w:color="auto"/>
        <w:bottom w:val="single" w:sz="6" w:space="1" w:color="auto"/>
      </w:pBdr>
      <w:spacing w:before="240" w:after="0"/>
      <w:ind w:left="709" w:hanging="709"/>
      <w:jc w:val="center"/>
    </w:pPr>
    <w:rPr>
      <w:rFonts w:ascii="Times New Roman Bold" w:eastAsia="SimSun" w:hAnsi="Times New Roman Bold"/>
      <w:b/>
      <w:caps/>
      <w:szCs w:val="24"/>
    </w:rPr>
  </w:style>
  <w:style w:type="paragraph" w:customStyle="1" w:styleId="SeqListLev1">
    <w:name w:val="Seq List Lev1"/>
    <w:basedOn w:val="Normal"/>
    <w:uiPriority w:val="99"/>
    <w:pPr>
      <w:numPr>
        <w:ilvl w:val="1"/>
        <w:numId w:val="9"/>
      </w:numPr>
      <w:spacing w:before="0" w:after="0"/>
      <w:jc w:val="left"/>
    </w:pPr>
    <w:rPr>
      <w:rFonts w:eastAsia="SimSun"/>
      <w:sz w:val="22"/>
      <w:szCs w:val="24"/>
    </w:rPr>
  </w:style>
  <w:style w:type="paragraph" w:customStyle="1" w:styleId="SeqListLev2">
    <w:name w:val="Seq List Lev2"/>
    <w:basedOn w:val="SeqListLev1"/>
    <w:uiPriority w:val="99"/>
    <w:pPr>
      <w:numPr>
        <w:ilvl w:val="2"/>
      </w:numPr>
    </w:pPr>
  </w:style>
  <w:style w:type="paragraph" w:customStyle="1" w:styleId="SeqListLev3">
    <w:name w:val="Seq List Lev3"/>
    <w:basedOn w:val="SeqListLev2"/>
    <w:uiPriority w:val="99"/>
    <w:pPr>
      <w:numPr>
        <w:ilvl w:val="3"/>
      </w:numPr>
    </w:pPr>
  </w:style>
  <w:style w:type="paragraph" w:customStyle="1" w:styleId="SeqListLev4">
    <w:name w:val="Seq List Lev4"/>
    <w:basedOn w:val="SeqListLev3"/>
    <w:uiPriority w:val="99"/>
    <w:pPr>
      <w:numPr>
        <w:ilvl w:val="4"/>
      </w:numPr>
    </w:pPr>
  </w:style>
  <w:style w:type="paragraph" w:customStyle="1" w:styleId="Para1">
    <w:name w:val="Para1"/>
    <w:basedOn w:val="Normal"/>
    <w:uiPriority w:val="99"/>
    <w:pPr>
      <w:numPr>
        <w:ilvl w:val="1"/>
        <w:numId w:val="17"/>
      </w:numPr>
    </w:pPr>
    <w:rPr>
      <w:rFonts w:eastAsia="SimSun"/>
      <w:snapToGrid w:val="0"/>
      <w:sz w:val="22"/>
      <w:szCs w:val="18"/>
    </w:rPr>
  </w:style>
  <w:style w:type="paragraph" w:styleId="BodyText">
    <w:name w:val="Body Text"/>
    <w:basedOn w:val="Normal"/>
    <w:link w:val="BodyTextChar"/>
    <w:uiPriority w:val="99"/>
    <w:pPr>
      <w:spacing w:before="0" w:after="0"/>
    </w:pPr>
    <w:rPr>
      <w:rFonts w:eastAsia="SimSun"/>
      <w:szCs w:val="24"/>
    </w:rPr>
  </w:style>
  <w:style w:type="character" w:customStyle="1" w:styleId="BodyTextChar">
    <w:name w:val="Body Text Char"/>
    <w:basedOn w:val="DefaultParagraphFont"/>
    <w:link w:val="BodyText"/>
    <w:uiPriority w:val="99"/>
    <w:rPr>
      <w:rFonts w:ascii="Times New Roman" w:eastAsia="SimSun" w:hAnsi="Times New Roman" w:cs="Times New Roman"/>
      <w:sz w:val="24"/>
      <w:szCs w:val="24"/>
    </w:rPr>
  </w:style>
  <w:style w:type="paragraph" w:styleId="BodyText2">
    <w:name w:val="Body Text 2"/>
    <w:basedOn w:val="Normal"/>
    <w:link w:val="BodyText2Char"/>
    <w:uiPriority w:val="99"/>
    <w:pPr>
      <w:spacing w:before="0" w:line="480" w:lineRule="auto"/>
      <w:jc w:val="left"/>
    </w:pPr>
    <w:rPr>
      <w:rFonts w:eastAsia="PMingLiU"/>
      <w:szCs w:val="24"/>
    </w:rPr>
  </w:style>
  <w:style w:type="character" w:customStyle="1" w:styleId="BodyText2Char">
    <w:name w:val="Body Text 2 Char"/>
    <w:basedOn w:val="DefaultParagraphFont"/>
    <w:link w:val="BodyText2"/>
    <w:uiPriority w:val="99"/>
    <w:rPr>
      <w:rFonts w:ascii="Times New Roman" w:eastAsia="PMingLiU" w:hAnsi="Times New Roman" w:cs="Times New Roman"/>
      <w:sz w:val="24"/>
      <w:szCs w:val="24"/>
      <w:lang w:val="fr-FR"/>
    </w:rPr>
  </w:style>
  <w:style w:type="paragraph" w:styleId="PlainText">
    <w:name w:val="Plain Text"/>
    <w:basedOn w:val="Normal"/>
    <w:link w:val="PlainTextChar"/>
    <w:uiPriority w:val="99"/>
    <w:pPr>
      <w:spacing w:before="0" w:after="0"/>
      <w:jc w:val="left"/>
    </w:pPr>
    <w:rPr>
      <w:rFonts w:ascii="Courier New" w:eastAsia="SimSun" w:hAnsi="Courier New" w:cs="Courier New"/>
      <w:sz w:val="20"/>
      <w:szCs w:val="24"/>
    </w:rPr>
  </w:style>
  <w:style w:type="character" w:customStyle="1" w:styleId="PlainTextChar">
    <w:name w:val="Plain Text Char"/>
    <w:basedOn w:val="DefaultParagraphFont"/>
    <w:link w:val="PlainText"/>
    <w:uiPriority w:val="99"/>
    <w:rPr>
      <w:rFonts w:ascii="Courier New" w:eastAsia="SimSun" w:hAnsi="Courier New" w:cs="Courier New"/>
      <w:sz w:val="20"/>
      <w:szCs w:val="24"/>
    </w:rPr>
  </w:style>
  <w:style w:type="paragraph" w:customStyle="1" w:styleId="FootNoteText">
    <w:name w:val="Foot Note Text"/>
    <w:basedOn w:val="Normal"/>
    <w:uiPriority w:val="99"/>
    <w:pPr>
      <w:autoSpaceDE w:val="0"/>
      <w:autoSpaceDN w:val="0"/>
      <w:adjustRightInd w:val="0"/>
      <w:spacing w:before="0" w:after="0"/>
      <w:jc w:val="left"/>
    </w:pPr>
    <w:rPr>
      <w:rFonts w:eastAsia="PMingLiU"/>
      <w:szCs w:val="24"/>
      <w:lang w:eastAsia="zh-TW"/>
    </w:rPr>
  </w:style>
  <w:style w:type="character" w:customStyle="1" w:styleId="FootNoteTextChar">
    <w:name w:val="Foot Note Text Char"/>
    <w:uiPriority w:val="99"/>
    <w:rPr>
      <w:rFonts w:eastAsia="PMingLiU"/>
      <w:noProof/>
      <w:sz w:val="24"/>
      <w:szCs w:val="24"/>
      <w:lang w:val="fr-FR" w:eastAsia="zh-TW" w:bidi="ar-SA"/>
    </w:rPr>
  </w:style>
  <w:style w:type="character" w:customStyle="1" w:styleId="Char">
    <w:name w:val="Char"/>
    <w:uiPriority w:val="99"/>
    <w:rPr>
      <w:noProof/>
      <w:sz w:val="18"/>
      <w:lang w:val="fr-FR" w:eastAsia="en-GB" w:bidi="ar-SA"/>
    </w:rPr>
  </w:style>
  <w:style w:type="paragraph" w:styleId="BodyTextIndent2">
    <w:name w:val="Body Text Indent 2"/>
    <w:basedOn w:val="Normal"/>
    <w:link w:val="BodyTextIndent2Char"/>
    <w:uiPriority w:val="99"/>
    <w:pPr>
      <w:spacing w:line="480" w:lineRule="auto"/>
      <w:ind w:left="283"/>
      <w:jc w:val="left"/>
    </w:pPr>
    <w:rPr>
      <w:rFonts w:eastAsia="SimSun"/>
      <w:sz w:val="22"/>
      <w:szCs w:val="24"/>
    </w:rPr>
  </w:style>
  <w:style w:type="character" w:customStyle="1" w:styleId="BodyTextIndent2Char">
    <w:name w:val="Body Text Indent 2 Char"/>
    <w:basedOn w:val="DefaultParagraphFont"/>
    <w:link w:val="BodyTextIndent2"/>
    <w:uiPriority w:val="99"/>
    <w:rPr>
      <w:rFonts w:ascii="Times New Roman" w:eastAsia="SimSun" w:hAnsi="Times New Roman" w:cs="Times New Roman"/>
      <w:szCs w:val="24"/>
      <w:lang w:val="fr-FR"/>
    </w:rPr>
  </w:style>
  <w:style w:type="paragraph" w:customStyle="1" w:styleId="bulltext">
    <w:name w:val="bulltext"/>
    <w:basedOn w:val="Normal"/>
    <w:next w:val="Normal"/>
    <w:uiPriority w:val="99"/>
    <w:pPr>
      <w:autoSpaceDE w:val="0"/>
      <w:autoSpaceDN w:val="0"/>
      <w:adjustRightInd w:val="0"/>
      <w:spacing w:before="0" w:after="60"/>
      <w:jc w:val="left"/>
    </w:pPr>
    <w:rPr>
      <w:rFonts w:ascii="KPDIHJ+TimesNewRoman,Bold" w:eastAsia="SimSun" w:hAnsi="KPDIHJ+TimesNewRoman,Bold"/>
      <w:szCs w:val="24"/>
    </w:rPr>
  </w:style>
  <w:style w:type="paragraph" w:customStyle="1" w:styleId="Heading2longmultiline">
    <w:name w:val="Heading 2 (long multiline)"/>
    <w:basedOn w:val="Normal"/>
    <w:uiPriority w:val="99"/>
    <w:pPr>
      <w:keepNext/>
      <w:tabs>
        <w:tab w:val="left" w:pos="720"/>
        <w:tab w:val="num" w:pos="2880"/>
      </w:tabs>
      <w:ind w:left="2880" w:right="998" w:hanging="360"/>
      <w:jc w:val="left"/>
      <w:outlineLvl w:val="0"/>
    </w:pPr>
    <w:rPr>
      <w:rFonts w:eastAsia="Times New Roman"/>
      <w:b/>
      <w:bCs/>
      <w:i/>
      <w:iCs/>
      <w:sz w:val="22"/>
    </w:rPr>
  </w:style>
  <w:style w:type="paragraph" w:customStyle="1" w:styleId="Paragrafoelenco1">
    <w:name w:val="Paragrafo elenco1"/>
    <w:basedOn w:val="Normal"/>
    <w:uiPriority w:val="99"/>
    <w:pPr>
      <w:spacing w:before="0" w:after="200" w:line="276" w:lineRule="auto"/>
      <w:ind w:left="720"/>
    </w:pPr>
    <w:rPr>
      <w:rFonts w:ascii="Cambria" w:eastAsia="Times New Roman" w:hAnsi="Cambria" w:cs="Cambria"/>
      <w:sz w:val="20"/>
      <w:szCs w:val="20"/>
    </w:rPr>
  </w:style>
  <w:style w:type="paragraph" w:customStyle="1" w:styleId="ListParagraph1">
    <w:name w:val="List Paragraph1"/>
    <w:basedOn w:val="Normal"/>
    <w:uiPriority w:val="99"/>
    <w:pPr>
      <w:spacing w:before="0" w:after="200" w:line="276" w:lineRule="atLeast"/>
      <w:ind w:left="720"/>
      <w:jc w:val="left"/>
    </w:pPr>
    <w:rPr>
      <w:rFonts w:ascii="Calibri" w:eastAsia="Times New Roman" w:hAnsi="Calibri" w:cs="Calibri"/>
      <w:sz w:val="22"/>
    </w:rPr>
  </w:style>
  <w:style w:type="table" w:styleId="TableGrid">
    <w:name w:val="Table Grid"/>
    <w:basedOn w:val="TableNormal"/>
    <w:uiPriority w:val="5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rFonts w:ascii="Times New Roman" w:eastAsia="SimSun" w:hAnsi="Times New Roman" w:cs="Times New Roman"/>
      <w:color w:val="000000" w:themeColor="text1" w:themeShade="BF"/>
      <w:sz w:val="20"/>
      <w:szCs w:val="20"/>
      <w:lang w:val="fr-BE"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pPr>
      <w:spacing w:after="0" w:line="240" w:lineRule="auto"/>
    </w:pPr>
    <w:rPr>
      <w:rFonts w:ascii="Times New Roman" w:eastAsia="SimSun" w:hAnsi="Times New Roman" w:cs="Times New Roman"/>
      <w:sz w:val="20"/>
      <w:szCs w:val="20"/>
      <w:lang w:val="fr-BE"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Default">
    <w:name w:val="Default"/>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EndnoteText">
    <w:name w:val="endnote text"/>
    <w:basedOn w:val="Normal"/>
    <w:link w:val="EndnoteTextChar"/>
    <w:uiPriority w:val="99"/>
    <w:semiHidden/>
    <w:unhideWhenUsed/>
    <w:pPr>
      <w:spacing w:before="0" w:after="0"/>
      <w:jc w:val="left"/>
    </w:pPr>
    <w:rPr>
      <w:rFonts w:eastAsia="SimSun"/>
      <w:sz w:val="20"/>
      <w:szCs w:val="20"/>
    </w:rPr>
  </w:style>
  <w:style w:type="character" w:customStyle="1" w:styleId="EndnoteTextChar">
    <w:name w:val="Endnote Text Char"/>
    <w:basedOn w:val="DefaultParagraphFont"/>
    <w:link w:val="EndnoteText"/>
    <w:uiPriority w:val="99"/>
    <w:semiHidden/>
    <w:rPr>
      <w:rFonts w:ascii="Times New Roman" w:eastAsia="SimSu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customStyle="1" w:styleId="A1">
    <w:name w:val="A1"/>
    <w:uiPriority w:val="99"/>
    <w:rPr>
      <w:rFonts w:cs="Arno Pro"/>
      <w:color w:val="000000"/>
      <w:sz w:val="22"/>
      <w:szCs w:val="22"/>
    </w:rPr>
  </w:style>
  <w:style w:type="paragraph" w:styleId="BodyText3">
    <w:name w:val="Body Text 3"/>
    <w:basedOn w:val="Normal"/>
    <w:link w:val="BodyText3Char"/>
    <w:uiPriority w:val="99"/>
    <w:semiHidden/>
    <w:unhideWhenUsed/>
    <w:pPr>
      <w:jc w:val="left"/>
    </w:pPr>
    <w:rPr>
      <w:rFonts w:eastAsia="SimSun"/>
      <w:sz w:val="16"/>
      <w:szCs w:val="16"/>
    </w:rPr>
  </w:style>
  <w:style w:type="character" w:customStyle="1" w:styleId="BodyText3Char">
    <w:name w:val="Body Text 3 Char"/>
    <w:basedOn w:val="DefaultParagraphFont"/>
    <w:link w:val="BodyText3"/>
    <w:uiPriority w:val="99"/>
    <w:semiHidden/>
    <w:rPr>
      <w:rFonts w:ascii="Times New Roman" w:eastAsia="SimSun" w:hAnsi="Times New Roman" w:cs="Times New Roman"/>
      <w:sz w:val="16"/>
      <w:szCs w:val="16"/>
      <w:lang w:val="fr-FR"/>
    </w:rPr>
  </w:style>
  <w:style w:type="character" w:styleId="Strong">
    <w:name w:val="Strong"/>
    <w:basedOn w:val="DefaultParagraphFont"/>
    <w:qFormat/>
    <w:rPr>
      <w:b/>
      <w:bCs/>
    </w:rPr>
  </w:style>
  <w:style w:type="paragraph" w:styleId="NormalWeb">
    <w:name w:val="Normal (Web)"/>
    <w:basedOn w:val="Normal"/>
    <w:uiPriority w:val="99"/>
    <w:unhideWhenUsed/>
    <w:pPr>
      <w:spacing w:before="100" w:beforeAutospacing="1" w:after="100" w:afterAutospacing="1"/>
      <w:jc w:val="left"/>
    </w:pPr>
    <w:rPr>
      <w:rFonts w:ascii="Times" w:hAnsi="Times"/>
      <w:sz w:val="20"/>
      <w:szCs w:val="20"/>
    </w:rPr>
  </w:style>
  <w:style w:type="numbering" w:customStyle="1" w:styleId="NoList11">
    <w:name w:val="No List11"/>
    <w:next w:val="NoList"/>
    <w:uiPriority w:val="99"/>
    <w:semiHidden/>
    <w:unhideWhenUsed/>
  </w:style>
  <w:style w:type="numbering" w:customStyle="1" w:styleId="NoList111">
    <w:name w:val="No List111"/>
    <w:next w:val="NoList"/>
    <w:uiPriority w:val="99"/>
    <w:semiHidden/>
    <w:unhideWhenUsed/>
  </w:style>
  <w:style w:type="table" w:customStyle="1" w:styleId="LightShading1">
    <w:name w:val="Light Shading1"/>
    <w:basedOn w:val="TableNormal"/>
    <w:next w:val="LightShading"/>
    <w:uiPriority w:val="60"/>
    <w:pPr>
      <w:spacing w:after="0" w:line="240" w:lineRule="auto"/>
    </w:pPr>
    <w:rPr>
      <w:rFonts w:ascii="Times New Roman" w:eastAsia="SimSun" w:hAnsi="Times New Roman" w:cs="Times New Roman"/>
      <w:color w:val="000000"/>
      <w:sz w:val="20"/>
      <w:szCs w:val="20"/>
      <w:lang w:val="fr-BE"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31">
    <w:name w:val="Light Grid - Accent 31"/>
    <w:basedOn w:val="TableNormal"/>
    <w:next w:val="LightGrid-Accent3"/>
    <w:uiPriority w:val="62"/>
    <w:pPr>
      <w:spacing w:after="0" w:line="240" w:lineRule="auto"/>
    </w:pPr>
    <w:rPr>
      <w:rFonts w:ascii="Times New Roman" w:eastAsia="SimSun" w:hAnsi="Times New Roman" w:cs="Times New Roman"/>
      <w:sz w:val="20"/>
      <w:szCs w:val="20"/>
      <w:lang w:val="fr-BE"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SimSu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SimSu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SimSun" w:hAnsi="Calibri" w:cs="Times New Roman"/>
        <w:b/>
        <w:bCs/>
      </w:rPr>
    </w:tblStylePr>
    <w:tblStylePr w:type="lastCol">
      <w:rPr>
        <w:rFonts w:ascii="Calibri" w:eastAsia="SimSu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NormalWeb1">
    <w:name w:val="Normal (Web)1"/>
    <w:basedOn w:val="Normal"/>
    <w:next w:val="NormalWeb"/>
    <w:uiPriority w:val="99"/>
    <w:unhideWhenUsed/>
    <w:pPr>
      <w:spacing w:before="100" w:beforeAutospacing="1" w:after="100" w:afterAutospacing="1"/>
      <w:jc w:val="left"/>
    </w:pPr>
    <w:rPr>
      <w:rFonts w:ascii="Times" w:eastAsia="Calibri" w:hAnsi="Times"/>
      <w:sz w:val="20"/>
      <w:szCs w:val="20"/>
    </w:rPr>
  </w:style>
  <w:style w:type="table" w:customStyle="1" w:styleId="LightShading2">
    <w:name w:val="Light Shading2"/>
    <w:basedOn w:val="TableNormal"/>
    <w:next w:val="LightShading"/>
    <w:uiPriority w:val="60"/>
    <w:semiHidden/>
    <w:unhideWhenUsed/>
    <w:pPr>
      <w:spacing w:after="0" w:line="240" w:lineRule="auto"/>
    </w:pPr>
    <w:rPr>
      <w:rFonts w:ascii="Calibri" w:eastAsia="Calibri" w:hAnsi="Calibri" w:cs="Times New Roman"/>
      <w:color w:val="000000"/>
      <w:sz w:val="24"/>
      <w:szCs w:val="24"/>
      <w:lang w:val="fr-BE"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32">
    <w:name w:val="Light Grid - Accent 32"/>
    <w:basedOn w:val="TableNormal"/>
    <w:next w:val="LightGrid-Accent3"/>
    <w:uiPriority w:val="62"/>
    <w:semiHidden/>
    <w:unhideWhenUsed/>
    <w:pPr>
      <w:spacing w:after="0" w:line="240" w:lineRule="auto"/>
    </w:pPr>
    <w:rPr>
      <w:rFonts w:ascii="Calibri" w:eastAsia="Calibri" w:hAnsi="Calibri" w:cs="Times New Roman"/>
      <w:sz w:val="24"/>
      <w:szCs w:val="24"/>
      <w:lang w:val="fr-BE"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table" w:customStyle="1" w:styleId="TableGrid1">
    <w:name w:val="Table Grid1"/>
    <w:basedOn w:val="TableNormal"/>
    <w:next w:val="TableGrid"/>
    <w:uiPriority w:val="5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next w:val="LightShading"/>
    <w:uiPriority w:val="60"/>
    <w:pPr>
      <w:spacing w:after="0" w:line="240" w:lineRule="auto"/>
    </w:pPr>
    <w:rPr>
      <w:rFonts w:ascii="Times New Roman" w:eastAsia="SimSun" w:hAnsi="Times New Roman" w:cs="Times New Roman"/>
      <w:color w:val="000000"/>
      <w:sz w:val="20"/>
      <w:szCs w:val="20"/>
      <w:lang w:val="fr-BE"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311">
    <w:name w:val="Light Grid - Accent 311"/>
    <w:basedOn w:val="TableNormal"/>
    <w:next w:val="LightGrid-Accent3"/>
    <w:uiPriority w:val="62"/>
    <w:pPr>
      <w:spacing w:after="0" w:line="240" w:lineRule="auto"/>
    </w:pPr>
    <w:rPr>
      <w:rFonts w:ascii="Times New Roman" w:eastAsia="SimSun" w:hAnsi="Times New Roman" w:cs="Times New Roman"/>
      <w:sz w:val="20"/>
      <w:szCs w:val="20"/>
      <w:lang w:val="fr-BE"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SimSu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SimSu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SimSun" w:hAnsi="Calibri" w:cs="Times New Roman"/>
        <w:b/>
        <w:bCs/>
      </w:rPr>
    </w:tblStylePr>
    <w:tblStylePr w:type="lastCol">
      <w:rPr>
        <w:rFonts w:ascii="Calibri" w:eastAsia="SimSu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3">
    <w:name w:val="Light Shading3"/>
    <w:basedOn w:val="TableNormal"/>
    <w:next w:val="LightShading"/>
    <w:uiPriority w:val="60"/>
    <w:semiHidden/>
    <w:unhideWhenUsed/>
    <w:pPr>
      <w:spacing w:after="0" w:line="240" w:lineRule="auto"/>
    </w:pPr>
    <w:rPr>
      <w:rFonts w:ascii="Calibri" w:eastAsia="Calibri" w:hAnsi="Calibri" w:cs="Times New Roman"/>
      <w:color w:val="000000"/>
      <w:sz w:val="24"/>
      <w:szCs w:val="24"/>
      <w:lang w:val="fr-BE"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33">
    <w:name w:val="Light Grid - Accent 33"/>
    <w:basedOn w:val="TableNormal"/>
    <w:next w:val="LightGrid-Accent3"/>
    <w:uiPriority w:val="62"/>
    <w:semiHidden/>
    <w:unhideWhenUsed/>
    <w:pPr>
      <w:spacing w:after="0" w:line="240" w:lineRule="auto"/>
    </w:pPr>
    <w:rPr>
      <w:rFonts w:ascii="Calibri" w:eastAsia="Calibri" w:hAnsi="Calibri" w:cs="Times New Roman"/>
      <w:sz w:val="24"/>
      <w:szCs w:val="24"/>
      <w:lang w:val="fr-BE"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st">
    <w:name w:val="st"/>
    <w:basedOn w:val="DefaultParagraphFont"/>
  </w:style>
  <w:style w:type="paragraph" w:customStyle="1" w:styleId="Style">
    <w:name w:val="Style"/>
    <w:basedOn w:val="Normal"/>
    <w:uiPriority w:val="99"/>
    <w:pPr>
      <w:spacing w:before="0" w:after="0"/>
      <w:jc w:val="left"/>
    </w:pPr>
    <w:rPr>
      <w:rFonts w:eastAsia="Times New Roman"/>
      <w:szCs w:val="24"/>
      <w:lang w:eastAsia="pl-PL"/>
    </w:rPr>
  </w:style>
  <w:style w:type="paragraph" w:customStyle="1" w:styleId="People">
    <w:name w:val="People"/>
    <w:basedOn w:val="Normal"/>
    <w:pPr>
      <w:keepNext/>
      <w:keepLines/>
      <w:spacing w:before="0" w:after="0"/>
      <w:ind w:left="284"/>
      <w:jc w:val="left"/>
    </w:pPr>
    <w:rPr>
      <w:rFonts w:eastAsia="SimSun"/>
      <w:sz w:val="22"/>
      <w:lang w:eastAsia="zh-CN"/>
    </w:rPr>
  </w:style>
  <w:style w:type="paragraph" w:customStyle="1" w:styleId="ColorfulShading-Accent31">
    <w:name w:val="Colorful Shading - Accent 31"/>
    <w:basedOn w:val="Normal"/>
    <w:uiPriority w:val="34"/>
    <w:qFormat/>
    <w:pPr>
      <w:spacing w:before="0" w:after="200" w:line="276" w:lineRule="auto"/>
      <w:ind w:left="720"/>
      <w:jc w:val="left"/>
    </w:pPr>
    <w:rPr>
      <w:rFonts w:ascii="Calibri" w:eastAsia="Times New Roman" w:hAnsi="Calibri" w:cs="Calibri"/>
      <w:sz w:val="22"/>
    </w:rPr>
  </w:style>
  <w:style w:type="paragraph" w:styleId="HTMLPreformatted">
    <w:name w:val="HTML Preformatted"/>
    <w:basedOn w:val="Normal"/>
    <w:link w:val="HTMLPreformattedChar"/>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sz w:val="20"/>
      <w:szCs w:val="20"/>
    </w:rPr>
  </w:style>
  <w:style w:type="character" w:customStyle="1" w:styleId="HTMLPreformattedChar">
    <w:name w:val="HTML Preformatted Char"/>
    <w:basedOn w:val="DefaultParagraphFont"/>
    <w:link w:val="HTMLPreformatted"/>
    <w:semiHidden/>
    <w:rPr>
      <w:rFonts w:ascii="Courier New" w:eastAsia="Times New Roman" w:hAnsi="Courier New" w:cs="Times New Roman"/>
      <w:sz w:val="20"/>
      <w:szCs w:val="20"/>
      <w:lang w:val="fr-FR"/>
    </w:rPr>
  </w:style>
  <w:style w:type="paragraph" w:customStyle="1" w:styleId="ColorfulList-Accent31">
    <w:name w:val="Colorful List - Accent 31"/>
    <w:basedOn w:val="Normal"/>
    <w:next w:val="Normal"/>
    <w:uiPriority w:val="29"/>
    <w:qFormat/>
    <w:pPr>
      <w:spacing w:after="0"/>
      <w:jc w:val="left"/>
    </w:pPr>
    <w:rPr>
      <w:rFonts w:eastAsia="Times New Roman"/>
      <w:i/>
      <w:iCs/>
      <w:noProof/>
      <w:color w:val="000000"/>
      <w:sz w:val="22"/>
      <w:szCs w:val="20"/>
    </w:rPr>
  </w:style>
  <w:style w:type="character" w:customStyle="1" w:styleId="ColorfulList-Accent3Char">
    <w:name w:val="Colorful List - Accent 3 Char"/>
    <w:uiPriority w:val="29"/>
    <w:rPr>
      <w:rFonts w:ascii="Times New Roman" w:eastAsia="Times New Roman" w:hAnsi="Times New Roman" w:cs="Times New Roman"/>
      <w:i/>
      <w:iCs/>
      <w:noProof/>
      <w:color w:val="000000"/>
      <w:szCs w:val="20"/>
      <w:lang w:val="fr-FR"/>
    </w:rPr>
  </w:style>
  <w:style w:type="character" w:styleId="LineNumber">
    <w:name w:val="line number"/>
    <w:basedOn w:val="DefaultParagraphFont"/>
    <w:uiPriority w:val="99"/>
    <w:semiHidden/>
    <w:unhideWhenUsed/>
  </w:style>
  <w:style w:type="character" w:customStyle="1" w:styleId="ListParagraphChar">
    <w:name w:val="List Paragraph Char"/>
    <w:basedOn w:val="DefaultParagraphFont"/>
    <w:link w:val="ListParagraph"/>
    <w:uiPriority w:val="34"/>
    <w:rPr>
      <w:rFonts w:ascii="Arial" w:eastAsia="Cambria" w:hAnsi="Arial" w:cs="Arial"/>
      <w:lang w:val="fr-FR"/>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FootnoteTextChar1">
    <w:name w:val="Footnote Text Char1"/>
    <w:basedOn w:val="DefaultParagraphFont"/>
    <w:uiPriority w:val="99"/>
    <w:semiHidden/>
    <w:rPr>
      <w:rFonts w:ascii="Times New Roman" w:hAnsi="Times New Roman" w:cs="Times New Roman"/>
      <w:sz w:val="20"/>
      <w:szCs w:val="20"/>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character" w:customStyle="1" w:styleId="FootnoteTextChar2">
    <w:name w:val="Footnote Text Char2"/>
    <w:basedOn w:val="DefaultParagraphFont"/>
    <w:uiPriority w:val="99"/>
    <w:semiHidden/>
    <w:rPr>
      <w:rFonts w:ascii="Times New Roman" w:hAnsi="Times New Roman" w:cs="Times New Roman"/>
      <w:sz w:val="20"/>
      <w:szCs w:val="20"/>
      <w:shd w:val="clear" w:color="auto" w:fill="auto"/>
      <w:lang w:val="fr-FR"/>
    </w:rPr>
  </w:style>
  <w:style w:type="paragraph" w:styleId="FootnoteText0">
    <w:name w:val="footnote text"/>
    <w:basedOn w:val="Normal"/>
    <w:link w:val="FootnoteTextChar13"/>
    <w:uiPriority w:val="99"/>
    <w:semiHidden/>
    <w:unhideWhenUsed/>
    <w:pPr>
      <w:spacing w:before="0" w:after="0"/>
      <w:ind w:left="720" w:hanging="720"/>
    </w:pPr>
    <w:rPr>
      <w:sz w:val="20"/>
      <w:szCs w:val="20"/>
    </w:rPr>
  </w:style>
  <w:style w:type="character" w:customStyle="1" w:styleId="FootnoteTextChar0">
    <w:name w:val="Footnote Text Char"/>
    <w:basedOn w:val="DefaultParagraphFont"/>
    <w:uiPriority w:val="99"/>
    <w:semiHidden/>
    <w:rPr>
      <w:rFonts w:ascii="Times New Roman" w:hAnsi="Times New Roman" w:cs="Times New Roman"/>
      <w:sz w:val="20"/>
      <w:szCs w:val="20"/>
      <w:shd w:val="clear" w:color="auto" w:fill="auto"/>
      <w:lang w:val="fr-FR"/>
    </w:rPr>
  </w:style>
  <w:style w:type="character" w:customStyle="1" w:styleId="FootnoteTextChar3">
    <w:name w:val="Footnote Text Char3"/>
    <w:basedOn w:val="DefaultParagraphFont"/>
    <w:uiPriority w:val="99"/>
    <w:semiHidden/>
    <w:rPr>
      <w:rFonts w:ascii="Times New Roman" w:hAnsi="Times New Roman" w:cs="Times New Roman"/>
      <w:sz w:val="20"/>
      <w:szCs w:val="20"/>
      <w:shd w:val="clear" w:color="auto" w:fill="auto"/>
      <w:lang w:val="fr-FR"/>
    </w:rPr>
  </w:style>
  <w:style w:type="character" w:customStyle="1" w:styleId="FootnoteTextChar4">
    <w:name w:val="Footnote Text Char4"/>
    <w:basedOn w:val="DefaultParagraphFont"/>
    <w:uiPriority w:val="99"/>
    <w:semiHidden/>
    <w:rPr>
      <w:rFonts w:ascii="Times New Roman" w:hAnsi="Times New Roman" w:cs="Times New Roman"/>
      <w:sz w:val="20"/>
      <w:szCs w:val="20"/>
      <w:shd w:val="clear" w:color="auto" w:fill="auto"/>
      <w:lang w:val="fr-FR"/>
    </w:rPr>
  </w:style>
  <w:style w:type="character" w:customStyle="1" w:styleId="FootnoteTextChar5">
    <w:name w:val="Footnote Text Char5"/>
    <w:basedOn w:val="DefaultParagraphFont"/>
    <w:uiPriority w:val="99"/>
    <w:semiHidden/>
    <w:rPr>
      <w:rFonts w:ascii="Times New Roman" w:hAnsi="Times New Roman" w:cs="Times New Roman"/>
      <w:sz w:val="20"/>
      <w:szCs w:val="20"/>
      <w:shd w:val="clear" w:color="auto" w:fill="auto"/>
      <w:lang w:val="fr-FR"/>
    </w:rPr>
  </w:style>
  <w:style w:type="character" w:customStyle="1" w:styleId="FootnoteTextChar6">
    <w:name w:val="Footnote Text Char6"/>
    <w:basedOn w:val="DefaultParagraphFont"/>
    <w:uiPriority w:val="99"/>
    <w:semiHidden/>
    <w:rPr>
      <w:rFonts w:ascii="Times New Roman" w:hAnsi="Times New Roman" w:cs="Times New Roman"/>
      <w:sz w:val="20"/>
      <w:szCs w:val="20"/>
      <w:shd w:val="clear" w:color="auto" w:fill="auto"/>
      <w:lang w:val="fr-FR"/>
    </w:rPr>
  </w:style>
  <w:style w:type="character" w:customStyle="1" w:styleId="FootnoteTextChar7">
    <w:name w:val="Footnote Text Char7"/>
    <w:basedOn w:val="DefaultParagraphFont"/>
    <w:uiPriority w:val="99"/>
    <w:semiHidden/>
    <w:rPr>
      <w:rFonts w:ascii="Times New Roman" w:hAnsi="Times New Roman" w:cs="Times New Roman"/>
      <w:sz w:val="20"/>
      <w:szCs w:val="20"/>
      <w:shd w:val="clear" w:color="auto" w:fill="auto"/>
      <w:lang w:val="fr-FR"/>
    </w:rPr>
  </w:style>
  <w:style w:type="character" w:customStyle="1" w:styleId="FootnoteTextChar8">
    <w:name w:val="Footnote Text Char8"/>
    <w:basedOn w:val="DefaultParagraphFont"/>
    <w:uiPriority w:val="99"/>
    <w:semiHidden/>
    <w:rPr>
      <w:rFonts w:ascii="Times New Roman" w:hAnsi="Times New Roman" w:cs="Times New Roman"/>
      <w:sz w:val="20"/>
      <w:szCs w:val="20"/>
      <w:shd w:val="clear" w:color="auto" w:fill="auto"/>
      <w:lang w:val="fr-FR"/>
    </w:rPr>
  </w:style>
  <w:style w:type="character" w:customStyle="1" w:styleId="FootnoteTextChar9">
    <w:name w:val="Footnote Text Char9"/>
    <w:basedOn w:val="DefaultParagraphFont"/>
    <w:uiPriority w:val="99"/>
    <w:semiHidden/>
    <w:rPr>
      <w:rFonts w:ascii="Times New Roman" w:hAnsi="Times New Roman" w:cs="Times New Roman"/>
      <w:sz w:val="20"/>
      <w:szCs w:val="20"/>
      <w:shd w:val="clear" w:color="auto" w:fill="auto"/>
      <w:lang w:val="fr-FR"/>
    </w:rPr>
  </w:style>
  <w:style w:type="character" w:customStyle="1" w:styleId="FootnoteTextChar10">
    <w:name w:val="Footnote Text Char10"/>
    <w:basedOn w:val="DefaultParagraphFont"/>
    <w:uiPriority w:val="99"/>
    <w:semiHidden/>
    <w:rPr>
      <w:rFonts w:ascii="Times New Roman" w:hAnsi="Times New Roman" w:cs="Times New Roman"/>
      <w:sz w:val="20"/>
      <w:szCs w:val="20"/>
      <w:shd w:val="clear" w:color="auto" w:fill="auto"/>
      <w:lang w:val="fr-FR"/>
    </w:rPr>
  </w:style>
  <w:style w:type="character" w:customStyle="1" w:styleId="FootnoteTextChar11">
    <w:name w:val="Footnote Text Char11"/>
    <w:basedOn w:val="DefaultParagraphFont"/>
    <w:uiPriority w:val="99"/>
    <w:semiHidden/>
    <w:rPr>
      <w:rFonts w:ascii="Times New Roman" w:hAnsi="Times New Roman" w:cs="Times New Roman"/>
      <w:sz w:val="20"/>
      <w:szCs w:val="20"/>
      <w:shd w:val="clear" w:color="auto" w:fill="auto"/>
      <w:lang w:val="en-GB"/>
    </w:rPr>
  </w:style>
  <w:style w:type="character" w:customStyle="1" w:styleId="FootnoteTextChar12">
    <w:name w:val="Footnote Text Char12"/>
    <w:basedOn w:val="DefaultParagraphFont"/>
    <w:uiPriority w:val="99"/>
    <w:semiHidden/>
    <w:rPr>
      <w:rFonts w:ascii="Times New Roman" w:hAnsi="Times New Roman" w:cs="Times New Roman"/>
      <w:sz w:val="20"/>
      <w:szCs w:val="20"/>
      <w:shd w:val="clear" w:color="auto" w:fill="auto"/>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character" w:customStyle="1" w:styleId="FootnoteTextChar13">
    <w:name w:val="Footnote Text Char13"/>
    <w:basedOn w:val="DefaultParagraphFont"/>
    <w:link w:val="FootnoteText0"/>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90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ITPGRFA-Secretary@FA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B5E668F-2BB0-4E26-A63C-5D95F333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21</Pages>
  <Words>6191</Words>
  <Characters>35231</Characters>
  <Application>Microsoft Office Word</Application>
  <DocSecurity>0</DocSecurity>
  <Lines>664</Lines>
  <Paragraphs>257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SZOEKE-DENES Melinda (SANTE)</dc:creator>
  <cp:lastModifiedBy>WES PDFC Administrator</cp:lastModifiedBy>
  <cp:revision>9</cp:revision>
  <dcterms:created xsi:type="dcterms:W3CDTF">2019-09-30T14:06:00Z</dcterms:created>
  <dcterms:modified xsi:type="dcterms:W3CDTF">2019-10-01T08:32:00Z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