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9BB928-93E6-4030-8807-EE8F1389702E"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Съветът упълномощи Европейската комисия да води, от името на Европейския съюз, преговори за подновяване на споразумението и протокола за определяне на възможностите за риболов и на финансовата вноска, предвидени в Споразумението за партньорство в областта на рибарството между Европейската общност и Ислямска република Мавритания. </w:t>
      </w:r>
    </w:p>
    <w:p>
      <w:pPr>
        <w:rPr>
          <w:noProof/>
        </w:rPr>
      </w:pPr>
      <w:r>
        <w:rPr>
          <w:noProof/>
        </w:rPr>
        <w:t>В очакване на приключването на преговорите за подновяване на споразумението и на протокола към него Комисията договори от името на Европейския съюз споразумение под формата на размяна на писма за удължаване за максимален срок от една година на протокола за определяне на възможностите за риболов и на финансовата вноска, свързани с прилагането на споразумението (наричано по-долу „споразумение под формата на размяна на писма“). След приключване на преговорите споразумението под формата на размяна на писма беше парафирано на 4 септември 2019 г.</w:t>
      </w:r>
    </w:p>
    <w:p>
      <w:pPr>
        <w:rPr>
          <w:noProof/>
        </w:rPr>
      </w:pPr>
      <w:r>
        <w:rPr>
          <w:noProof/>
        </w:rPr>
        <w:t>Целта на споразумението под формата на размяна на писма е да се осигури възможност на ЕС и Ислямска република Мавритания да продължат да си сътрудничат в насърчаването на политиката на устойчиво рибарство и отговорното използване на рибните ресурси във водите на Мавритания, както и за да се позволи на корабите на ЕС да извършват своите риболовни дейности в тези води.</w:t>
      </w:r>
    </w:p>
    <w:p>
      <w:pPr>
        <w:rPr>
          <w:noProof/>
        </w:rPr>
      </w:pPr>
      <w:r>
        <w:rPr>
          <w:noProof/>
        </w:rPr>
        <w:t>Протоколът предвижда възможности за риболов в следните категории:</w:t>
      </w:r>
    </w:p>
    <w:p>
      <w:pPr>
        <w:pStyle w:val="Tiret0"/>
        <w:numPr>
          <w:ilvl w:val="0"/>
          <w:numId w:val="1"/>
        </w:numPr>
        <w:rPr>
          <w:noProof/>
        </w:rPr>
      </w:pPr>
      <w:r>
        <w:rPr>
          <w:noProof/>
        </w:rPr>
        <w:t>категория 1 — кораби за улов на ракообразни с изключение на лангуста и рак: 5000 тона и 25 кораба;</w:t>
      </w:r>
    </w:p>
    <w:p>
      <w:pPr>
        <w:pStyle w:val="Tiret0"/>
        <w:rPr>
          <w:noProof/>
        </w:rPr>
      </w:pPr>
      <w:r>
        <w:rPr>
          <w:noProof/>
        </w:rPr>
        <w:t>категория 2 — траулери (нехладилни) и кораби с дънни парагади за улов на черна мерлуза: 6000 тона и 6 кораба;</w:t>
      </w:r>
    </w:p>
    <w:p>
      <w:pPr>
        <w:pStyle w:val="Tiret0"/>
        <w:rPr>
          <w:noProof/>
        </w:rPr>
      </w:pPr>
      <w:r>
        <w:rPr>
          <w:noProof/>
        </w:rPr>
        <w:t>категория 2а — траулери (хладилни) за улов на черна мерлуза: черна мерлуза — 3500 тона, калмари — 1450 тона, сепия — 600 тона;</w:t>
      </w:r>
    </w:p>
    <w:p>
      <w:pPr>
        <w:pStyle w:val="Tiret0"/>
        <w:rPr>
          <w:noProof/>
        </w:rPr>
      </w:pPr>
      <w:r>
        <w:rPr>
          <w:noProof/>
        </w:rPr>
        <w:t>категория 3 — риболовни кораби за улов на дънни видове, различни от черна мерлуза, посредством риболовни уреди, различни от трал: 3000 тона и 6 кораба;</w:t>
      </w:r>
    </w:p>
    <w:p>
      <w:pPr>
        <w:pStyle w:val="Tiret0"/>
        <w:rPr>
          <w:noProof/>
        </w:rPr>
      </w:pPr>
      <w:r>
        <w:rPr>
          <w:noProof/>
        </w:rPr>
        <w:t>категория 4 — кораби с мрежи гъргър за улов на риба тон: 12 500 тона (референтен тонаж) и 25 кораба;</w:t>
      </w:r>
    </w:p>
    <w:p>
      <w:pPr>
        <w:pStyle w:val="Tiret0"/>
        <w:rPr>
          <w:noProof/>
        </w:rPr>
      </w:pPr>
      <w:r>
        <w:rPr>
          <w:noProof/>
        </w:rPr>
        <w:t>категория 5 — кораби за улов на риба тон с въдици и кораби за риболов с парагади: 7500 тона (референтен тонаж) и 15 кораба;</w:t>
      </w:r>
    </w:p>
    <w:p>
      <w:pPr>
        <w:pStyle w:val="Tiret0"/>
        <w:rPr>
          <w:noProof/>
        </w:rPr>
      </w:pPr>
      <w:r>
        <w:rPr>
          <w:noProof/>
        </w:rPr>
        <w:t>категория 6 — хладилни траулери за пелагичен риболов: 225 000 тона (с максимално допустимо превишение до 10 %) и 19 кораба;</w:t>
      </w:r>
    </w:p>
    <w:p>
      <w:pPr>
        <w:pStyle w:val="Tiret0"/>
        <w:rPr>
          <w:noProof/>
        </w:rPr>
      </w:pPr>
      <w:r>
        <w:rPr>
          <w:noProof/>
        </w:rPr>
        <w:t xml:space="preserve">категория 7 — кораби за пелагичен риболов без замразяване: 15 000 тона (приспаднати от обема за категория 6, ако се използват) и 2 кораба. </w:t>
      </w:r>
    </w:p>
    <w:p>
      <w:pPr>
        <w:rPr>
          <w:noProof/>
        </w:rPr>
      </w:pPr>
      <w:r>
        <w:rPr>
          <w:noProof/>
        </w:rPr>
        <w:t>Следва да бъде определен принципът за разпределяне на тези възможности за риболов между държавите членки. Въз основа на това Комисията предлага Съветът да приеме приложеното предложение за регламент.</w:t>
      </w:r>
    </w:p>
    <w:p>
      <w:pPr>
        <w:pStyle w:val="ManualHeading1"/>
        <w:rPr>
          <w:noProof/>
        </w:rPr>
      </w:pPr>
      <w:r>
        <w:rPr>
          <w:noProof/>
        </w:rPr>
        <w:lastRenderedPageBreak/>
        <w:t>2.</w:t>
      </w:r>
      <w:r>
        <w:rPr>
          <w:noProof/>
        </w:rPr>
        <w:tab/>
        <w:t>РЕЗУЛТАТИ ОТ КОНСУЛТАЦИИТЕ СЪС ЗАИНТЕРЕСОВАНИТЕ СТРАНИ И ОТ ОЦЕНКИТЕ НА ВЪЗДЕЙСТВИЕТО</w:t>
      </w:r>
    </w:p>
    <w:p>
      <w:pPr>
        <w:rPr>
          <w:noProof/>
        </w:rPr>
      </w:pPr>
      <w:r>
        <w:rPr>
          <w:noProof/>
        </w:rPr>
        <w:t>Консултации със заинтересованите страни бяха извършени в рамките на оценката на протокола за периода 2012—2014 г. По време на техническите срещи бяха извършени консултации и с експертите на държавите членки. Тези консултации потвърдиха ползата от подновяване на споразумението в областта на рибарството и сключване на протокол в областта на рибарството с Ислямска република Мавритания.</w:t>
      </w:r>
    </w:p>
    <w:p>
      <w:pPr>
        <w:pStyle w:val="ManualHeading1"/>
        <w:rPr>
          <w:noProof/>
        </w:rPr>
      </w:pPr>
      <w:r>
        <w:rPr>
          <w:noProof/>
        </w:rPr>
        <w:t>3.</w:t>
      </w:r>
      <w:r>
        <w:rPr>
          <w:noProof/>
        </w:rPr>
        <w:tab/>
        <w:t>ПРАВНИ ЕЛЕМЕНТИ НА ПРЕДЛОЖЕНИЕТО</w:t>
      </w:r>
    </w:p>
    <w:p>
      <w:pPr>
        <w:spacing w:before="0" w:after="240"/>
        <w:rPr>
          <w:noProof/>
        </w:rPr>
      </w:pPr>
      <w:r>
        <w:rPr>
          <w:noProof/>
        </w:rPr>
        <w:t xml:space="preserve">Избраното правно основание е Договорът за функционирането на Европейския съюз, където в член 43, параграф 3 се постановява, че мерките за разпределянето на възможностите за риболов се приемат от Съвета по предложение на Комисията. </w:t>
      </w:r>
    </w:p>
    <w:p>
      <w:pPr>
        <w:rPr>
          <w:noProof/>
        </w:rPr>
      </w:pPr>
      <w:r>
        <w:rPr>
          <w:noProof/>
        </w:rPr>
        <w:t>Настоящата процедура се открива едновременно с процедурите относно решенията на Съвета за разрешаване на подписването, временното прилагане и сключването на споразумението под формата на размяна на писма за удължаване за максимален срок от една година на протокола за определяне на възможностите за риболов и на финансовата вноска, свързани с прилагането на споразумението.</w:t>
      </w:r>
    </w:p>
    <w:p>
      <w:pPr>
        <w:pStyle w:val="ManualHeading1"/>
        <w:rPr>
          <w:noProof/>
        </w:rPr>
      </w:pPr>
      <w:r>
        <w:rPr>
          <w:noProof/>
        </w:rPr>
        <w:t>4.</w:t>
      </w:r>
      <w:r>
        <w:rPr>
          <w:noProof/>
        </w:rPr>
        <w:tab/>
        <w:t>ОТРАЖЕНИЕ ВЪРХУ БЮДЖЕТА</w:t>
      </w:r>
    </w:p>
    <w:p>
      <w:pPr>
        <w:rPr>
          <w:noProof/>
        </w:rPr>
      </w:pPr>
      <w:r>
        <w:rPr>
          <w:noProof/>
        </w:rPr>
        <w:t>Годишната финансова вноска възлиза на 61 625 000 EUR за период на удължаване, не по-дълъг от една година, въз основа на:</w:t>
      </w:r>
    </w:p>
    <w:p>
      <w:pPr>
        <w:rPr>
          <w:noProof/>
        </w:rPr>
      </w:pPr>
      <w:r>
        <w:rPr>
          <w:noProof/>
        </w:rPr>
        <w:t>а) общ допустим улов от 259 550 тона за риболовни категории 1, 2, 2а, 3, 6</w:t>
      </w:r>
      <w:r>
        <w:rPr>
          <w:rStyle w:val="FootnoteReference"/>
          <w:noProof/>
        </w:rPr>
        <w:footnoteReference w:id="1"/>
      </w:r>
      <w:r>
        <w:rPr>
          <w:noProof/>
        </w:rPr>
        <w:t xml:space="preserve"> и 7 и референтен тонаж от 20 000 тона за риболовни категории 4 и 5 съгласно протокола, което отговаря на сума за достъп в размер на 57 500 000 EUR годишно; и </w:t>
      </w:r>
    </w:p>
    <w:p>
      <w:pPr>
        <w:rPr>
          <w:noProof/>
        </w:rPr>
      </w:pPr>
      <w:r>
        <w:rPr>
          <w:noProof/>
        </w:rPr>
        <w:t>б) подкрепа за развитието на секторната политика в областта на рибарството на Ислямска република Мавритания в размер на 4 125 000 EUR годишно. Тази подкрепа отговаря на целите на националната политика в областта на рибарството, и по-специално на нуждите на Ислямска република Мавритания по отношение на подкрепата за научното и техническото сътрудничество, обучението, наблюдението на риболова, опазването на околната среда и за инфраструктурата за развитие.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относно разпределянето на възможностите за риболов съгласно протокола за определяне на възможностите за риболов и на финансовата вноска, предвидени в Споразумението за партньорство в областта на рибарството между Европейската общност и Ислямска република Мавритания за максимален период от една година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партньорство в областта на рибарството между Европейската общност и Ислямска република Мавритания</w:t>
      </w:r>
      <w:r>
        <w:rPr>
          <w:rStyle w:val="FootnoteReference"/>
          <w:noProof/>
        </w:rPr>
        <w:footnoteReference w:id="2"/>
      </w:r>
      <w:r>
        <w:rPr>
          <w:noProof/>
        </w:rPr>
        <w:t xml:space="preserve"> (наричано по-долу „споразумението“) беше одобрено с Регламент (ЕО) № 1801/2006 на Съвета</w:t>
      </w:r>
      <w:r>
        <w:rPr>
          <w:rStyle w:val="FootnoteReference"/>
          <w:noProof/>
        </w:rPr>
        <w:footnoteReference w:id="3"/>
      </w:r>
      <w:r>
        <w:rPr>
          <w:noProof/>
        </w:rPr>
        <w:t xml:space="preserve"> и влезе в сила на 8.8.2008 г. Протоколът за определяне на възможностите за риболов и на финансовата вноска, предвидени в споразумението (наричан по-долу „протоколът“), влезе в сила на същата дата за срок от две години и беше изменян неколкократно.</w:t>
      </w:r>
    </w:p>
    <w:p>
      <w:pPr>
        <w:pStyle w:val="ManualConsidrant"/>
        <w:rPr>
          <w:noProof/>
        </w:rPr>
      </w:pPr>
      <w:r>
        <w:rPr>
          <w:noProof/>
        </w:rPr>
        <w:t>(2)</w:t>
      </w:r>
      <w:r>
        <w:rPr>
          <w:noProof/>
        </w:rPr>
        <w:tab/>
        <w:t>Срокът на действие на последния протокол към споразумението изтича на 15 ноември 2019 г.</w:t>
      </w:r>
    </w:p>
    <w:p>
      <w:pPr>
        <w:pStyle w:val="ManualConsidrant"/>
        <w:rPr>
          <w:noProof/>
        </w:rPr>
      </w:pPr>
      <w:r>
        <w:rPr>
          <w:noProof/>
        </w:rPr>
        <w:t>(3)</w:t>
      </w:r>
      <w:r>
        <w:rPr>
          <w:noProof/>
        </w:rPr>
        <w:tab/>
        <w:t>В очакване на приключването на преговорите за подновяване на споразумението и на протокола към него Комисията договори, от името на Европейския съюз, споразумение под формата на размяна на писма за удължаване за максимален срок от една година на протокола за определяне на възможностите за риболов и на финансовата вноска, предвидени в споразумението (наричано по-долу „споразумение под формата на размяна на писма“).</w:t>
      </w:r>
    </w:p>
    <w:p>
      <w:pPr>
        <w:pStyle w:val="ManualConsidrant"/>
        <w:rPr>
          <w:noProof/>
        </w:rPr>
      </w:pPr>
      <w:r>
        <w:rPr>
          <w:noProof/>
        </w:rPr>
        <w:t>(3)</w:t>
      </w:r>
      <w:r>
        <w:rPr>
          <w:noProof/>
        </w:rPr>
        <w:tab/>
        <w:t>На [...] г. Съветът прие Решение (ЕС) 2019/...</w:t>
      </w:r>
      <w:r>
        <w:rPr>
          <w:rStyle w:val="FootnoteReference"/>
          <w:noProof/>
        </w:rPr>
        <w:footnoteReference w:id="4"/>
      </w:r>
      <w:r>
        <w:rPr>
          <w:noProof/>
        </w:rPr>
        <w:t xml:space="preserve"> относно подписването и временното прилагане на Споразумението под формата на размяна на писма относно удължаването на изтичащия на 15 ноември 2019 г. срок на протокола за определяне на възможностите за риболов и на финансовата вноска, предвидени в Споразумението за партньорство в областта на рибарството между Европейската общност и Ислямска република Мавритания.</w:t>
      </w:r>
    </w:p>
    <w:p>
      <w:pPr>
        <w:pStyle w:val="ManualConsidrant"/>
        <w:rPr>
          <w:noProof/>
        </w:rPr>
      </w:pPr>
      <w:r>
        <w:rPr>
          <w:noProof/>
        </w:rPr>
        <w:t>(4)</w:t>
      </w:r>
      <w:r>
        <w:rPr>
          <w:noProof/>
        </w:rPr>
        <w:tab/>
        <w:t>Целесъобразно е да се определи методът за разпределяне на възможностите за риболов между държавите членки за периода на прилагане на удължения срок на протокола.</w:t>
      </w:r>
    </w:p>
    <w:p>
      <w:pPr>
        <w:pStyle w:val="ManualConsidrant"/>
        <w:rPr>
          <w:noProof/>
        </w:rPr>
      </w:pPr>
      <w:r>
        <w:rPr>
          <w:noProof/>
        </w:rPr>
        <w:lastRenderedPageBreak/>
        <w:t>(5)</w:t>
      </w:r>
      <w:r>
        <w:rPr>
          <w:noProof/>
        </w:rPr>
        <w:tab/>
        <w:t>В съответствие с член 47, параграф 2 от Регламент (ЕС) 2017/2403 на Европейския парламент и на Съвета</w:t>
      </w:r>
      <w:r>
        <w:rPr>
          <w:rStyle w:val="FootnoteReference"/>
          <w:noProof/>
        </w:rPr>
        <w:footnoteReference w:id="5"/>
      </w:r>
      <w:r>
        <w:rPr>
          <w:noProof/>
        </w:rPr>
        <w:t>, ако се установи, че възможностите за риболов, предоставени на Съюза по силата на протокола, не са използвани напълно, Комисията уведомява за това съответните държави членки. Липсата на отговор в рамките на срока, който се определя от Съвета, се счита за потвърждение, че корабите на съответната държава членка не използват напълно възможностите си за риболов през съответния период. Този срок следва да се определи.</w:t>
      </w:r>
    </w:p>
    <w:p>
      <w:pPr>
        <w:pStyle w:val="ManualConsidrant"/>
        <w:rPr>
          <w:noProof/>
        </w:rPr>
      </w:pPr>
      <w:r>
        <w:rPr>
          <w:noProof/>
          <w:lang w:val="ru-RU"/>
        </w:rPr>
        <w:t>(</w:t>
      </w:r>
      <w:r>
        <w:rPr>
          <w:noProof/>
        </w:rPr>
        <w:t>6)</w:t>
      </w:r>
      <w:r>
        <w:rPr>
          <w:noProof/>
        </w:rPr>
        <w:tab/>
        <w:t>Целесъобразно е настоящият регламент да се прилага от датата на подписване на споразумението под формата на размяна на писма,</w:t>
      </w:r>
      <w:r>
        <w:rPr>
          <w:noProof/>
        </w:rPr>
        <w:tab/>
      </w:r>
    </w:p>
    <w:p>
      <w:pPr>
        <w:pStyle w:val="Formuledadoption"/>
        <w:rPr>
          <w:noProof/>
        </w:rPr>
      </w:pPr>
      <w:r>
        <w:rPr>
          <w:noProof/>
        </w:rPr>
        <w:t>ПРИЕ НАСТОЯЩИЯ РЕГЛАМЕНТ:</w:t>
      </w:r>
    </w:p>
    <w:p>
      <w:pPr>
        <w:pStyle w:val="Titrearticle"/>
        <w:rPr>
          <w:noProof/>
        </w:rPr>
      </w:pPr>
      <w:r>
        <w:rPr>
          <w:noProof/>
        </w:rPr>
        <w:t>Член 1</w:t>
      </w:r>
    </w:p>
    <w:p>
      <w:pPr>
        <w:pStyle w:val="ManualNumPar1"/>
        <w:rPr>
          <w:noProof/>
        </w:rPr>
      </w:pPr>
      <w:r>
        <w:rPr>
          <w:noProof/>
        </w:rPr>
        <w:t>1.</w:t>
      </w:r>
      <w:r>
        <w:rPr>
          <w:noProof/>
        </w:rPr>
        <w:tab/>
        <w:t>Възможностите за риболов, определени с протокола за определяне на възможностите за риболов и на финансовата вноска, предвидени в Споразумението за партньорство в областта на рибарството между Европейската общност и Ислямска република Мавритания, за периода на валидност на протокола, се разпределят между държавите членки, както следва:</w:t>
      </w:r>
    </w:p>
    <w:p>
      <w:pPr>
        <w:pStyle w:val="Point0"/>
        <w:rPr>
          <w:noProof/>
        </w:rPr>
      </w:pPr>
      <w:r>
        <w:rPr>
          <w:noProof/>
        </w:rPr>
        <w:t>а)</w:t>
      </w:r>
      <w:r>
        <w:rPr>
          <w:noProof/>
        </w:rPr>
        <w:tab/>
        <w:t xml:space="preserve">категория 1 — кораби за улов на ракообразни с изключение на лангуста и рак: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Испания</w:t>
            </w:r>
          </w:p>
        </w:tc>
        <w:tc>
          <w:tcPr>
            <w:tcW w:w="2410" w:type="dxa"/>
          </w:tcPr>
          <w:p>
            <w:pPr>
              <w:pStyle w:val="Text1"/>
              <w:tabs>
                <w:tab w:val="right" w:pos="1310"/>
                <w:tab w:val="left" w:pos="1451"/>
                <w:tab w:val="left" w:pos="4962"/>
              </w:tabs>
              <w:spacing w:before="0" w:after="0"/>
              <w:ind w:left="0"/>
              <w:rPr>
                <w:noProof/>
              </w:rPr>
            </w:pPr>
            <w:r>
              <w:rPr>
                <w:noProof/>
              </w:rPr>
              <w:tab/>
              <w:t>4150 тона</w:t>
            </w:r>
          </w:p>
        </w:tc>
      </w:tr>
      <w:tr>
        <w:tc>
          <w:tcPr>
            <w:tcW w:w="2693" w:type="dxa"/>
          </w:tcPr>
          <w:p>
            <w:pPr>
              <w:pStyle w:val="Text1"/>
              <w:tabs>
                <w:tab w:val="left" w:pos="4962"/>
              </w:tabs>
              <w:spacing w:before="0" w:after="0"/>
              <w:ind w:left="-108"/>
              <w:rPr>
                <w:noProof/>
              </w:rPr>
            </w:pPr>
            <w:r>
              <w:rPr>
                <w:noProof/>
              </w:rPr>
              <w:t>Италия</w:t>
            </w:r>
          </w:p>
        </w:tc>
        <w:tc>
          <w:tcPr>
            <w:tcW w:w="2410" w:type="dxa"/>
          </w:tcPr>
          <w:p>
            <w:pPr>
              <w:pStyle w:val="Text1"/>
              <w:tabs>
                <w:tab w:val="right" w:pos="1310"/>
                <w:tab w:val="left" w:pos="1451"/>
                <w:tab w:val="left" w:pos="4962"/>
              </w:tabs>
              <w:spacing w:before="0" w:after="0"/>
              <w:ind w:left="0"/>
              <w:rPr>
                <w:noProof/>
              </w:rPr>
            </w:pPr>
            <w:r>
              <w:rPr>
                <w:noProof/>
              </w:rPr>
              <w:tab/>
              <w:t>600 тона</w:t>
            </w:r>
          </w:p>
        </w:tc>
      </w:tr>
      <w:tr>
        <w:tc>
          <w:tcPr>
            <w:tcW w:w="2693" w:type="dxa"/>
          </w:tcPr>
          <w:p>
            <w:pPr>
              <w:pStyle w:val="Text1"/>
              <w:tabs>
                <w:tab w:val="left" w:pos="4962"/>
              </w:tabs>
              <w:spacing w:before="0" w:after="0"/>
              <w:ind w:left="-108"/>
              <w:rPr>
                <w:noProof/>
              </w:rPr>
            </w:pPr>
            <w:r>
              <w:rPr>
                <w:noProof/>
              </w:rPr>
              <w:t>Португалия</w:t>
            </w:r>
          </w:p>
        </w:tc>
        <w:tc>
          <w:tcPr>
            <w:tcW w:w="2410" w:type="dxa"/>
          </w:tcPr>
          <w:p>
            <w:pPr>
              <w:pStyle w:val="Text1"/>
              <w:tabs>
                <w:tab w:val="right" w:pos="1310"/>
                <w:tab w:val="left" w:pos="1451"/>
                <w:tab w:val="left" w:pos="4962"/>
              </w:tabs>
              <w:spacing w:before="0" w:after="0"/>
              <w:ind w:left="0"/>
              <w:rPr>
                <w:noProof/>
              </w:rPr>
            </w:pPr>
            <w:r>
              <w:rPr>
                <w:noProof/>
              </w:rPr>
              <w:tab/>
              <w:t>250 тона</w:t>
            </w:r>
          </w:p>
        </w:tc>
      </w:tr>
    </w:tbl>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Тази категория позволява едновременното разполагане в мавритански води на не повече от 25 кораба.</w:t>
      </w:r>
    </w:p>
    <w:p>
      <w:pPr>
        <w:pStyle w:val="Text1"/>
        <w:rPr>
          <w:noProof/>
        </w:rPr>
      </w:pPr>
    </w:p>
    <w:p>
      <w:pPr>
        <w:pStyle w:val="Point0"/>
        <w:rPr>
          <w:noProof/>
        </w:rPr>
      </w:pPr>
      <w:r>
        <w:rPr>
          <w:noProof/>
        </w:rPr>
        <w:t>б)</w:t>
      </w:r>
      <w:r>
        <w:rPr>
          <w:noProof/>
        </w:rPr>
        <w:tab/>
        <w:t xml:space="preserve">категория 2 — траулери (нехладилни) и кораби с дънни парагади за улов на черна мерлуза: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Испания</w:t>
            </w:r>
          </w:p>
        </w:tc>
        <w:tc>
          <w:tcPr>
            <w:tcW w:w="2410" w:type="dxa"/>
          </w:tcPr>
          <w:p>
            <w:pPr>
              <w:pStyle w:val="Text1"/>
              <w:tabs>
                <w:tab w:val="left" w:pos="1298"/>
                <w:tab w:val="left" w:pos="4962"/>
              </w:tabs>
              <w:spacing w:before="0" w:after="0"/>
              <w:ind w:left="34"/>
              <w:rPr>
                <w:noProof/>
              </w:rPr>
            </w:pPr>
            <w:r>
              <w:rPr>
                <w:noProof/>
              </w:rPr>
              <w:t>6000 тона</w:t>
            </w:r>
          </w:p>
        </w:tc>
      </w:tr>
    </w:tbl>
    <w:p>
      <w:pPr>
        <w:pStyle w:val="Text1"/>
        <w:tabs>
          <w:tab w:val="right" w:pos="4962"/>
        </w:tabs>
        <w:spacing w:before="0" w:after="0"/>
        <w:ind w:left="851"/>
        <w:rPr>
          <w:noProof/>
        </w:rPr>
      </w:pPr>
    </w:p>
    <w:p>
      <w:pPr>
        <w:pStyle w:val="Text1"/>
        <w:tabs>
          <w:tab w:val="right" w:pos="4962"/>
        </w:tabs>
        <w:spacing w:before="0" w:after="0"/>
        <w:rPr>
          <w:noProof/>
        </w:rPr>
      </w:pPr>
      <w:r>
        <w:rPr>
          <w:noProof/>
        </w:rPr>
        <w:t xml:space="preserve">Тази категория позволява едновременното разполагане в мавритански води на не повече от 6 кораба. </w:t>
      </w:r>
    </w:p>
    <w:p>
      <w:pPr>
        <w:pStyle w:val="Text1"/>
        <w:tabs>
          <w:tab w:val="right" w:pos="4962"/>
        </w:tabs>
        <w:spacing w:before="0" w:after="0"/>
        <w:rPr>
          <w:noProof/>
        </w:rPr>
      </w:pPr>
    </w:p>
    <w:p>
      <w:pPr>
        <w:pStyle w:val="Point0"/>
        <w:rPr>
          <w:noProof/>
        </w:rPr>
      </w:pPr>
      <w:r>
        <w:rPr>
          <w:noProof/>
        </w:rPr>
        <w:t>в)</w:t>
      </w:r>
      <w:r>
        <w:rPr>
          <w:noProof/>
        </w:rPr>
        <w:tab/>
        <w:t xml:space="preserve">категория 3 — риболовни кораби за улов на дънни видове, различни от черна мерлуза, посредством риболовни уреди, различни от трал: </w:t>
      </w:r>
    </w:p>
    <w:p>
      <w:pPr>
        <w:pStyle w:val="Text1"/>
        <w:tabs>
          <w:tab w:val="left" w:pos="3686"/>
          <w:tab w:val="left" w:pos="4962"/>
        </w:tabs>
        <w:spacing w:before="0" w:after="0"/>
        <w:ind w:left="851"/>
        <w:rPr>
          <w:noProof/>
        </w:rPr>
      </w:pPr>
    </w:p>
    <w:p>
      <w:pPr>
        <w:pStyle w:val="Text1"/>
        <w:tabs>
          <w:tab w:val="left" w:pos="3686"/>
          <w:tab w:val="left" w:pos="4962"/>
        </w:tabs>
        <w:spacing w:before="0" w:after="0"/>
        <w:ind w:left="851"/>
        <w:rPr>
          <w:noProof/>
        </w:rPr>
      </w:pPr>
      <w:r>
        <w:rPr>
          <w:noProof/>
        </w:rPr>
        <w:t>Испания</w:t>
      </w:r>
      <w:r>
        <w:rPr>
          <w:noProof/>
        </w:rPr>
        <w:tab/>
        <w:t>3000 тона</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Тази категория позволява едновременното разполагане в мавритански води на не повече от 6 кораба. </w:t>
      </w:r>
    </w:p>
    <w:p>
      <w:pPr>
        <w:pStyle w:val="Text1"/>
        <w:tabs>
          <w:tab w:val="left" w:pos="3686"/>
          <w:tab w:val="left" w:pos="4962"/>
        </w:tabs>
        <w:spacing w:before="0" w:after="0"/>
        <w:ind w:left="851"/>
        <w:rPr>
          <w:noProof/>
        </w:rPr>
      </w:pPr>
    </w:p>
    <w:p>
      <w:pPr>
        <w:pStyle w:val="Point0"/>
        <w:rPr>
          <w:noProof/>
        </w:rPr>
      </w:pPr>
      <w:r>
        <w:rPr>
          <w:noProof/>
        </w:rPr>
        <w:lastRenderedPageBreak/>
        <w:t>г)</w:t>
      </w:r>
      <w:r>
        <w:rPr>
          <w:noProof/>
        </w:rPr>
        <w:tab/>
        <w:t>категория 4 — кораби с мрежи гъргър за улов на риба тон (референтен тонаж 12 500 тона):</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Испания                     </w:t>
      </w:r>
      <w:r>
        <w:rPr>
          <w:noProof/>
        </w:rPr>
        <w:tab/>
        <w:t>17 годишни разрешения</w:t>
      </w:r>
    </w:p>
    <w:p>
      <w:pPr>
        <w:pStyle w:val="Text1"/>
        <w:tabs>
          <w:tab w:val="right" w:pos="4962"/>
        </w:tabs>
        <w:spacing w:before="0" w:after="0"/>
        <w:ind w:left="851"/>
        <w:rPr>
          <w:noProof/>
        </w:rPr>
      </w:pPr>
      <w:r>
        <w:rPr>
          <w:noProof/>
        </w:rPr>
        <w:t>Франция</w:t>
      </w:r>
      <w:r>
        <w:rPr>
          <w:noProof/>
        </w:rPr>
        <w:tab/>
        <w:t>8 годишни разрешения</w:t>
      </w:r>
    </w:p>
    <w:p>
      <w:pPr>
        <w:pStyle w:val="Point0"/>
        <w:rPr>
          <w:noProof/>
        </w:rPr>
      </w:pPr>
      <w:r>
        <w:rPr>
          <w:noProof/>
        </w:rPr>
        <w:t>д)</w:t>
      </w:r>
      <w:r>
        <w:rPr>
          <w:noProof/>
        </w:rPr>
        <w:tab/>
        <w:t>категория 5 — кораби за улов на риба тон с въдици и кораби за риболов с повърхностна парагада (референтен тонаж 7500 тона):</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Испания</w:t>
      </w:r>
      <w:r>
        <w:rPr>
          <w:noProof/>
        </w:rPr>
        <w:tab/>
        <w:t>14 годишни разрешения</w:t>
      </w:r>
    </w:p>
    <w:p>
      <w:pPr>
        <w:pStyle w:val="Text1"/>
        <w:tabs>
          <w:tab w:val="right" w:pos="4962"/>
        </w:tabs>
        <w:spacing w:before="0" w:after="0"/>
        <w:ind w:left="851"/>
        <w:rPr>
          <w:noProof/>
        </w:rPr>
      </w:pPr>
      <w:r>
        <w:rPr>
          <w:noProof/>
        </w:rPr>
        <w:t>Франция</w:t>
      </w:r>
      <w:r>
        <w:rPr>
          <w:noProof/>
        </w:rPr>
        <w:tab/>
        <w:t>1 годишно разрешение</w:t>
      </w:r>
    </w:p>
    <w:p>
      <w:pPr>
        <w:pStyle w:val="Point0"/>
        <w:rPr>
          <w:noProof/>
        </w:rPr>
      </w:pPr>
      <w:r>
        <w:rPr>
          <w:noProof/>
        </w:rPr>
        <w:t>е)</w:t>
      </w:r>
      <w:r>
        <w:rPr>
          <w:noProof/>
        </w:rPr>
        <w:tab/>
        <w:t>категория 6 — хладилни траулери за пелагичен риболов:</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Германия</w:t>
      </w:r>
      <w:r>
        <w:rPr>
          <w:noProof/>
        </w:rPr>
        <w:tab/>
        <w:t>12 560 тона</w:t>
      </w:r>
    </w:p>
    <w:p>
      <w:pPr>
        <w:pStyle w:val="Text1"/>
        <w:tabs>
          <w:tab w:val="right" w:pos="4962"/>
        </w:tabs>
        <w:spacing w:before="0" w:after="0"/>
        <w:ind w:left="851"/>
        <w:rPr>
          <w:noProof/>
        </w:rPr>
      </w:pPr>
      <w:r>
        <w:rPr>
          <w:noProof/>
        </w:rPr>
        <w:t>Франция</w:t>
      </w:r>
      <w:r>
        <w:rPr>
          <w:noProof/>
        </w:rPr>
        <w:tab/>
        <w:t>2615 тона</w:t>
      </w:r>
    </w:p>
    <w:p>
      <w:pPr>
        <w:pStyle w:val="Text1"/>
        <w:tabs>
          <w:tab w:val="right" w:pos="4962"/>
        </w:tabs>
        <w:spacing w:before="0" w:after="0"/>
        <w:ind w:left="851"/>
        <w:rPr>
          <w:noProof/>
        </w:rPr>
      </w:pPr>
      <w:r>
        <w:rPr>
          <w:noProof/>
        </w:rPr>
        <w:t>Латвия</w:t>
      </w:r>
      <w:r>
        <w:rPr>
          <w:noProof/>
        </w:rPr>
        <w:tab/>
        <w:t>53 913 тона</w:t>
      </w:r>
    </w:p>
    <w:p>
      <w:pPr>
        <w:pStyle w:val="Text1"/>
        <w:tabs>
          <w:tab w:val="right" w:pos="4962"/>
        </w:tabs>
        <w:spacing w:before="0" w:after="0"/>
        <w:ind w:left="851"/>
        <w:rPr>
          <w:noProof/>
        </w:rPr>
      </w:pPr>
      <w:r>
        <w:rPr>
          <w:noProof/>
        </w:rPr>
        <w:t>Литва</w:t>
      </w:r>
      <w:r>
        <w:rPr>
          <w:noProof/>
        </w:rPr>
        <w:tab/>
        <w:t>57 642 тона</w:t>
      </w:r>
    </w:p>
    <w:p>
      <w:pPr>
        <w:pStyle w:val="Text1"/>
        <w:tabs>
          <w:tab w:val="right" w:pos="4962"/>
        </w:tabs>
        <w:spacing w:before="0" w:after="0"/>
        <w:ind w:left="851"/>
        <w:rPr>
          <w:noProof/>
        </w:rPr>
      </w:pPr>
      <w:r>
        <w:rPr>
          <w:noProof/>
        </w:rPr>
        <w:t>Нидерландия</w:t>
      </w:r>
      <w:r>
        <w:rPr>
          <w:noProof/>
        </w:rPr>
        <w:tab/>
        <w:t>62 592 тона</w:t>
      </w:r>
    </w:p>
    <w:p>
      <w:pPr>
        <w:pStyle w:val="Text1"/>
        <w:tabs>
          <w:tab w:val="right" w:pos="4962"/>
        </w:tabs>
        <w:spacing w:before="0" w:after="0"/>
        <w:ind w:left="851"/>
        <w:rPr>
          <w:noProof/>
        </w:rPr>
      </w:pPr>
      <w:r>
        <w:rPr>
          <w:noProof/>
        </w:rPr>
        <w:t>Полша</w:t>
      </w:r>
      <w:r>
        <w:rPr>
          <w:noProof/>
        </w:rPr>
        <w:tab/>
        <w:t>26 112 тона</w:t>
      </w:r>
    </w:p>
    <w:p>
      <w:pPr>
        <w:pStyle w:val="Text1"/>
        <w:tabs>
          <w:tab w:val="right" w:pos="4962"/>
        </w:tabs>
        <w:spacing w:before="0" w:after="0"/>
        <w:ind w:left="851"/>
        <w:rPr>
          <w:noProof/>
        </w:rPr>
      </w:pPr>
      <w:r>
        <w:rPr>
          <w:noProof/>
        </w:rPr>
        <w:t>Обединено кралство</w:t>
      </w:r>
      <w:r>
        <w:rPr>
          <w:noProof/>
        </w:rPr>
        <w:tab/>
        <w:t>8531 тона</w:t>
      </w:r>
    </w:p>
    <w:p>
      <w:pPr>
        <w:pStyle w:val="Text1"/>
        <w:tabs>
          <w:tab w:val="right" w:pos="4962"/>
        </w:tabs>
        <w:spacing w:before="0" w:after="0"/>
        <w:ind w:left="851"/>
        <w:rPr>
          <w:noProof/>
        </w:rPr>
      </w:pPr>
      <w:r>
        <w:rPr>
          <w:noProof/>
        </w:rPr>
        <w:t>Ирландия</w:t>
      </w:r>
      <w:r>
        <w:rPr>
          <w:noProof/>
        </w:rPr>
        <w:tab/>
        <w:t>8535 тона</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За срока на валидност на протокола държавите членки разполагат със следния брой тримесечни разрешения:</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Германия</w:t>
      </w:r>
      <w:r>
        <w:rPr>
          <w:noProof/>
        </w:rPr>
        <w:tab/>
        <w:t>4</w:t>
      </w:r>
    </w:p>
    <w:p>
      <w:pPr>
        <w:pStyle w:val="Text1"/>
        <w:tabs>
          <w:tab w:val="right" w:pos="4962"/>
        </w:tabs>
        <w:spacing w:before="0" w:after="0"/>
        <w:ind w:left="851"/>
        <w:rPr>
          <w:noProof/>
        </w:rPr>
      </w:pPr>
      <w:r>
        <w:rPr>
          <w:noProof/>
        </w:rPr>
        <w:t>Франция</w:t>
      </w:r>
      <w:r>
        <w:rPr>
          <w:noProof/>
        </w:rPr>
        <w:tab/>
        <w:t>2</w:t>
      </w:r>
    </w:p>
    <w:p>
      <w:pPr>
        <w:pStyle w:val="Text1"/>
        <w:tabs>
          <w:tab w:val="right" w:pos="4962"/>
        </w:tabs>
        <w:spacing w:before="0" w:after="0"/>
        <w:ind w:left="851"/>
        <w:rPr>
          <w:noProof/>
        </w:rPr>
      </w:pPr>
      <w:r>
        <w:rPr>
          <w:noProof/>
        </w:rPr>
        <w:t>Латвия</w:t>
      </w:r>
      <w:r>
        <w:rPr>
          <w:noProof/>
        </w:rPr>
        <w:tab/>
        <w:t>20</w:t>
      </w:r>
    </w:p>
    <w:p>
      <w:pPr>
        <w:pStyle w:val="Text1"/>
        <w:tabs>
          <w:tab w:val="right" w:pos="4962"/>
        </w:tabs>
        <w:spacing w:before="0" w:after="0"/>
        <w:ind w:left="851"/>
        <w:rPr>
          <w:noProof/>
        </w:rPr>
      </w:pPr>
      <w:r>
        <w:rPr>
          <w:noProof/>
        </w:rPr>
        <w:t>Литва</w:t>
      </w:r>
      <w:r>
        <w:rPr>
          <w:noProof/>
        </w:rPr>
        <w:tab/>
        <w:t>22</w:t>
      </w:r>
    </w:p>
    <w:p>
      <w:pPr>
        <w:pStyle w:val="Text1"/>
        <w:tabs>
          <w:tab w:val="right" w:pos="4962"/>
        </w:tabs>
        <w:spacing w:before="0" w:after="0"/>
        <w:ind w:left="851"/>
        <w:rPr>
          <w:noProof/>
        </w:rPr>
      </w:pPr>
      <w:r>
        <w:rPr>
          <w:noProof/>
        </w:rPr>
        <w:t>Нидерландия</w:t>
      </w:r>
      <w:r>
        <w:rPr>
          <w:noProof/>
        </w:rPr>
        <w:tab/>
        <w:t>16</w:t>
      </w:r>
    </w:p>
    <w:p>
      <w:pPr>
        <w:pStyle w:val="Text1"/>
        <w:tabs>
          <w:tab w:val="right" w:pos="4962"/>
        </w:tabs>
        <w:spacing w:before="0" w:after="0"/>
        <w:ind w:left="851"/>
        <w:rPr>
          <w:noProof/>
        </w:rPr>
      </w:pPr>
      <w:r>
        <w:rPr>
          <w:noProof/>
        </w:rPr>
        <w:t>Полша</w:t>
      </w:r>
      <w:r>
        <w:rPr>
          <w:noProof/>
        </w:rPr>
        <w:tab/>
        <w:t>8</w:t>
      </w:r>
    </w:p>
    <w:p>
      <w:pPr>
        <w:pStyle w:val="Text1"/>
        <w:tabs>
          <w:tab w:val="right" w:pos="4962"/>
        </w:tabs>
        <w:spacing w:before="0" w:after="0"/>
        <w:ind w:left="851"/>
        <w:rPr>
          <w:noProof/>
        </w:rPr>
      </w:pPr>
      <w:r>
        <w:rPr>
          <w:noProof/>
        </w:rPr>
        <w:t>Обединено кралство</w:t>
      </w:r>
      <w:r>
        <w:rPr>
          <w:noProof/>
        </w:rPr>
        <w:tab/>
        <w:t>2</w:t>
      </w:r>
    </w:p>
    <w:p>
      <w:pPr>
        <w:pStyle w:val="Text1"/>
        <w:tabs>
          <w:tab w:val="right" w:pos="4962"/>
        </w:tabs>
        <w:spacing w:before="0" w:after="0"/>
        <w:ind w:left="851"/>
        <w:rPr>
          <w:noProof/>
        </w:rPr>
      </w:pPr>
      <w:r>
        <w:rPr>
          <w:noProof/>
        </w:rPr>
        <w:t>Ирландия</w:t>
      </w:r>
      <w:r>
        <w:rPr>
          <w:noProof/>
        </w:rPr>
        <w:tab/>
        <w:t>2</w:t>
      </w:r>
    </w:p>
    <w:p>
      <w:pPr>
        <w:pStyle w:val="Text1"/>
        <w:tabs>
          <w:tab w:val="right" w:pos="4962"/>
        </w:tabs>
        <w:spacing w:before="0" w:after="0"/>
        <w:ind w:left="851"/>
        <w:rPr>
          <w:noProof/>
        </w:rPr>
      </w:pPr>
    </w:p>
    <w:p>
      <w:pPr>
        <w:pStyle w:val="Text1"/>
        <w:tabs>
          <w:tab w:val="right" w:pos="4962"/>
        </w:tabs>
        <w:spacing w:before="0" w:after="0"/>
        <w:ind w:left="851"/>
        <w:rPr>
          <w:i/>
          <w:noProof/>
        </w:rPr>
      </w:pPr>
      <w:r>
        <w:rPr>
          <w:noProof/>
        </w:rPr>
        <w:t>Държавите членки уведомяват Комисията дали някои разрешения могат да бъдат предоставени на разположение на други държави членки;</w:t>
      </w:r>
    </w:p>
    <w:p>
      <w:pPr>
        <w:pStyle w:val="Text1"/>
        <w:tabs>
          <w:tab w:val="right" w:pos="4962"/>
        </w:tabs>
        <w:spacing w:before="0" w:after="0"/>
        <w:ind w:left="851"/>
        <w:rPr>
          <w:i/>
          <w:noProof/>
        </w:rPr>
      </w:pPr>
    </w:p>
    <w:p>
      <w:pPr>
        <w:pStyle w:val="Text1"/>
        <w:tabs>
          <w:tab w:val="right" w:pos="4962"/>
        </w:tabs>
        <w:spacing w:before="0" w:after="0"/>
        <w:ind w:left="851"/>
        <w:rPr>
          <w:noProof/>
        </w:rPr>
      </w:pPr>
      <w:r>
        <w:rPr>
          <w:noProof/>
        </w:rPr>
        <w:t>Тази категория позволява едновременното разполагане в мавритански води на не повече от 19 кораба.</w:t>
      </w:r>
    </w:p>
    <w:p>
      <w:pPr>
        <w:pStyle w:val="Text1"/>
        <w:tabs>
          <w:tab w:val="right" w:pos="4962"/>
        </w:tabs>
        <w:spacing w:before="0" w:after="0"/>
        <w:ind w:left="851"/>
        <w:rPr>
          <w:noProof/>
        </w:rPr>
      </w:pPr>
    </w:p>
    <w:p>
      <w:pPr>
        <w:pStyle w:val="Point0"/>
        <w:rPr>
          <w:noProof/>
        </w:rPr>
      </w:pPr>
      <w:r>
        <w:rPr>
          <w:noProof/>
        </w:rPr>
        <w:t>ж)</w:t>
      </w:r>
      <w:r>
        <w:rPr>
          <w:noProof/>
        </w:rPr>
        <w:tab/>
        <w:t>категория 7 — кораби за пелагичен риболов без замразяване:</w:t>
      </w:r>
    </w:p>
    <w:p>
      <w:pPr>
        <w:pStyle w:val="Text1"/>
        <w:tabs>
          <w:tab w:val="right" w:pos="3686"/>
          <w:tab w:val="right" w:pos="4962"/>
        </w:tabs>
        <w:spacing w:before="0" w:after="0"/>
        <w:ind w:left="3544" w:hanging="2693"/>
        <w:rPr>
          <w:noProof/>
        </w:rPr>
      </w:pPr>
      <w:r>
        <w:rPr>
          <w:noProof/>
        </w:rPr>
        <w:t>Ирландия</w:t>
      </w:r>
      <w:r>
        <w:rPr>
          <w:noProof/>
        </w:rPr>
        <w:tab/>
      </w:r>
      <w:r>
        <w:rPr>
          <w:noProof/>
        </w:rPr>
        <w:tab/>
      </w:r>
      <w:r>
        <w:rPr>
          <w:noProof/>
        </w:rPr>
        <w:tab/>
        <w:t>15 000 тона</w:t>
      </w:r>
    </w:p>
    <w:p>
      <w:pPr>
        <w:pStyle w:val="Text1"/>
        <w:tabs>
          <w:tab w:val="right" w:pos="3686"/>
          <w:tab w:val="right" w:pos="4962"/>
        </w:tabs>
        <w:spacing w:before="0" w:after="0"/>
        <w:ind w:left="3544" w:hanging="2693"/>
        <w:rPr>
          <w:noProof/>
        </w:rPr>
      </w:pPr>
    </w:p>
    <w:p>
      <w:pPr>
        <w:pStyle w:val="Text1"/>
        <w:tabs>
          <w:tab w:val="right" w:pos="4962"/>
        </w:tabs>
        <w:spacing w:before="0" w:after="0"/>
        <w:ind w:left="851"/>
        <w:rPr>
          <w:noProof/>
        </w:rPr>
      </w:pPr>
      <w:r>
        <w:rPr>
          <w:noProof/>
        </w:rPr>
        <w:t xml:space="preserve">В случай че не се използват, тези възможности за риболов могат да се прехвърлят в категория 6 съгласно принципа на разпределяне за посочената категория. </w:t>
      </w:r>
    </w:p>
    <w:p>
      <w:pPr>
        <w:pStyle w:val="Point0"/>
        <w:rPr>
          <w:noProof/>
        </w:rPr>
      </w:pPr>
      <w:r>
        <w:rPr>
          <w:noProof/>
        </w:rPr>
        <w:t>з)</w:t>
      </w:r>
      <w:r>
        <w:rPr>
          <w:noProof/>
        </w:rPr>
        <w:tab/>
        <w:t>категория 2а — траулери (хладилни) за улов на черна мерлуза:</w:t>
      </w:r>
    </w:p>
    <w:p>
      <w:pPr>
        <w:pStyle w:val="Text1"/>
        <w:tabs>
          <w:tab w:val="right" w:pos="4962"/>
        </w:tabs>
        <w:spacing w:before="0" w:after="0"/>
        <w:ind w:left="851"/>
        <w:rPr>
          <w:noProof/>
        </w:rPr>
      </w:pPr>
      <w:r>
        <w:rPr>
          <w:noProof/>
        </w:rPr>
        <w:t>Испания:</w:t>
      </w:r>
    </w:p>
    <w:p>
      <w:pPr>
        <w:pStyle w:val="Text1"/>
        <w:tabs>
          <w:tab w:val="right" w:pos="4962"/>
        </w:tabs>
        <w:spacing w:before="0" w:after="0"/>
        <w:ind w:left="851"/>
        <w:rPr>
          <w:noProof/>
        </w:rPr>
      </w:pPr>
      <w:r>
        <w:rPr>
          <w:noProof/>
        </w:rPr>
        <w:lastRenderedPageBreak/>
        <w:tab/>
        <w:t xml:space="preserve">черна мерлуза </w:t>
      </w:r>
      <w:r>
        <w:rPr>
          <w:noProof/>
        </w:rPr>
        <w:tab/>
      </w:r>
      <w:r>
        <w:rPr>
          <w:noProof/>
        </w:rPr>
        <w:tab/>
        <w:t>3500 тона</w:t>
      </w:r>
    </w:p>
    <w:p>
      <w:pPr>
        <w:pStyle w:val="Text1"/>
        <w:tabs>
          <w:tab w:val="right" w:pos="4962"/>
        </w:tabs>
        <w:spacing w:before="0" w:after="0"/>
        <w:ind w:left="851"/>
        <w:rPr>
          <w:noProof/>
        </w:rPr>
      </w:pPr>
      <w:r>
        <w:rPr>
          <w:noProof/>
        </w:rPr>
        <w:tab/>
        <w:t xml:space="preserve">калмари </w:t>
      </w:r>
      <w:r>
        <w:rPr>
          <w:noProof/>
        </w:rPr>
        <w:tab/>
      </w:r>
      <w:r>
        <w:rPr>
          <w:noProof/>
        </w:rPr>
        <w:tab/>
        <w:t>1450 тона</w:t>
      </w:r>
    </w:p>
    <w:p>
      <w:pPr>
        <w:pStyle w:val="Text1"/>
        <w:tabs>
          <w:tab w:val="right" w:pos="4962"/>
        </w:tabs>
        <w:spacing w:before="0" w:after="0"/>
        <w:ind w:left="851"/>
        <w:rPr>
          <w:noProof/>
        </w:rPr>
      </w:pPr>
      <w:r>
        <w:rPr>
          <w:noProof/>
        </w:rPr>
        <w:tab/>
        <w:t xml:space="preserve">сепия </w:t>
      </w:r>
      <w:r>
        <w:rPr>
          <w:noProof/>
        </w:rPr>
        <w:tab/>
      </w:r>
      <w:r>
        <w:rPr>
          <w:noProof/>
        </w:rPr>
        <w:tab/>
        <w:t>600 тона</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Тази категория позволява едновременното разполагане в мавритански води на не повече от 6 кораба.</w:t>
      </w:r>
    </w:p>
    <w:p>
      <w:pPr>
        <w:pStyle w:val="ManualNumPar1"/>
        <w:rPr>
          <w:noProof/>
        </w:rPr>
      </w:pPr>
      <w:r>
        <w:rPr>
          <w:noProof/>
        </w:rPr>
        <w:t>2.</w:t>
      </w:r>
      <w:r>
        <w:rPr>
          <w:noProof/>
        </w:rPr>
        <w:tab/>
        <w:t>Посоченият в член 47, параграф 2 от Регламент (ЕС) 2017/2403 срок, в който държавите членки трябва да потвърдят, че не изчерпват всички възможности за риболов, предоставени им по силата на споразумението, се определя на десет работни дни, считано от датата, на която те бъдат уведомени от Комисията, че възможностите за риболов не са напълно изчерпани.</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 xml:space="preserve">. </w:t>
      </w:r>
    </w:p>
    <w:p>
      <w:pPr>
        <w:rPr>
          <w:noProof/>
        </w:rPr>
      </w:pPr>
      <w:r>
        <w:rPr>
          <w:noProof/>
        </w:rPr>
        <w:t>Той се прилага от датата на подписване на Споразумението под формата на размяна на писма между Европейския съюз и Ислямска република Мавритания относно удължаването на срока на протокола за определяне на възможностите за риболов и финансовата вноска, предвидени в Споразумението за партньорство в областта на рибарството между Европейската общност и Ислямска република Мавритания, който изтича на 15 ноември 2019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 допустимо превишение от 10 % без отражение върху плащаната от Европейския съюз финансова вноска за достъп.</w:t>
      </w:r>
    </w:p>
  </w:footnote>
  <w:footnote w:id="2">
    <w:p>
      <w:pPr>
        <w:pStyle w:val="FootnoteText"/>
      </w:pPr>
      <w:r>
        <w:rPr>
          <w:rStyle w:val="FootnoteReference"/>
        </w:rPr>
        <w:footnoteRef/>
      </w:r>
      <w:r>
        <w:tab/>
        <w:t>ОВ L 343, 8.12.2006 г., стр. 4.</w:t>
      </w:r>
    </w:p>
  </w:footnote>
  <w:footnote w:id="3">
    <w:p>
      <w:pPr>
        <w:pStyle w:val="FootnoteText"/>
      </w:pPr>
      <w:r>
        <w:rPr>
          <w:rStyle w:val="FootnoteReference"/>
        </w:rPr>
        <w:footnoteRef/>
      </w:r>
      <w:r>
        <w:tab/>
        <w:t>Регламент (ЕО) № 1801/2006 на Съвета от 30 ноември 2006 г. относно сключването на Споразумение за партньорство в областта на рибарството между Европейската общност и Ислямска република Мавритания (ОВ L 343, 8.12.2006 г., стр. 1).</w:t>
      </w:r>
    </w:p>
  </w:footnote>
  <w:footnote w:id="4">
    <w:p>
      <w:pPr>
        <w:pStyle w:val="FootnoteText"/>
      </w:pPr>
      <w:r>
        <w:rPr>
          <w:rStyle w:val="FootnoteReference"/>
        </w:rPr>
        <w:footnoteRef/>
      </w:r>
      <w:r>
        <w:tab/>
        <w:t>ОВ C  от  г., стр. .</w:t>
      </w:r>
    </w:p>
  </w:footnote>
  <w:footnote w:id="5">
    <w:p>
      <w:pPr>
        <w:pStyle w:val="FootnoteText"/>
      </w:pPr>
      <w:r>
        <w:rPr>
          <w:rStyle w:val="FootnoteReference"/>
        </w:rPr>
        <w:footnoteRef/>
      </w:r>
      <w:r>
        <w:tab/>
        <w:t>ОВ L 347, 28.12.2017 г., стр.81.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F81A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EA0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E483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36D5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405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C8BA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FCE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5C66B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0:21: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F9BB928-93E6-4030-8807-EE8F1389702E"/>
    <w:docVar w:name="LW_COVERPAGE_TYPE" w:val="1"/>
    <w:docVar w:name="LW_CROSSREFERENCE" w:val="&lt;UNUSED&gt;"/>
    <w:docVar w:name="LW_DocType" w:val="COM"/>
    <w:docVar w:name="LW_EMISSION" w:val="1.10.2019"/>
    <w:docVar w:name="LW_EMISSION_ISODATE" w:val="2019-10-01"/>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8"/>
    <w:docVar w:name="LW_REF.II.NEW.CP_YEAR" w:val="2019"/>
    <w:docVar w:name="LW_REF.INST.NEW" w:val="COM"/>
    <w:docVar w:name="LW_REF.INST.NEW_ADOPTED" w:val="final"/>
    <w:docVar w:name="LW_REF.INST.NEW_TEXT" w:val="(2019)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2?\u1079?\u1087?\u1088?\u1077?\u1076?\u1077?\u1083?\u1103?\u1085?\u1077?\u1090?\u1086? \u1085?\u1072? \u1074?\u1098?\u1079?\u1084?\u1086?\u1078?\u1085?\u1086?\u1089?\u1090?\u1080?\u1090?\u1077? \u1079?\u1072? \u1088?\u1080?\u1073?\u1086?\u1083?\u1086?\u1074? \u1089?\u1098?\u1075?\u1083?\u1072?\u1089?\u1085?\u1086? \u1087?\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72?\u1090?\u1072? \u1074?\u1085?\u1086?\u1089?\u1082?\u1072?,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72?\u1090?\u1072? \u1086?\u1073?\u1097?\u1085?\u1086?\u1089?\u1090? \u1080? \u1048?\u1089?\u1083?\u1103?\u1084?\u1089?\u1082?\u1072? \u1088?\u1077?\u1087?\u1091?\u1073?\u1083?\u1080?\u1082?\u1072? \u1052?\u1072?\u1074?\u1088?\u1080?\u1090?\u1072?\u1085?\u1080?\u1103? \u1079?\u1072? \u1084?\u1072?\u1082?\u1089?\u1080?\u1084?\u1072?\u1083?\u1077?\u1085? \u1087?\u1077?\u1088?\u1080?\u1086?\u1076? \u1086?\u1090? \u1077?\u1076?\u1085?\u1072? \u1075?\u1086?\u1076?\u1080?\u1085?\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B3F1DC-84B1-495B-B704-6F0F053C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1655</Words>
  <Characters>9252</Characters>
  <Application>Microsoft Office Word</Application>
  <DocSecurity>0</DocSecurity>
  <Lines>231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2019-09-30T08:43:00Z</dcterms:created>
  <dcterms:modified xsi:type="dcterms:W3CDTF">2019-10-01T08:21:00Z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