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2FD5C63-D089-488D-8F3B-5E3271F5263E" style="width:450.6pt;height:406.7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t>Основания и цели на предложението</w:t>
      </w:r>
    </w:p>
    <w:p>
      <w:pPr>
        <w:pBdr>
          <w:top w:val="nil"/>
          <w:left w:val="nil"/>
          <w:bottom w:val="nil"/>
          <w:right w:val="nil"/>
          <w:between w:val="nil"/>
          <w:bar w:val="nil"/>
        </w:pBdr>
        <w:spacing w:before="0" w:after="240"/>
        <w:rPr>
          <w:noProof/>
        </w:rPr>
      </w:pPr>
      <w:r>
        <w:rPr>
          <w:noProof/>
        </w:rPr>
        <w:t>На 8 юли 2019 г. Съветът прие мандата</w:t>
      </w:r>
      <w:r>
        <w:rPr>
          <w:rStyle w:val="FootnoteReference"/>
          <w:noProof/>
        </w:rPr>
        <w:footnoteReference w:id="1"/>
      </w:r>
      <w:r>
        <w:rPr>
          <w:noProof/>
        </w:rPr>
        <w:t xml:space="preserve"> за упълномощаване на Европейската комисия да започне преговори за подновяване на Споразумението за партньорство в областта на рибарството между ЕС и Ислямска република Мавритания и на съответния протокол за определяне на възможностите за риболов и на финансовата вноска, чийто срок на действие изтича на 15 ноември 2019 г. </w:t>
      </w:r>
    </w:p>
    <w:p>
      <w:pPr>
        <w:pBdr>
          <w:top w:val="nil"/>
          <w:left w:val="nil"/>
          <w:bottom w:val="nil"/>
          <w:right w:val="nil"/>
          <w:between w:val="nil"/>
          <w:bar w:val="nil"/>
        </w:pBdr>
        <w:spacing w:before="0" w:after="240"/>
        <w:rPr>
          <w:noProof/>
        </w:rPr>
      </w:pPr>
      <w:r>
        <w:rPr>
          <w:noProof/>
        </w:rPr>
        <w:t>В мандата се посочва, че ако преговорите по ново споразумение за партньорство в областта на устойчивото рибарство (СПОУР) и протокол между Европейския съюз и Ислямска република Мавритания продължат повече от предвиденото и за да се избегне дълъг период на прекъсване на риболовните дейности, Комисията следва да има възможност да договори с Ислямска република Мавритания удължаване на действащия протокол за максимален срок от една година, като същевременно продължи преговорите за ново СПОУР и нов протокол в съответствие с целите, определени в мандата.</w:t>
      </w:r>
    </w:p>
    <w:p>
      <w:pPr>
        <w:pBdr>
          <w:top w:val="nil"/>
          <w:left w:val="nil"/>
          <w:bottom w:val="nil"/>
          <w:right w:val="nil"/>
          <w:between w:val="nil"/>
          <w:bar w:val="nil"/>
        </w:pBdr>
        <w:spacing w:before="0" w:after="240"/>
        <w:rPr>
          <w:noProof/>
        </w:rPr>
      </w:pPr>
      <w:r>
        <w:rPr>
          <w:noProof/>
        </w:rPr>
        <w:t>По време на първия кръг от преговорите (2—4 септември 2019 г.) представителите от ЕС и Ислямска република Мавритания се договориха, че поради тяхната сложност ще са необходими няколко кръга преговори до приключването им. Поради това двете страни се договориха да удължат прилагането на сегашния протокол за максимален срок от една година в съответствие с получения от Съвета мандат. Това удължаване се определя в споразумение под формата на размяна на писма, парафирано на 4 септември 2019 г. в Брюксел.</w:t>
      </w:r>
    </w:p>
    <w:p>
      <w:pPr>
        <w:pBdr>
          <w:top w:val="nil"/>
          <w:left w:val="nil"/>
          <w:bottom w:val="nil"/>
          <w:right w:val="nil"/>
          <w:between w:val="nil"/>
          <w:bar w:val="nil"/>
        </w:pBdr>
        <w:spacing w:before="0" w:after="240"/>
        <w:rPr>
          <w:noProof/>
        </w:rPr>
      </w:pPr>
      <w:r>
        <w:rPr>
          <w:noProof/>
        </w:rPr>
        <w:t xml:space="preserve">За да се избегне прекъсване на риболовните дейности на флота на ЕС в мавритански води, е необходимо своевременно приемане на решението на Съвета, с което се одобрява споразумението под формата на размяна на писма, така че двете страни да могат да подпишат споразумението преди 15 ноември 2019 г., когато изтича срокът на действие на сегашния протокол. </w:t>
      </w:r>
    </w:p>
    <w:p>
      <w:pPr>
        <w:pBdr>
          <w:top w:val="nil"/>
          <w:left w:val="nil"/>
          <w:bottom w:val="nil"/>
          <w:right w:val="nil"/>
          <w:between w:val="nil"/>
          <w:bar w:val="nil"/>
        </w:pBdr>
        <w:spacing w:before="0" w:after="240"/>
        <w:rPr>
          <w:noProof/>
        </w:rPr>
      </w:pPr>
      <w:r>
        <w:rPr>
          <w:noProof/>
        </w:rPr>
        <w:t>Въз основа на горепосоченото Комисията предлага Съветът да разреши подписването и временното прилагане на споразумението под формата на размяна на писма, което ще позволи действащият протокол да се удължи за максимален срок от една година.</w:t>
      </w:r>
    </w:p>
    <w:p>
      <w:pPr>
        <w:pBdr>
          <w:top w:val="nil"/>
          <w:left w:val="nil"/>
          <w:bottom w:val="nil"/>
          <w:right w:val="nil"/>
          <w:between w:val="nil"/>
          <w:bar w:val="nil"/>
        </w:pBdr>
        <w:spacing w:before="0" w:after="240"/>
        <w:rPr>
          <w:noProof/>
        </w:rPr>
      </w:pPr>
      <w:r>
        <w:rPr>
          <w:noProof/>
        </w:rPr>
        <w:t>Основната цел на протокола е да се предоставят възможности за риболов на корабите на Европейския съюз във водите на Мавритания, в рамките на наличния излишък, с оглед на най-актуалните налични научни оценки, и по-специално тези на Комитета по риболова в централната източна част на Атлантическия океан (CECAF), и в съответствие с наличните научни становища и с препоръките на Международната комисия за опазване на рибата тон в Атлантическия океан (ICCAT). Целта е също да се засили сътрудничеството между Европейския съюз и Ислямска република Мавритания с оглед на установяването на рамка за партньорство за развитието на политика на устойчиво рибарство и за отговорно използване на рибните ресурси в риболовната зона на Ислямска република Мавритания в интерес и на двете страни.</w:t>
      </w:r>
    </w:p>
    <w:p>
      <w:pPr>
        <w:pBdr>
          <w:top w:val="nil"/>
          <w:left w:val="nil"/>
          <w:bottom w:val="nil"/>
          <w:right w:val="nil"/>
          <w:between w:val="nil"/>
          <w:bar w:val="nil"/>
        </w:pBdr>
        <w:spacing w:before="0" w:after="240"/>
        <w:rPr>
          <w:noProof/>
        </w:rPr>
      </w:pPr>
      <w:r>
        <w:rPr>
          <w:noProof/>
        </w:rPr>
        <w:lastRenderedPageBreak/>
        <w:t>Протоколът предвижда възможности за риболов в следните категории:</w:t>
      </w:r>
    </w:p>
    <w:p>
      <w:pPr>
        <w:pBdr>
          <w:top w:val="nil"/>
          <w:left w:val="nil"/>
          <w:bottom w:val="nil"/>
          <w:right w:val="nil"/>
          <w:between w:val="nil"/>
          <w:bar w:val="nil"/>
        </w:pBdr>
        <w:spacing w:before="0" w:after="240"/>
        <w:rPr>
          <w:noProof/>
        </w:rPr>
      </w:pPr>
      <w:r>
        <w:rPr>
          <w:noProof/>
        </w:rPr>
        <w:t>–</w:t>
      </w:r>
      <w:r>
        <w:rPr>
          <w:noProof/>
        </w:rPr>
        <w:tab/>
        <w:t>категория 1 — кораби за улов на ракообразни с изключение на лангуста и рак: 5000 тона и 25 кораба;</w:t>
      </w:r>
    </w:p>
    <w:p>
      <w:pPr>
        <w:pBdr>
          <w:top w:val="nil"/>
          <w:left w:val="nil"/>
          <w:bottom w:val="nil"/>
          <w:right w:val="nil"/>
          <w:between w:val="nil"/>
          <w:bar w:val="nil"/>
        </w:pBdr>
        <w:spacing w:before="0" w:after="240"/>
        <w:rPr>
          <w:noProof/>
        </w:rPr>
      </w:pPr>
      <w:r>
        <w:rPr>
          <w:noProof/>
        </w:rPr>
        <w:t>–</w:t>
      </w:r>
      <w:r>
        <w:rPr>
          <w:noProof/>
        </w:rPr>
        <w:tab/>
        <w:t>категория 2 — траулери (нехладилни) и кораби с дънни парагади за улов на черна мерлуза: 6000 тона и 6 кораба;</w:t>
      </w:r>
    </w:p>
    <w:p>
      <w:pPr>
        <w:pBdr>
          <w:top w:val="nil"/>
          <w:left w:val="nil"/>
          <w:bottom w:val="nil"/>
          <w:right w:val="nil"/>
          <w:between w:val="nil"/>
          <w:bar w:val="nil"/>
        </w:pBdr>
        <w:spacing w:before="0" w:after="240"/>
        <w:rPr>
          <w:noProof/>
        </w:rPr>
      </w:pPr>
      <w:r>
        <w:rPr>
          <w:noProof/>
        </w:rPr>
        <w:t>–</w:t>
      </w:r>
      <w:r>
        <w:rPr>
          <w:noProof/>
        </w:rPr>
        <w:tab/>
        <w:t xml:space="preserve">категория 2а — траулери (хладилни) за улов на черна мерлуза: черна мерлуза — 3500 тона, калмари — 1450 тона, сепия —  600 тона за 6 кораба; </w:t>
      </w:r>
    </w:p>
    <w:p>
      <w:pPr>
        <w:pBdr>
          <w:top w:val="nil"/>
          <w:left w:val="nil"/>
          <w:bottom w:val="nil"/>
          <w:right w:val="nil"/>
          <w:between w:val="nil"/>
          <w:bar w:val="nil"/>
        </w:pBdr>
        <w:spacing w:before="0" w:after="240"/>
        <w:rPr>
          <w:noProof/>
        </w:rPr>
      </w:pPr>
      <w:r>
        <w:rPr>
          <w:noProof/>
        </w:rPr>
        <w:t>–</w:t>
      </w:r>
      <w:r>
        <w:rPr>
          <w:noProof/>
        </w:rPr>
        <w:tab/>
        <w:t>категория 3 — риболовни кораби за улов на дънни видове, различни от черна мерлуза, посредством риболовни уреди, различни от трал: 3000 тона и 6 кораба;</w:t>
      </w:r>
    </w:p>
    <w:p>
      <w:pPr>
        <w:pBdr>
          <w:top w:val="nil"/>
          <w:left w:val="nil"/>
          <w:bottom w:val="nil"/>
          <w:right w:val="nil"/>
          <w:between w:val="nil"/>
          <w:bar w:val="nil"/>
        </w:pBdr>
        <w:spacing w:before="0" w:after="240"/>
        <w:rPr>
          <w:noProof/>
        </w:rPr>
      </w:pPr>
      <w:r>
        <w:rPr>
          <w:noProof/>
        </w:rPr>
        <w:t>–</w:t>
      </w:r>
      <w:r>
        <w:rPr>
          <w:noProof/>
        </w:rPr>
        <w:tab/>
        <w:t>категория 4 — кораби с мрежи гъргър за улов на риба тон: 12 500 тона (референтен тонаж) и 25 кораба;</w:t>
      </w:r>
    </w:p>
    <w:p>
      <w:pPr>
        <w:pBdr>
          <w:top w:val="nil"/>
          <w:left w:val="nil"/>
          <w:bottom w:val="nil"/>
          <w:right w:val="nil"/>
          <w:between w:val="nil"/>
          <w:bar w:val="nil"/>
        </w:pBdr>
        <w:spacing w:before="0" w:after="240"/>
        <w:rPr>
          <w:noProof/>
        </w:rPr>
      </w:pPr>
      <w:r>
        <w:rPr>
          <w:noProof/>
        </w:rPr>
        <w:t>–</w:t>
      </w:r>
      <w:r>
        <w:rPr>
          <w:noProof/>
        </w:rPr>
        <w:tab/>
        <w:t>категория 5 — кораби за улов на риба тон с въдици и кораби за риболов с парагади: 7500 тона (референтен тонаж) и 15 кораба;</w:t>
      </w:r>
    </w:p>
    <w:p>
      <w:pPr>
        <w:pBdr>
          <w:top w:val="nil"/>
          <w:left w:val="nil"/>
          <w:bottom w:val="nil"/>
          <w:right w:val="nil"/>
          <w:between w:val="nil"/>
          <w:bar w:val="nil"/>
        </w:pBdr>
        <w:spacing w:before="0" w:after="240"/>
        <w:rPr>
          <w:noProof/>
        </w:rPr>
      </w:pPr>
      <w:r>
        <w:rPr>
          <w:noProof/>
        </w:rPr>
        <w:t>–</w:t>
      </w:r>
      <w:r>
        <w:rPr>
          <w:noProof/>
        </w:rPr>
        <w:tab/>
        <w:t>категория 6 — хладилни траулери за пелагичен риболов: 225 000 тона</w:t>
      </w:r>
      <w:r>
        <w:rPr>
          <w:rStyle w:val="FootnoteReference"/>
          <w:noProof/>
        </w:rPr>
        <w:footnoteReference w:id="2"/>
      </w:r>
      <w:r>
        <w:rPr>
          <w:noProof/>
        </w:rPr>
        <w:t xml:space="preserve"> и 19 кораба;</w:t>
      </w:r>
    </w:p>
    <w:p>
      <w:pPr>
        <w:pBdr>
          <w:top w:val="nil"/>
          <w:left w:val="nil"/>
          <w:bottom w:val="nil"/>
          <w:right w:val="nil"/>
          <w:between w:val="nil"/>
          <w:bar w:val="nil"/>
        </w:pBdr>
        <w:spacing w:before="0" w:after="240"/>
        <w:rPr>
          <w:noProof/>
        </w:rPr>
      </w:pPr>
      <w:r>
        <w:rPr>
          <w:noProof/>
        </w:rPr>
        <w:t>–</w:t>
      </w:r>
      <w:r>
        <w:rPr>
          <w:noProof/>
        </w:rPr>
        <w:tab/>
        <w:t xml:space="preserve">категория 7 — кораби за пелагичен риболов без замразяване: 15 000 тона (приспаднати от обема за категория 6, ако се използват) и 2 кораба. </w:t>
      </w:r>
    </w:p>
    <w:p>
      <w:pPr>
        <w:pStyle w:val="ManualHeading2"/>
        <w:rPr>
          <w:rFonts w:eastAsia="Arial Unicode MS"/>
          <w:noProof/>
          <w:color w:val="000000"/>
          <w:u w:color="000000"/>
          <w:bdr w:val="nil"/>
        </w:rPr>
      </w:pPr>
      <w:r>
        <w:rPr>
          <w:noProof/>
          <w:u w:color="000000"/>
          <w:bdr w:val="nil"/>
        </w:rPr>
        <w:t>•</w:t>
      </w:r>
      <w:r>
        <w:rPr>
          <w:noProof/>
          <w:u w:color="000000"/>
          <w:bdr w:val="nil"/>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В съответствие с приоритетите на реформата на политиката в областта на рибарството</w:t>
      </w:r>
      <w:r>
        <w:rPr>
          <w:rStyle w:val="FootnoteReference"/>
          <w:noProof/>
        </w:rPr>
        <w:footnoteReference w:id="3"/>
      </w:r>
      <w:r>
        <w:rPr>
          <w:noProof/>
        </w:rPr>
        <w:t xml:space="preserve"> протоколът предоставя възможности за риболов на корабите на Съюза във водите на Мавритания въз основа на най-добрите налични научни становища и при спазване на препоръките на ICCAT. Протоколът също така позволява на Европейския съюз и на Ислямска република Мавритания да работят в по-тясно сътрудничество, за да насърчават отговорното използване на рибните ресурси в мавритански води и да подкрепят усилията на Ислямска република Мавритания за развитието на нейния риболовен отрасъл в интерес и на двете страни. </w:t>
      </w:r>
    </w:p>
    <w:p>
      <w:pPr>
        <w:pStyle w:val="ManualHeading2"/>
        <w:rPr>
          <w:rFonts w:eastAsia="Arial Unicode MS"/>
          <w:noProof/>
        </w:rPr>
      </w:pPr>
      <w:r>
        <w:rPr>
          <w:noProof/>
          <w:u w:color="000000"/>
          <w:bdr w:val="nil"/>
        </w:rPr>
        <w:t>•</w:t>
      </w:r>
      <w:r>
        <w:rPr>
          <w:noProof/>
          <w:u w:color="000000"/>
          <w:bdr w:val="nil"/>
        </w:rPr>
        <w:tab/>
        <w:t>Съгласуваност с други политики на Съюза</w:t>
      </w:r>
    </w:p>
    <w:p>
      <w:pPr>
        <w:pBdr>
          <w:top w:val="nil"/>
          <w:left w:val="nil"/>
          <w:bottom w:val="nil"/>
          <w:right w:val="nil"/>
          <w:between w:val="nil"/>
          <w:bar w:val="nil"/>
        </w:pBdr>
        <w:spacing w:before="0" w:after="240"/>
        <w:rPr>
          <w:noProof/>
        </w:rPr>
      </w:pPr>
      <w:r>
        <w:rPr>
          <w:noProof/>
        </w:rPr>
        <w:t xml:space="preserve">Договарянето на ново споразумение за партньорство в областта на рибарството с Ислямска република Мавритания и на протокола за неговото прилагане, част от което е и настоящото предложение за удължаване, се вписва в рамките на външната дейност на ЕС по отношение на държавите от АКТБ и по-конкретно отчита целите на ЕС в областта на спазването на демократичните принципи и правата на човека. </w:t>
      </w:r>
    </w:p>
    <w:p>
      <w:pPr>
        <w:spacing w:before="0" w:after="240"/>
        <w:rPr>
          <w:noProof/>
        </w:rPr>
      </w:pPr>
      <w:r>
        <w:rPr>
          <w:noProof/>
        </w:rPr>
        <w:t>Икономическата дейност, генерирана от  сектора на рибарството на Мавритания, може да помогне — макар и само на местно равнище — за отстраняване на първопричините за незаконната миграция.</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keepNext/>
        <w:rPr>
          <w:noProof/>
          <w:sz w:val="22"/>
        </w:rPr>
      </w:pPr>
      <w:r>
        <w:rPr>
          <w:noProof/>
        </w:rPr>
        <w:t xml:space="preserve">Избраното правно основание е Договорът за функционирането на Европейския съюз, където в член 43, параграф 2 се определя общата политика в областта на рибарството, а в член 218, параграф 5 —  съответният етап от процедурата за водене на преговори и сключване на споразумения между Съюза и трети държави.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u w:color="000000"/>
          <w:bdr w:val="nil"/>
        </w:rPr>
        <w:t>•</w:t>
      </w:r>
      <w:r>
        <w:rPr>
          <w:noProof/>
          <w:u w:color="000000"/>
          <w:bdr w:val="nil"/>
        </w:rPr>
        <w:tab/>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Предложението попада в обхвата на изключителната компетентност на Европейския съюз.</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noProof/>
        </w:rPr>
      </w:pPr>
      <w:r>
        <w:rPr>
          <w:noProof/>
        </w:rPr>
        <w:t>Предложението е пропорционално на определената в член 31 от Регламента за общата политика в областта на рибарството цел за осигуряване на правна, екологична, икономическа и социална рамка за управление на риболовните дейности, извършвани от корабите на Съюза във водите на трети държави. То е в съответствие с посочените разпоредби и с определените в член 32 от същия регламент разпоредби относно финансовата помощ за трети държави.</w:t>
      </w:r>
    </w:p>
    <w:p>
      <w:pPr>
        <w:pBdr>
          <w:top w:val="nil"/>
          <w:left w:val="nil"/>
          <w:bottom w:val="nil"/>
          <w:right w:val="nil"/>
          <w:between w:val="nil"/>
          <w:bar w:val="nil"/>
        </w:pBdr>
        <w:spacing w:before="0" w:after="240"/>
        <w:rPr>
          <w:rFonts w:eastAsia="Arial Unicode MS"/>
          <w:noProof/>
        </w:rPr>
      </w:pPr>
      <w:r>
        <w:rPr>
          <w:noProof/>
        </w:rPr>
        <w:t>Продължаването с една година на рамката, определена с протокола, чийто срок на действие изтича на 15 ноември 2019 г., е съобразено с процеса на преговорите и има за цел да се осигури непрекъснатост на риболовните дейности на флота на ЕС в мавритански води.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Консултации със заинтересованите страни бяха извършени в рамките на оценката на протокола за периода 2015—2019 г. По време на техническите срещи бяха извършени консултации и с експертите на държавите членки. Тези консултации потвърдиха интереса от подновяване на протокола с Ислямска република Мавритания в областта на рибарството. Настоящото предложение за удължаване на срока на действие на протокола е стъпка в процеса на преговори за посоченото подновяване.</w:t>
      </w:r>
    </w:p>
    <w:p>
      <w:pPr>
        <w:pStyle w:val="ManualHeading2"/>
        <w:rPr>
          <w:rFonts w:eastAsia="Arial Unicode MS"/>
          <w:noProof/>
          <w:u w:color="000000"/>
          <w:bdr w:val="nil"/>
        </w:rPr>
      </w:pPr>
      <w:r>
        <w:rPr>
          <w:noProof/>
          <w:u w:color="000000"/>
          <w:bdr w:val="nil"/>
        </w:rPr>
        <w:t>•</w:t>
      </w:r>
      <w:r>
        <w:rPr>
          <w:noProof/>
          <w:u w:color="000000"/>
          <w:bdr w:val="nil"/>
        </w:rPr>
        <w:tab/>
        <w:t>Консултация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рамките на оценката бяха проведени консултации с държавите членки, представители на сектора и международни организации на гражданското общество, както и с органа за управление на рибарството и представители на гражданското общество на Ислямска република Мавритания. Бяха проведени също така консултации в рамките на Консултативния съвет по далечно плаване.</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spacing w:before="0" w:after="240"/>
        <w:rPr>
          <w:noProof/>
        </w:rPr>
      </w:pPr>
      <w:r>
        <w:rPr>
          <w:noProof/>
        </w:rPr>
        <w:t xml:space="preserve">В съответствие с разпоредбите на член 31, параграф 10 от Регламента за общата политика в областта на рибарството Комисията възложи на независим консултант извършването на последващата и предварителната оценка. </w:t>
      </w:r>
    </w:p>
    <w:p>
      <w:pPr>
        <w:pStyle w:val="ManualHeading1"/>
        <w:rPr>
          <w:noProof/>
        </w:rPr>
      </w:pPr>
      <w:r>
        <w:rPr>
          <w:noProof/>
        </w:rPr>
        <w:lastRenderedPageBreak/>
        <w:t>4.</w:t>
      </w:r>
      <w:r>
        <w:rPr>
          <w:noProof/>
        </w:rPr>
        <w:tab/>
        <w:t>ОТРАЖЕНИЕ ВЪРХУ БЮДЖЕТА</w:t>
      </w:r>
    </w:p>
    <w:p>
      <w:pPr>
        <w:rPr>
          <w:noProof/>
        </w:rPr>
      </w:pPr>
      <w:r>
        <w:rPr>
          <w:noProof/>
        </w:rPr>
        <w:t>Годишната финансова вноска на Европейския съюз възлиза на 61 625 000 EUR и е въз основа на:</w:t>
      </w:r>
    </w:p>
    <w:p>
      <w:pPr>
        <w:rPr>
          <w:noProof/>
        </w:rPr>
      </w:pPr>
      <w:r>
        <w:rPr>
          <w:noProof/>
        </w:rPr>
        <w:t>а) годишна сума за достъп до рибните ресурси за предвидените в протокола категории, определена в размер на 57 500 000 EUR за удължения срок на действие на протокола;</w:t>
      </w:r>
    </w:p>
    <w:p>
      <w:pPr>
        <w:rPr>
          <w:noProof/>
        </w:rPr>
      </w:pPr>
      <w:r>
        <w:rPr>
          <w:noProof/>
        </w:rPr>
        <w:t>б) подкрепа за развитието на секторната политика в областта на рибарството на Мавритания в размер на 4 125 000 EUR за удължения срок на действие на протокола. Тази подкрепа отговаря на целите на националната политика в областта на устойчивото управление на сладководните и морските рибни ресурси на Мавритания за целия срок на действие на протокола.</w:t>
      </w:r>
    </w:p>
    <w:p>
      <w:pPr>
        <w:rPr>
          <w:noProof/>
        </w:rPr>
      </w:pPr>
      <w:r>
        <w:rPr>
          <w:noProof/>
        </w:rPr>
        <w:t>Годишният размер на бюджетните кредити за поети задължения и за плащания се определя в рамките на годишната бюджетна процедура, включително за бюджетния ред „Резерви“ по отношение на протоколите, които още не са влезли в сила към началото на годината</w:t>
      </w:r>
      <w:r>
        <w:rPr>
          <w:rStyle w:val="FootnoteReference"/>
          <w:noProof/>
        </w:rPr>
        <w:footnoteReference w:id="4"/>
      </w:r>
      <w:r>
        <w:rPr>
          <w:noProof/>
        </w:rPr>
        <w:t>.</w:t>
      </w:r>
    </w:p>
    <w:p>
      <w:pPr>
        <w:rPr>
          <w:noProof/>
        </w:rPr>
      </w:pPr>
      <w:r>
        <w:rPr>
          <w:noProof/>
        </w:rPr>
        <w:t>В споразумението под формата на размяна на писма за удължаване на срока е предвидена също така клауза за пропорционално намаляване на общата сума, в случай че бъде договорено подписването на подновеното споразумение за партньорство и на протокола към него и те влязат в сила преди изтичането на едногодишния срок на удължаването, който е предмет на споразумението под формата на размяна на писма.</w:t>
      </w:r>
    </w:p>
    <w:p>
      <w:pPr>
        <w:rPr>
          <w:noProof/>
        </w:rPr>
      </w:pP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Мерките за наблюдение са описани в протокола, чието удължаване е предмет на споразумението под формата на размяна на писма.  </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и временното прилагане на Споразумението под формата на размяна на писма между Европейския съюз и Ислямска република Мавритания относно удължаването на изтичащия на 15 ноември 2019 г. срок на протокола за определяне на възможностите за риболов и финансовата вноска, предвидени в Споразумението за партньорство в областта на рибарството между Европейската общност и Ислямска република Мавритания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ind w:left="709" w:hanging="709"/>
        <w:rPr>
          <w:noProof/>
        </w:rPr>
      </w:pPr>
      <w:r>
        <w:rPr>
          <w:noProof/>
        </w:rPr>
        <w:t>(1)</w:t>
      </w:r>
      <w:r>
        <w:rPr>
          <w:noProof/>
        </w:rPr>
        <w:tab/>
        <w:t>Споразумението за партньорство в областта на рибарството между Европейската общност и Ислямска република Мавритания</w:t>
      </w:r>
      <w:r>
        <w:rPr>
          <w:rStyle w:val="FootnoteReference"/>
          <w:noProof/>
        </w:rPr>
        <w:footnoteReference w:id="5"/>
      </w:r>
      <w:r>
        <w:rPr>
          <w:noProof/>
        </w:rPr>
        <w:t xml:space="preserve"> (наричано по-долу „споразумението“) беше одобрено с Регламент (ЕО) № 1801/2006 на Съвета</w:t>
      </w:r>
      <w:r>
        <w:rPr>
          <w:rStyle w:val="FootnoteReference"/>
          <w:noProof/>
        </w:rPr>
        <w:footnoteReference w:id="6"/>
      </w:r>
      <w:r>
        <w:rPr>
          <w:noProof/>
        </w:rPr>
        <w:t xml:space="preserve"> и влезе в сила на 8 август 2008 г. Протоколът за определяне на възможностите за риболов и на финансовата вноска, предвидени в споразумението (наричан по-долу „протоколът“), влезе в сила на същата дата за срок от две години и беше изменян неколкократно.</w:t>
      </w:r>
    </w:p>
    <w:p>
      <w:pPr>
        <w:ind w:left="709" w:hanging="709"/>
        <w:rPr>
          <w:noProof/>
        </w:rPr>
      </w:pPr>
      <w:r>
        <w:rPr>
          <w:noProof/>
        </w:rPr>
        <w:t>(2)</w:t>
      </w:r>
      <w:r>
        <w:rPr>
          <w:noProof/>
        </w:rPr>
        <w:tab/>
        <w:t>Срокът на действие на последния протокол към споразумението изтича на 15 ноември 2019 г.</w:t>
      </w:r>
    </w:p>
    <w:p>
      <w:pPr>
        <w:ind w:left="709" w:hanging="709"/>
        <w:rPr>
          <w:noProof/>
        </w:rPr>
      </w:pPr>
      <w:r>
        <w:rPr>
          <w:noProof/>
        </w:rPr>
        <w:t>(3)</w:t>
      </w:r>
      <w:r>
        <w:rPr>
          <w:noProof/>
        </w:rPr>
        <w:tab/>
        <w:t>На 8 юли 2019 г. Съветът упълномощи Комисията да започне преговори с Ислямска република Мавритания с оглед на сключването на споразумение за партньорство в областта на устойчивото рибарство и протокол за неговото прилагане.</w:t>
      </w:r>
    </w:p>
    <w:p>
      <w:pPr>
        <w:ind w:left="709" w:hanging="709"/>
        <w:rPr>
          <w:noProof/>
        </w:rPr>
      </w:pPr>
      <w:r>
        <w:rPr>
          <w:noProof/>
        </w:rPr>
        <w:t>(3)</w:t>
      </w:r>
      <w:r>
        <w:rPr>
          <w:noProof/>
        </w:rPr>
        <w:tab/>
        <w:t xml:space="preserve">В очакване на приключването на преговорите за подновяване на споразумението и на протокола към него Комисията договори от името на Европейския съюз споразумение под формата на размяна на писма за удължаване за максимален срок от една година на протокола за определяне на възможностите за риболов и на финансовата вноска, предвидени в споразумението. Преговорите приключиха </w:t>
      </w:r>
      <w:r>
        <w:rPr>
          <w:noProof/>
        </w:rPr>
        <w:lastRenderedPageBreak/>
        <w:t>успешно и споразумението под формата на размяна на писма беше парафирано на 4 септември 2019 г.</w:t>
      </w:r>
    </w:p>
    <w:p>
      <w:pPr>
        <w:ind w:left="709" w:hanging="709"/>
        <w:rPr>
          <w:noProof/>
        </w:rPr>
      </w:pPr>
      <w:r>
        <w:rPr>
          <w:noProof/>
        </w:rPr>
        <w:t>(4)</w:t>
      </w:r>
      <w:r>
        <w:rPr>
          <w:noProof/>
        </w:rPr>
        <w:tab/>
        <w:t>Целта на споразумението под формата на размяна на писма е да се осигури възможност на ЕС и Ислямска република Мавритания да продължат да си сътрудничат в насърчаването на политиката на устойчиво рибарство и отговорното използване на рибните ресурси във водите на Мавритания, както и да се позволи на корабите на ЕС да извършват своите риболовни дейности в тези води.</w:t>
      </w:r>
    </w:p>
    <w:p>
      <w:pPr>
        <w:ind w:left="709" w:hanging="709"/>
        <w:rPr>
          <w:noProof/>
        </w:rPr>
      </w:pPr>
      <w:r>
        <w:rPr>
          <w:noProof/>
        </w:rPr>
        <w:t>(5)</w:t>
      </w:r>
      <w:r>
        <w:rPr>
          <w:noProof/>
        </w:rPr>
        <w:tab/>
        <w:t xml:space="preserve">Поради това споразумението под формата на размяна на писма следва да бъде подписано от името на Съюза, при условие че бъде сключено на по-късна дата.  </w:t>
      </w:r>
    </w:p>
    <w:p>
      <w:pPr>
        <w:ind w:left="709" w:hanging="709"/>
        <w:rPr>
          <w:noProof/>
        </w:rPr>
      </w:pPr>
      <w:r>
        <w:rPr>
          <w:noProof/>
        </w:rPr>
        <w:t>(6)</w:t>
      </w:r>
      <w:r>
        <w:rPr>
          <w:noProof/>
        </w:rPr>
        <w:tab/>
        <w:t>За да се осигури непрекъснатост на риболовните дейности на корабите на Съюза във водите на Мавритания, споразумението под формата на размяна на писма следва да се прилага временно,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Разрешава се подписването от името на Съюза на Споразумението под формата на размяна на писма между Европейския съюз и Ислямска република Мавритания относно удължаването на изтичащия на 15 ноември 2019 г. срок на протокола за определяне на възможностите за риболов и на финансовата вноска, предвидени в Споразумението за партньорство в областта на рибарството между Европейската общност и Ислямска република Мавритания (наричано по-долу „споразумението под формата на размяна на писма“), при условие че  посоченото споразумение бъде сключено. </w:t>
      </w:r>
    </w:p>
    <w:p>
      <w:pPr>
        <w:rPr>
          <w:noProof/>
        </w:rPr>
      </w:pPr>
      <w:r>
        <w:rPr>
          <w:noProof/>
        </w:rPr>
        <w:t>Текстът на споразумението под формата на размяна на писма е приложен към настоящото решение.</w:t>
      </w:r>
    </w:p>
    <w:p>
      <w:pPr>
        <w:pStyle w:val="Titrearticle"/>
        <w:rPr>
          <w:noProof/>
        </w:rPr>
      </w:pPr>
      <w:r>
        <w:rPr>
          <w:noProof/>
        </w:rPr>
        <w:t>Член 2</w:t>
      </w:r>
    </w:p>
    <w:p>
      <w:pPr>
        <w:rPr>
          <w:noProof/>
        </w:rPr>
      </w:pPr>
      <w:r>
        <w:rPr>
          <w:noProof/>
        </w:rPr>
        <w:t xml:space="preserve">Генералният секретариат на Съвета изготвя акта за предоставяне на пълномощия на лицето (или лицата), посочено от преговарящия по споразумението под формата на размяна на писма, да подпише споразумението, при условие че то бъде сключено. </w:t>
      </w:r>
    </w:p>
    <w:p>
      <w:pPr>
        <w:pStyle w:val="Titrearticle"/>
        <w:rPr>
          <w:noProof/>
        </w:rPr>
      </w:pPr>
      <w:r>
        <w:rPr>
          <w:noProof/>
        </w:rPr>
        <w:t>Член 3</w:t>
      </w:r>
    </w:p>
    <w:p>
      <w:pPr>
        <w:keepNext/>
        <w:rPr>
          <w:noProof/>
        </w:rPr>
      </w:pPr>
      <w:r>
        <w:rPr>
          <w:noProof/>
        </w:rPr>
        <w:t>Споразумението под формата на размяна на писма се прилага временно, в съответствие с точка 6 от него, считано от 16 ноември 2019 г. или от по-късна дата след датата на подписването му, до неговото влизане в сила.</w:t>
      </w:r>
    </w:p>
    <w:p>
      <w:pPr>
        <w:pStyle w:val="Titrearticle"/>
        <w:rPr>
          <w:noProof/>
        </w:rPr>
      </w:pPr>
      <w:r>
        <w:rPr>
          <w:noProof/>
        </w:rPr>
        <w:t>Член 4</w:t>
      </w:r>
    </w:p>
    <w:p>
      <w:pPr>
        <w:keepNext/>
        <w:rPr>
          <w:noProof/>
        </w:rPr>
      </w:pPr>
      <w:r>
        <w:rPr>
          <w:noProof/>
        </w:rPr>
        <w:t xml:space="preserve">Настоящото решение влиза в сила в деня след деня на публикуването му в </w:t>
      </w:r>
      <w:r>
        <w:rPr>
          <w:i/>
          <w:iCs/>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spacing w:before="0" w:after="200" w:line="276" w:lineRule="auto"/>
        <w:jc w:val="left"/>
        <w:rPr>
          <w:i/>
          <w:noProof/>
        </w:rPr>
      </w:pPr>
      <w:r>
        <w:rPr>
          <w:noProof/>
        </w:rPr>
        <w:lastRenderedPageBreak/>
        <w:br w:type="page"/>
      </w:r>
    </w:p>
    <w:p>
      <w:pPr>
        <w:jc w:val="center"/>
        <w:rPr>
          <w:b/>
          <w:noProof/>
          <w:u w:val="single"/>
        </w:rPr>
        <w:sectPr>
          <w:footnotePr>
            <w:numRestart w:val="eachPage"/>
          </w:footnotePr>
          <w:pgSz w:w="11907" w:h="16840" w:code="9"/>
          <w:pgMar w:top="1134" w:right="1418" w:bottom="1134" w:left="1418" w:header="709" w:footer="709" w:gutter="0"/>
          <w:cols w:space="708"/>
          <w:docGrid w:linePitch="360"/>
        </w:sectPr>
      </w:pPr>
    </w:p>
    <w:p>
      <w:pPr>
        <w:pStyle w:val="Fichefinanciretitre"/>
        <w:rPr>
          <w:noProof/>
        </w:rPr>
      </w:pPr>
      <w:r>
        <w:rPr>
          <w:noProof/>
        </w:rPr>
        <w:t>ЗАКОНОДАТЕЛНА ФИНАНСОВА ОБОСНОВКА</w:t>
      </w:r>
    </w:p>
    <w:p>
      <w:pPr>
        <w:keepNext/>
        <w:tabs>
          <w:tab w:val="left" w:pos="850"/>
        </w:tabs>
        <w:spacing w:before="360"/>
        <w:ind w:left="850" w:hanging="850"/>
        <w:outlineLvl w:val="0"/>
        <w:rPr>
          <w:b/>
          <w:smallCaps/>
          <w:noProof/>
        </w:rPr>
      </w:pPr>
      <w:r>
        <w:rPr>
          <w:b/>
          <w:smallCaps/>
          <w:noProof/>
        </w:rPr>
        <w:t>1.</w:t>
      </w:r>
      <w:r>
        <w:rPr>
          <w:b/>
          <w:smallCaps/>
          <w:noProof/>
        </w:rPr>
        <w:tab/>
        <w:t xml:space="preserve">РАМКА НА ПРЕДЛОЖЕНИЕТО/ИНИЦИАТИВАТА </w:t>
      </w:r>
    </w:p>
    <w:p>
      <w:pPr>
        <w:keepNext/>
        <w:tabs>
          <w:tab w:val="left" w:pos="850"/>
        </w:tabs>
        <w:outlineLvl w:val="1"/>
        <w:rPr>
          <w:b/>
          <w:noProof/>
        </w:rPr>
      </w:pPr>
      <w:r>
        <w:rPr>
          <w:b/>
          <w:noProof/>
        </w:rPr>
        <w:t>1.1.</w:t>
      </w:r>
      <w:r>
        <w:rPr>
          <w:b/>
          <w:noProof/>
        </w:rPr>
        <w:tab/>
        <w:t>Наименование на предложението/инициативата</w:t>
      </w:r>
    </w:p>
    <w:p>
      <w:pPr>
        <w:pBdr>
          <w:top w:val="single" w:sz="4" w:space="1" w:color="auto"/>
          <w:left w:val="single" w:sz="4" w:space="4" w:color="auto"/>
          <w:bottom w:val="single" w:sz="4" w:space="1" w:color="auto"/>
          <w:right w:val="single" w:sz="4" w:space="4" w:color="auto"/>
        </w:pBdr>
        <w:ind w:left="850"/>
        <w:rPr>
          <w:noProof/>
        </w:rPr>
      </w:pPr>
      <w:r>
        <w:rPr>
          <w:noProof/>
        </w:rPr>
        <w:t>Предложение за Решение на Съвета относно подписването от името на Съюза и временното прилагане на Споразумението под формата на размяна на писма относно удължаването на изтичащия на 15 ноември 2019 г. срок на протокола за определяне на възможностите за риболов и финансовата вноска, предвидени в Споразумението за партньорство в областта на рибарството между Европейската общност и Ислямска република.</w:t>
      </w:r>
    </w:p>
    <w:p>
      <w:pPr>
        <w:keepNext/>
        <w:tabs>
          <w:tab w:val="left" w:pos="850"/>
        </w:tabs>
        <w:outlineLvl w:val="1"/>
        <w:rPr>
          <w:noProof/>
        </w:rPr>
      </w:pPr>
      <w:r>
        <w:rPr>
          <w:b/>
          <w:noProof/>
        </w:rPr>
        <w:t>1.2.</w:t>
      </w:r>
      <w:r>
        <w:rPr>
          <w:b/>
          <w:noProof/>
        </w:rPr>
        <w:tab/>
        <w:t xml:space="preserve">Съответни области на политиката </w:t>
      </w:r>
    </w:p>
    <w:p>
      <w:pPr>
        <w:pBdr>
          <w:top w:val="single" w:sz="4" w:space="1" w:color="auto"/>
          <w:left w:val="single" w:sz="4" w:space="4" w:color="auto"/>
          <w:bottom w:val="single" w:sz="4" w:space="1" w:color="auto"/>
          <w:right w:val="single" w:sz="4" w:space="4" w:color="auto"/>
        </w:pBdr>
        <w:ind w:left="850"/>
        <w:rPr>
          <w:noProof/>
        </w:rPr>
      </w:pPr>
      <w:r>
        <w:rPr>
          <w:noProof/>
        </w:rPr>
        <w:t>11 — Морско дело и рибарство</w:t>
      </w:r>
    </w:p>
    <w:p>
      <w:pPr>
        <w:pBdr>
          <w:top w:val="single" w:sz="4" w:space="1" w:color="auto"/>
          <w:left w:val="single" w:sz="4" w:space="4" w:color="auto"/>
          <w:bottom w:val="single" w:sz="4" w:space="1" w:color="auto"/>
          <w:right w:val="single" w:sz="4" w:space="4" w:color="auto"/>
        </w:pBdr>
        <w:ind w:left="850"/>
        <w:rPr>
          <w:noProof/>
        </w:rPr>
      </w:pPr>
      <w:r>
        <w:rPr>
          <w:noProof/>
        </w:rPr>
        <w:t>11.03 — Задължителни вноски в регионалните организации за управление на рибарството и в други международни организации и споразумения за устойчиво рибарство (СУР)</w:t>
      </w:r>
    </w:p>
    <w:p>
      <w:pPr>
        <w:pBdr>
          <w:top w:val="single" w:sz="4" w:space="1" w:color="auto"/>
          <w:left w:val="single" w:sz="4" w:space="4" w:color="auto"/>
          <w:bottom w:val="single" w:sz="4" w:space="1" w:color="auto"/>
          <w:right w:val="single" w:sz="4" w:space="4" w:color="auto"/>
        </w:pBdr>
        <w:ind w:left="850"/>
        <w:rPr>
          <w:noProof/>
        </w:rPr>
      </w:pPr>
      <w:r>
        <w:rPr>
          <w:noProof/>
        </w:rPr>
        <w:t>11.03.01 — Установяване на рамка за управление на риболовните дейности, извършвани от риболовните кораби на Съюза във водите на трети държави</w:t>
      </w:r>
    </w:p>
    <w:p>
      <w:pPr>
        <w:keepNext/>
        <w:tabs>
          <w:tab w:val="left" w:pos="850"/>
        </w:tabs>
        <w:outlineLvl w:val="1"/>
        <w:rPr>
          <w:b/>
          <w:bCs/>
          <w:noProof/>
          <w:szCs w:val="24"/>
        </w:rPr>
      </w:pPr>
      <w:r>
        <w:rPr>
          <w:b/>
          <w:noProof/>
        </w:rPr>
        <w:t>1.3.</w:t>
      </w:r>
      <w:r>
        <w:rPr>
          <w:b/>
          <w:noProof/>
        </w:rPr>
        <w:tab/>
        <w:t xml:space="preserve">Предложението/инициативата е във връзка с: </w:t>
      </w:r>
    </w:p>
    <w:p>
      <w:pPr>
        <w:ind w:left="850"/>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noProof/>
        </w:rPr>
        <w:footnoteReference w:id="7"/>
      </w:r>
      <w:r>
        <w:rPr>
          <w:noProof/>
          <w:sz w:val="22"/>
        </w:rPr>
        <w:t xml:space="preserve"> </w:t>
      </w:r>
    </w:p>
    <w:p>
      <w:pPr>
        <w:ind w:left="850"/>
        <w:rPr>
          <w:noProof/>
          <w:sz w:val="22"/>
        </w:rPr>
      </w:pPr>
      <w:r>
        <w:rPr>
          <w:b/>
          <w:noProof/>
        </w:rPr>
        <w:t>Х продължаване на съществуващо действие</w:t>
      </w:r>
      <w:r>
        <w:rPr>
          <w:noProof/>
          <w:sz w:val="22"/>
        </w:rPr>
        <w:t xml:space="preserve"> </w:t>
      </w:r>
    </w:p>
    <w:p>
      <w:pPr>
        <w:ind w:left="850"/>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keepNext/>
        <w:tabs>
          <w:tab w:val="left" w:pos="850"/>
        </w:tabs>
        <w:outlineLvl w:val="1"/>
        <w:rPr>
          <w:b/>
          <w:bCs/>
          <w:noProof/>
          <w:szCs w:val="24"/>
        </w:rPr>
      </w:pPr>
      <w:r>
        <w:rPr>
          <w:b/>
          <w:noProof/>
        </w:rPr>
        <w:t>1.4.</w:t>
      </w:r>
      <w:r>
        <w:rPr>
          <w:b/>
          <w:noProof/>
        </w:rPr>
        <w:tab/>
        <w:t>Цели</w:t>
      </w:r>
    </w:p>
    <w:p>
      <w:pPr>
        <w:keepNext/>
        <w:tabs>
          <w:tab w:val="left" w:pos="850"/>
        </w:tabs>
        <w:outlineLvl w:val="2"/>
        <w:rPr>
          <w:i/>
          <w:noProof/>
        </w:rPr>
      </w:pPr>
      <w:r>
        <w:rPr>
          <w:i/>
          <w:noProof/>
        </w:rPr>
        <w:t>1.4.1.</w:t>
      </w:r>
      <w:r>
        <w:rPr>
          <w:i/>
          <w:noProof/>
        </w:rPr>
        <w:tab/>
        <w:t>Общи цели</w:t>
      </w:r>
    </w:p>
    <w:p>
      <w:pPr>
        <w:pBdr>
          <w:top w:val="single" w:sz="4" w:space="1" w:color="auto"/>
          <w:left w:val="single" w:sz="4" w:space="4" w:color="auto"/>
          <w:bottom w:val="single" w:sz="4" w:space="1" w:color="auto"/>
          <w:right w:val="single" w:sz="4" w:space="4" w:color="auto"/>
        </w:pBdr>
        <w:ind w:left="850"/>
        <w:rPr>
          <w:noProof/>
        </w:rPr>
      </w:pPr>
      <w:r>
        <w:rPr>
          <w:noProof/>
        </w:rPr>
        <w:t>Договарянето и сключването на споразумения за партньорство в областта на устойчивото рибарство (СПОУР) с трети държави отговаря на общата цел за осигуряването на достъп на риболовните кораби на Европейския съюз до риболовните зони на трети държави и за развиването на партньорство с тези държави с оглед укрепване на устойчивата експлоатация на рибните ресурси извън водите на Съюза.</w:t>
      </w:r>
    </w:p>
    <w:p>
      <w:pPr>
        <w:pBdr>
          <w:top w:val="single" w:sz="4" w:space="1" w:color="auto"/>
          <w:left w:val="single" w:sz="4" w:space="4" w:color="auto"/>
          <w:bottom w:val="single" w:sz="4" w:space="1" w:color="auto"/>
          <w:right w:val="single" w:sz="4" w:space="4" w:color="auto"/>
        </w:pBdr>
        <w:ind w:left="850"/>
        <w:rPr>
          <w:noProof/>
        </w:rPr>
      </w:pPr>
      <w:r>
        <w:rPr>
          <w:noProof/>
        </w:rPr>
        <w:t>СПОУР осигуряват също така съгласуваност между принципите, регулиращи общата политика в областта на рибарството, и залегналите в други европейски политики ангажименти (устойчиво използване на ресурсите на трети държави, борба с незаконния, недеклариран и нерегулиран риболов, интеграция на държавите партньори в глобалната икономика, както и по-добро политическо и финансово управление на рибарството).</w:t>
      </w:r>
    </w:p>
    <w:p>
      <w:pPr>
        <w:keepNext/>
        <w:tabs>
          <w:tab w:val="left" w:pos="850"/>
        </w:tabs>
        <w:outlineLvl w:val="2"/>
        <w:rPr>
          <w:bCs/>
          <w:i/>
          <w:noProof/>
          <w:szCs w:val="24"/>
        </w:rPr>
      </w:pPr>
      <w:r>
        <w:rPr>
          <w:i/>
          <w:noProof/>
        </w:rPr>
        <w:t>2.4.1.</w:t>
      </w:r>
      <w:r>
        <w:rPr>
          <w:i/>
          <w:noProof/>
        </w:rPr>
        <w:tab/>
        <w:t>Конкретни цели</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w:t>
      </w:r>
    </w:p>
    <w:p>
      <w:pPr>
        <w:pBdr>
          <w:top w:val="single" w:sz="4" w:space="1" w:color="auto"/>
          <w:left w:val="single" w:sz="4" w:space="4" w:color="auto"/>
          <w:bottom w:val="single" w:sz="4" w:space="1" w:color="auto"/>
          <w:right w:val="single" w:sz="4" w:space="4" w:color="auto"/>
        </w:pBdr>
        <w:ind w:left="850"/>
        <w:rPr>
          <w:noProof/>
        </w:rPr>
      </w:pPr>
      <w:r>
        <w:rPr>
          <w:noProof/>
        </w:rPr>
        <w:t>Да се допринесе за устойчивото рибарство извън водите на Съюза,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Съответни дейности във връзка с УД/БД</w:t>
      </w:r>
    </w:p>
    <w:p>
      <w:pPr>
        <w:pBdr>
          <w:top w:val="single" w:sz="4" w:space="1" w:color="auto"/>
          <w:left w:val="single" w:sz="4" w:space="4" w:color="auto"/>
          <w:bottom w:val="single" w:sz="4" w:space="1" w:color="auto"/>
          <w:right w:val="single" w:sz="4" w:space="4" w:color="auto"/>
        </w:pBdr>
        <w:ind w:left="850"/>
        <w:rPr>
          <w:noProof/>
        </w:rPr>
      </w:pPr>
      <w:r>
        <w:rPr>
          <w:noProof/>
        </w:rPr>
        <w:t>Морско дело и рибарство, установяване на рамка за управление на риболовните дейности, извършвани от риболовни кораби на Европейския съюз във води на трети държави (СУР) (бюджетен ред 11.03.01).</w:t>
      </w:r>
    </w:p>
    <w:p>
      <w:pPr>
        <w:keepNext/>
        <w:tabs>
          <w:tab w:val="left" w:pos="850"/>
        </w:tabs>
        <w:outlineLvl w:val="2"/>
        <w:rPr>
          <w:i/>
          <w:noProof/>
        </w:rPr>
      </w:pPr>
      <w:r>
        <w:rPr>
          <w:i/>
          <w:noProof/>
        </w:rPr>
        <w:t>3.4.1.</w:t>
      </w:r>
      <w:r>
        <w:rPr>
          <w:i/>
          <w:noProof/>
        </w:rPr>
        <w:tab/>
        <w:t>Очаквани резултати и отражение</w:t>
      </w:r>
    </w:p>
    <w:p>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noProof/>
        </w:rPr>
      </w:pPr>
      <w:r>
        <w:rPr>
          <w:noProof/>
        </w:rPr>
        <w:t>Удължаването на срока на протокола към съществуващия СПОР позволява да се избегне прекъсването на риболовната дейност на корабите на ЕС при изтичането на неговия срок на действие на 15 ноември 2019 г. То влиза в сила за максимален срок от една година, докато завършат преговорите за подновяване на СПОР.</w:t>
      </w:r>
    </w:p>
    <w:p>
      <w:pPr>
        <w:pBdr>
          <w:top w:val="single" w:sz="4" w:space="1" w:color="auto"/>
          <w:left w:val="single" w:sz="4" w:space="4" w:color="auto"/>
          <w:bottom w:val="single" w:sz="4" w:space="1" w:color="auto"/>
          <w:right w:val="single" w:sz="4" w:space="4" w:color="auto"/>
        </w:pBdr>
        <w:ind w:left="850"/>
        <w:rPr>
          <w:noProof/>
        </w:rPr>
      </w:pPr>
      <w:r>
        <w:rPr>
          <w:noProof/>
        </w:rPr>
        <w:t>Протоколът позволява установяване на стратегическо партньорство в областта на рибарството между Европейския съюз и Ислямска република Мавритания. Протоколът допринася също така за подобряване на управлението и опазването на рибните ресурси чрез финансова подкрепа (секторна подкрепа) за изпълнението на програмите, приети на национално равнище от държавата партньор, и по-конкретно по отношение на наблюдението и борбата срещу незаконния риболов и в подкрепа на сектора на непромишления риболов.</w:t>
      </w:r>
    </w:p>
    <w:p>
      <w:pPr>
        <w:keepNext/>
        <w:tabs>
          <w:tab w:val="left" w:pos="850"/>
        </w:tabs>
        <w:outlineLvl w:val="2"/>
        <w:rPr>
          <w:i/>
          <w:noProof/>
          <w:szCs w:val="24"/>
        </w:rPr>
      </w:pPr>
      <w:r>
        <w:rPr>
          <w:i/>
          <w:noProof/>
        </w:rPr>
        <w:t>4.4.1.</w:t>
      </w:r>
      <w:r>
        <w:rPr>
          <w:i/>
          <w:noProof/>
        </w:rPr>
        <w:tab/>
        <w:t>Показатели за изпълнението</w:t>
      </w:r>
    </w:p>
    <w:p>
      <w:pPr>
        <w:ind w:left="850"/>
        <w:rPr>
          <w:i/>
          <w:noProof/>
          <w:sz w:val="20"/>
        </w:rPr>
      </w:pPr>
      <w:r>
        <w:rPr>
          <w:i/>
          <w:noProof/>
          <w:sz w:val="20"/>
        </w:rPr>
        <w:t>Да се посочат показателите за проследяване на напредъка и на постиженията.</w:t>
      </w:r>
    </w:p>
    <w:p>
      <w:pPr>
        <w:pBdr>
          <w:top w:val="single" w:sz="4" w:space="1" w:color="auto"/>
          <w:left w:val="single" w:sz="4" w:space="4" w:color="auto"/>
          <w:bottom w:val="single" w:sz="4" w:space="1" w:color="auto"/>
          <w:right w:val="single" w:sz="4" w:space="4" w:color="auto"/>
        </w:pBdr>
        <w:ind w:left="850"/>
        <w:rPr>
          <w:noProof/>
        </w:rPr>
      </w:pPr>
      <w:r>
        <w:rPr>
          <w:noProof/>
        </w:rPr>
        <w:t>Процент на оползотворяване на възможностите за риболов (процентен дял на годишно използваните разрешения за риболов спрямо наличните възможности съгласно протокола).</w:t>
      </w:r>
    </w:p>
    <w:p>
      <w:pPr>
        <w:pBdr>
          <w:top w:val="single" w:sz="4" w:space="1" w:color="auto"/>
          <w:left w:val="single" w:sz="4" w:space="4" w:color="auto"/>
          <w:bottom w:val="single" w:sz="4" w:space="1" w:color="auto"/>
          <w:right w:val="single" w:sz="4" w:space="4" w:color="auto"/>
        </w:pBdr>
        <w:ind w:left="850"/>
        <w:rPr>
          <w:noProof/>
        </w:rPr>
      </w:pPr>
      <w:r>
        <w:rPr>
          <w:noProof/>
        </w:rPr>
        <w:t>Данни за улова (събиране и анализ) и търговска стойност на споразумението.</w:t>
      </w:r>
    </w:p>
    <w:p>
      <w:pPr>
        <w:pBdr>
          <w:top w:val="single" w:sz="4" w:space="1" w:color="auto"/>
          <w:left w:val="single" w:sz="4" w:space="4" w:color="auto"/>
          <w:bottom w:val="single" w:sz="4" w:space="1" w:color="auto"/>
          <w:right w:val="single" w:sz="4" w:space="4" w:color="auto"/>
        </w:pBdr>
        <w:ind w:left="850"/>
        <w:rPr>
          <w:noProof/>
        </w:rPr>
      </w:pPr>
      <w:r>
        <w:rPr>
          <w:noProof/>
        </w:rPr>
        <w:t>Принос към заетостта и добавената стойност в ЕС и към стабилизиране на пазара на ЕС (заедно с други СПОУР).</w:t>
      </w:r>
    </w:p>
    <w:p>
      <w:pPr>
        <w:pBdr>
          <w:top w:val="single" w:sz="4" w:space="1" w:color="auto"/>
          <w:left w:val="single" w:sz="4" w:space="4" w:color="auto"/>
          <w:bottom w:val="single" w:sz="4" w:space="1" w:color="auto"/>
          <w:right w:val="single" w:sz="4" w:space="4" w:color="auto"/>
        </w:pBdr>
        <w:ind w:left="850"/>
        <w:rPr>
          <w:noProof/>
        </w:rPr>
      </w:pPr>
      <w:r>
        <w:rPr>
          <w:noProof/>
        </w:rPr>
        <w:t>Принос към подобряването на научните изследвания, наблюдението и контрола на риболовните дейности от държавата партньор и на развитието на нейния сектор на рибарството, по-специално непромишления риболов.</w:t>
      </w:r>
    </w:p>
    <w:p>
      <w:pPr>
        <w:keepNext/>
        <w:outlineLvl w:val="1"/>
        <w:rPr>
          <w:b/>
          <w:bCs/>
          <w:noProof/>
          <w:szCs w:val="24"/>
        </w:rPr>
      </w:pPr>
      <w:r>
        <w:rPr>
          <w:b/>
          <w:noProof/>
        </w:rPr>
        <w:t>1.5.</w:t>
      </w:r>
      <w:r>
        <w:rPr>
          <w:b/>
          <w:noProof/>
        </w:rPr>
        <w:tab/>
        <w:t xml:space="preserve">Мотиви за предложението/инициативата </w:t>
      </w:r>
    </w:p>
    <w:p>
      <w:pPr>
        <w:keepNext/>
        <w:tabs>
          <w:tab w:val="left" w:pos="850"/>
        </w:tabs>
        <w:outlineLvl w:val="2"/>
        <w:rPr>
          <w:i/>
          <w:noProof/>
        </w:rPr>
      </w:pPr>
      <w:r>
        <w:rPr>
          <w:i/>
          <w:noProof/>
        </w:rPr>
        <w:t>1.5.1.</w:t>
      </w:r>
      <w:r>
        <w:rPr>
          <w:i/>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Bdr>
          <w:top w:val="single" w:sz="4" w:space="1" w:color="auto"/>
          <w:left w:val="single" w:sz="4" w:space="4" w:color="auto"/>
          <w:bottom w:val="single" w:sz="4" w:space="1" w:color="auto"/>
          <w:right w:val="single" w:sz="4" w:space="4" w:color="auto"/>
        </w:pBdr>
        <w:ind w:left="850"/>
        <w:rPr>
          <w:noProof/>
        </w:rPr>
      </w:pPr>
      <w:r>
        <w:rPr>
          <w:noProof/>
        </w:rPr>
        <w:t>Предвижда се споразумението под формата на размяна на писма за удължаване на срока на протокола да се прилага временно от датата на неговото подписване, считано от 16 ноември 2019 г., или от която и да е по-късна дата на подписване, за да се избегне прекъсване на риболовните дейности по действащия протокол.</w:t>
      </w:r>
    </w:p>
    <w:p>
      <w:pPr>
        <w:keepNext/>
        <w:tabs>
          <w:tab w:val="left" w:pos="850"/>
        </w:tabs>
        <w:outlineLvl w:val="2"/>
        <w:rPr>
          <w:bCs/>
          <w:i/>
          <w:noProof/>
          <w:szCs w:val="24"/>
        </w:rPr>
      </w:pPr>
      <w:r>
        <w:rPr>
          <w:i/>
          <w:noProof/>
        </w:rPr>
        <w:t>2.5.1.</w:t>
      </w:r>
      <w:r>
        <w:rPr>
          <w:i/>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Bdr>
          <w:top w:val="single" w:sz="4" w:space="1" w:color="auto"/>
          <w:left w:val="single" w:sz="4" w:space="4" w:color="auto"/>
          <w:bottom w:val="single" w:sz="4" w:space="1" w:color="auto"/>
          <w:right w:val="single" w:sz="4" w:space="4" w:color="auto"/>
        </w:pBdr>
        <w:ind w:left="850"/>
        <w:rPr>
          <w:noProof/>
        </w:rPr>
      </w:pPr>
      <w:r>
        <w:rPr>
          <w:noProof/>
        </w:rPr>
        <w:t>Ако Съюзът не сключи нов протокол, това би възпрепятствало риболовните дейности на неговите кораби, тъй като споразумението съдържа клауза, изключваща риболовни дейности, които не се извършват в рамките на протокола  към споразумението. Следователно са налице ясно изразени предимства за европейския флот за далечно плаване. Протоколът предоставя също така рамка за засилено сътрудничество между Съюза и Ислямска република Мавритания.</w:t>
      </w:r>
    </w:p>
    <w:p>
      <w:pPr>
        <w:keepNext/>
        <w:tabs>
          <w:tab w:val="left" w:pos="850"/>
        </w:tabs>
        <w:outlineLvl w:val="2"/>
        <w:rPr>
          <w:i/>
          <w:noProof/>
        </w:rPr>
      </w:pPr>
      <w:r>
        <w:rPr>
          <w:i/>
          <w:noProof/>
        </w:rPr>
        <w:t>1.5.3.</w:t>
      </w:r>
      <w:r>
        <w:rPr>
          <w:i/>
          <w:noProof/>
        </w:rPr>
        <w:tab/>
        <w:t>Изводи от подобен опит в миналото</w:t>
      </w:r>
    </w:p>
    <w:p>
      <w:pPr>
        <w:pBdr>
          <w:top w:val="single" w:sz="4" w:space="1" w:color="auto"/>
          <w:left w:val="single" w:sz="4" w:space="4" w:color="auto"/>
          <w:bottom w:val="single" w:sz="4" w:space="1" w:color="auto"/>
          <w:right w:val="single" w:sz="4" w:space="4" w:color="auto"/>
        </w:pBdr>
        <w:ind w:left="850"/>
        <w:rPr>
          <w:noProof/>
        </w:rPr>
      </w:pPr>
      <w:r>
        <w:rPr>
          <w:noProof/>
        </w:rPr>
        <w:t>Въз основа на анализа на предишния улов в риболовната зона на Ислямска република Мавритания и на извършения в последно време улов в рамките на подобни протоколи в региона, както и на оценките и наличните научни становища, страните решиха да определят възможности за риболов, изразени като ограничение на допустимия улов или като референтен тонаж, за категориите кораби, посочени в обяснителния меморандум по-горе. Секторната подкрепа отчита нуждите от укрепване на капацитета на риболовната администрация на Ислямска република Мавритания, както и приоритетите на националната стратегия в областта на рибарството, сред които са научните изследвания, контролът и наблюдението на риболовните дейности.</w:t>
      </w:r>
    </w:p>
    <w:p>
      <w:pPr>
        <w:keepNext/>
        <w:tabs>
          <w:tab w:val="left" w:pos="850"/>
        </w:tabs>
        <w:outlineLvl w:val="2"/>
        <w:rPr>
          <w:i/>
          <w:noProof/>
        </w:rPr>
      </w:pPr>
      <w:r>
        <w:rPr>
          <w:i/>
          <w:noProof/>
        </w:rPr>
        <w:t>1.5.4.</w:t>
      </w:r>
      <w:r>
        <w:rPr>
          <w:i/>
          <w:noProof/>
        </w:rPr>
        <w:tab/>
        <w:t>Съвместимост с многогодишната финансова рамка и евентуални синергии с други подходящи инструменти</w:t>
      </w:r>
    </w:p>
    <w:p>
      <w:pPr>
        <w:pBdr>
          <w:top w:val="single" w:sz="4" w:space="1" w:color="auto"/>
          <w:left w:val="single" w:sz="4" w:space="4" w:color="auto"/>
          <w:bottom w:val="single" w:sz="4" w:space="1" w:color="auto"/>
          <w:right w:val="single" w:sz="4" w:space="4" w:color="auto"/>
        </w:pBdr>
        <w:ind w:left="850"/>
        <w:rPr>
          <w:noProof/>
        </w:rPr>
      </w:pPr>
      <w:r>
        <w:rPr>
          <w:noProof/>
        </w:rPr>
        <w:t>Средствата, предоставени в рамките на финансовата компенсация за достъпа до споразумения за партньорство в областта на рибарството (СПОР), представляват приходи в националния бюджет на Ислямска република Мавритания, които по принцип не са определени за конкретни цели. Независимо от това средствата, предназначени за секторна подкрепа, се предоставят (обикновено чрез вписване в годишния закон за държавния бюджет) на компетентното министерство по въпросите на рибарството, като това е условие за сключването и наблюдението на СПОР. Тези финансови ресурси са съвместими с други източници на финансиране от други международни донори за осъществяването на проекти и/или програми в сектора на рибарството, провеждани на национално равнище.</w:t>
      </w:r>
    </w:p>
    <w:p>
      <w:pPr>
        <w:keepNext/>
        <w:tabs>
          <w:tab w:val="left" w:pos="850"/>
        </w:tabs>
        <w:outlineLvl w:val="2"/>
        <w:rPr>
          <w:i/>
          <w:noProof/>
        </w:rPr>
      </w:pPr>
      <w:r>
        <w:rPr>
          <w:i/>
          <w:noProof/>
        </w:rPr>
        <w:t>1.5.5.</w:t>
      </w:r>
      <w:r>
        <w:rPr>
          <w:i/>
          <w:noProof/>
        </w:rPr>
        <w:tab/>
        <w:t>Оценка на различните налични варианти за финансиране, включително възможностите за преразпределяне на средства</w:t>
      </w:r>
    </w:p>
    <w:p>
      <w:pPr>
        <w:pBdr>
          <w:top w:val="single" w:sz="4" w:space="1" w:color="auto"/>
          <w:left w:val="single" w:sz="4" w:space="4" w:color="auto"/>
          <w:bottom w:val="single" w:sz="4" w:space="1" w:color="auto"/>
          <w:right w:val="single" w:sz="4" w:space="4" w:color="auto"/>
        </w:pBdr>
        <w:ind w:left="850"/>
        <w:rPr>
          <w:noProof/>
        </w:rPr>
      </w:pPr>
      <w:r>
        <w:rPr>
          <w:noProof/>
        </w:rPr>
        <w:t>Не се прилага.</w:t>
      </w:r>
    </w:p>
    <w:p>
      <w:pPr>
        <w:ind w:left="850"/>
        <w:rPr>
          <w:noProof/>
        </w:rPr>
      </w:pPr>
    </w:p>
    <w:p>
      <w:pPr>
        <w:keepNext/>
        <w:outlineLvl w:val="1"/>
        <w:rPr>
          <w:b/>
          <w:bCs/>
          <w:noProof/>
          <w:szCs w:val="24"/>
        </w:rPr>
      </w:pPr>
      <w:r>
        <w:rPr>
          <w:b/>
          <w:noProof/>
        </w:rPr>
        <w:t>Продължителност и финансово отражение на предложението/инициативата</w:t>
      </w:r>
    </w:p>
    <w:p>
      <w:pPr>
        <w:ind w:left="850"/>
        <w:rPr>
          <w:noProof/>
        </w:rPr>
      </w:pPr>
      <w:r>
        <w:rPr>
          <w:b/>
          <w:noProof/>
        </w:rPr>
        <w:t>X</w:t>
      </w:r>
      <w:r>
        <w:rPr>
          <w:b/>
          <w:i/>
          <w:noProof/>
        </w:rPr>
        <w:t xml:space="preserve"> </w:t>
      </w:r>
      <w:r>
        <w:rPr>
          <w:b/>
          <w:noProof/>
        </w:rPr>
        <w:t xml:space="preserve">ограничен срок на действие </w:t>
      </w:r>
    </w:p>
    <w:p>
      <w:pPr>
        <w:tabs>
          <w:tab w:val="num" w:pos="1134"/>
        </w:tabs>
        <w:ind w:left="1134" w:hanging="283"/>
        <w:rPr>
          <w:rFonts w:eastAsia="Times New Roman"/>
          <w:noProof/>
        </w:rPr>
      </w:pPr>
      <w:r>
        <w:rPr>
          <w:noProof/>
        </w:rPr>
        <w:sym w:font="Wingdings" w:char="F0A8"/>
      </w:r>
      <w:r>
        <w:rPr>
          <w:noProof/>
        </w:rPr>
        <w:tab/>
        <w:t xml:space="preserve">в сила от 2019 г. до 2024 г. </w:t>
      </w:r>
    </w:p>
    <w:p>
      <w:pPr>
        <w:tabs>
          <w:tab w:val="num" w:pos="1134"/>
        </w:tabs>
        <w:ind w:left="1134" w:hanging="283"/>
        <w:rPr>
          <w:rFonts w:eastAsia="Times New Roman"/>
          <w:noProof/>
        </w:rPr>
      </w:pPr>
      <w:r>
        <w:rPr>
          <w:noProof/>
        </w:rPr>
        <w:t>X</w:t>
      </w:r>
      <w:r>
        <w:rPr>
          <w:noProof/>
        </w:rPr>
        <w:tab/>
        <w:t xml:space="preserve">финансово отражение през 2020 г. за бюджетните кредити за поети задължения и от 2019 г. до 2021 г. за бюджетните кредити за плащания </w:t>
      </w:r>
    </w:p>
    <w:p>
      <w:pPr>
        <w:ind w:left="850"/>
        <w:rPr>
          <w:noProof/>
        </w:rPr>
      </w:pPr>
      <w:r>
        <w:rPr>
          <w:noProof/>
        </w:rPr>
        <w:sym w:font="Wingdings" w:char="F0A8"/>
      </w:r>
      <w:r>
        <w:rPr>
          <w:b/>
          <w:i/>
          <w:noProof/>
        </w:rPr>
        <w:t xml:space="preserve"> </w:t>
      </w:r>
      <w:r>
        <w:rPr>
          <w:b/>
          <w:noProof/>
        </w:rPr>
        <w:t>неограничен срок на действие</w:t>
      </w:r>
    </w:p>
    <w:p>
      <w:pPr>
        <w:tabs>
          <w:tab w:val="num" w:pos="1134"/>
        </w:tabs>
        <w:ind w:left="1134" w:hanging="283"/>
        <w:rPr>
          <w:rFonts w:eastAsia="Times New Roman"/>
          <w:noProof/>
        </w:rPr>
      </w:pPr>
      <w:r>
        <w:rPr>
          <w:noProof/>
        </w:rPr>
        <w:t>изпълнение с период на започване на дейност от ГГГГ до ГГГГ,</w:t>
      </w:r>
    </w:p>
    <w:p>
      <w:pPr>
        <w:tabs>
          <w:tab w:val="num" w:pos="1134"/>
        </w:tabs>
        <w:ind w:left="1134" w:hanging="283"/>
        <w:rPr>
          <w:rFonts w:eastAsia="Times New Roman"/>
          <w:noProof/>
        </w:rPr>
      </w:pPr>
      <w:r>
        <w:rPr>
          <w:noProof/>
        </w:rPr>
        <w:t>последван от функциониране с пълен капацитет.</w:t>
      </w:r>
    </w:p>
    <w:p>
      <w:pPr>
        <w:keepNext/>
        <w:outlineLvl w:val="1"/>
        <w:rPr>
          <w:b/>
          <w:bCs/>
          <w:noProof/>
          <w:szCs w:val="24"/>
        </w:rPr>
      </w:pPr>
      <w:r>
        <w:rPr>
          <w:b/>
          <w:noProof/>
        </w:rPr>
        <w:t>Планирани методи на управление</w:t>
      </w:r>
      <w:r>
        <w:rPr>
          <w:rStyle w:val="FootnoteReference"/>
          <w:noProof/>
        </w:rPr>
        <w:footnoteReference w:id="8"/>
      </w:r>
      <w:r>
        <w:rPr>
          <w:b/>
          <w:noProof/>
          <w:vertAlign w:val="superscript"/>
        </w:rPr>
        <w:t xml:space="preserve"> </w:t>
      </w:r>
    </w:p>
    <w:p>
      <w:pPr>
        <w:ind w:left="850"/>
        <w:rPr>
          <w:noProof/>
        </w:rPr>
      </w:pPr>
      <w:r>
        <w:rPr>
          <w:b/>
          <w:noProof/>
        </w:rPr>
        <w:t>X</w:t>
      </w:r>
      <w:r>
        <w:rPr>
          <w:i/>
          <w:noProof/>
        </w:rPr>
        <w:t xml:space="preserve"> </w:t>
      </w:r>
      <w:r>
        <w:rPr>
          <w:b/>
          <w:noProof/>
        </w:rPr>
        <w:t>Пряко управление</w:t>
      </w:r>
      <w:r>
        <w:rPr>
          <w:noProof/>
        </w:rPr>
        <w:t xml:space="preserve"> от Комисията</w:t>
      </w:r>
    </w:p>
    <w:p>
      <w:pPr>
        <w:tabs>
          <w:tab w:val="num" w:pos="1134"/>
        </w:tabs>
        <w:ind w:left="1134" w:hanging="283"/>
        <w:rPr>
          <w:rFonts w:eastAsia="Times New Roman" w:cs="EUAlbertina"/>
          <w:noProof/>
        </w:rPr>
      </w:pPr>
      <w:r>
        <w:rPr>
          <w:b/>
          <w:noProof/>
        </w:rPr>
        <w:t>X</w:t>
      </w:r>
      <w:r>
        <w:rPr>
          <w:noProof/>
        </w:rPr>
        <w:t xml:space="preserve"> от нейните служби, включително от нейния персонал в делегациите на Съюза; </w:t>
      </w:r>
    </w:p>
    <w:p>
      <w:pPr>
        <w:tabs>
          <w:tab w:val="num" w:pos="1134"/>
        </w:tabs>
        <w:ind w:left="1134" w:hanging="283"/>
        <w:rPr>
          <w:rFonts w:eastAsia="Times New Roman"/>
          <w:noProof/>
        </w:rPr>
      </w:pPr>
      <w:r>
        <w:rPr>
          <w:noProof/>
        </w:rPr>
        <w:sym w:font="Wingdings" w:char="F0A8"/>
      </w:r>
      <w:r>
        <w:rPr>
          <w:noProof/>
        </w:rPr>
        <w:tab/>
        <w:t xml:space="preserve">от изпълнителните агенции </w:t>
      </w:r>
    </w:p>
    <w:p>
      <w:pPr>
        <w:ind w:left="85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ind w:left="850"/>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tabs>
          <w:tab w:val="num" w:pos="1134"/>
        </w:tabs>
        <w:ind w:left="1134" w:hanging="283"/>
        <w:rPr>
          <w:rFonts w:eastAsia="Times New Roman"/>
          <w:noProof/>
        </w:rPr>
      </w:pPr>
      <w:r>
        <w:rPr>
          <w:noProof/>
        </w:rPr>
        <w:sym w:font="Wingdings" w:char="F0A8"/>
      </w:r>
      <w:r>
        <w:rPr>
          <w:noProof/>
        </w:rPr>
        <w:tab/>
        <w:t>трети държави или органите, определени от тях;</w:t>
      </w:r>
    </w:p>
    <w:p>
      <w:pPr>
        <w:tabs>
          <w:tab w:val="num" w:pos="1134"/>
        </w:tabs>
        <w:ind w:left="1134" w:hanging="283"/>
        <w:rPr>
          <w:rFonts w:eastAsia="Times New Roman"/>
          <w:noProof/>
        </w:rPr>
      </w:pPr>
      <w:r>
        <w:rPr>
          <w:noProof/>
        </w:rPr>
        <w:sym w:font="Wingdings" w:char="F0A8"/>
      </w:r>
      <w:r>
        <w:rPr>
          <w:noProof/>
        </w:rPr>
        <w:tab/>
        <w:t>международни организации и техните агенции (да се посочат);</w:t>
      </w:r>
    </w:p>
    <w:p>
      <w:pPr>
        <w:tabs>
          <w:tab w:val="num" w:pos="1134"/>
        </w:tabs>
        <w:ind w:left="1134" w:hanging="283"/>
        <w:rPr>
          <w:rFonts w:eastAsia="Times New Roman"/>
          <w:noProof/>
        </w:rPr>
      </w:pPr>
      <w:r>
        <w:rPr>
          <w:noProof/>
        </w:rPr>
        <w:sym w:font="Wingdings" w:char="F0A8"/>
      </w:r>
      <w:r>
        <w:rPr>
          <w:noProof/>
        </w:rPr>
        <w:tab/>
        <w:t>ЕИБ и Европейския инвестиционен фонд;</w:t>
      </w:r>
    </w:p>
    <w:p>
      <w:pPr>
        <w:tabs>
          <w:tab w:val="num" w:pos="1134"/>
        </w:tabs>
        <w:ind w:left="1134" w:hanging="283"/>
        <w:rPr>
          <w:rFonts w:eastAsia="Times New Roman"/>
          <w:noProof/>
        </w:rPr>
      </w:pPr>
      <w:r>
        <w:rPr>
          <w:noProof/>
        </w:rPr>
        <w:sym w:font="Wingdings" w:char="F0A8"/>
      </w:r>
      <w:r>
        <w:rPr>
          <w:noProof/>
        </w:rPr>
        <w:tab/>
        <w:t>органите, посочени в членове 70 и 71 от Финансовия регламент;</w:t>
      </w:r>
    </w:p>
    <w:p>
      <w:pPr>
        <w:tabs>
          <w:tab w:val="num" w:pos="1134"/>
        </w:tabs>
        <w:ind w:left="1134" w:hanging="283"/>
        <w:rPr>
          <w:rFonts w:eastAsia="Times New Roman"/>
          <w:noProof/>
        </w:rPr>
      </w:pPr>
      <w:r>
        <w:rPr>
          <w:noProof/>
        </w:rPr>
        <w:sym w:font="Wingdings" w:char="F0A8"/>
      </w:r>
      <w:r>
        <w:rPr>
          <w:noProof/>
        </w:rPr>
        <w:tab/>
        <w:t>публичноправни органи;</w:t>
      </w:r>
    </w:p>
    <w:p>
      <w:pPr>
        <w:tabs>
          <w:tab w:val="num" w:pos="1134"/>
        </w:tabs>
        <w:ind w:left="1134" w:hanging="283"/>
        <w:rPr>
          <w:rFonts w:eastAsia="Times New Roman"/>
          <w:noProof/>
        </w:rPr>
      </w:pPr>
      <w:r>
        <w:rPr>
          <w:noProof/>
        </w:rPr>
        <w:sym w:font="Wingdings" w:char="F0A8"/>
      </w:r>
      <w:r>
        <w:rPr>
          <w:noProof/>
        </w:rPr>
        <w:tab/>
        <w:t>частноправни органи със задължение за обществена услуга, доколкото предоставят подходящи финансови гаранции;</w:t>
      </w:r>
    </w:p>
    <w:p>
      <w:pPr>
        <w:tabs>
          <w:tab w:val="num" w:pos="1134"/>
        </w:tabs>
        <w:ind w:left="1134" w:hanging="283"/>
        <w:rPr>
          <w:rFonts w:eastAsia="Times New Roman"/>
          <w:noProof/>
        </w:rPr>
      </w:pPr>
      <w:r>
        <w:rPr>
          <w:noProof/>
        </w:rPr>
        <w:sym w:font="Wingdings" w:char="F0A8"/>
      </w:r>
      <w:r>
        <w:rPr>
          <w:noProof/>
        </w:rPr>
        <w:tab/>
        <w:t>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tabs>
          <w:tab w:val="num" w:pos="1134"/>
        </w:tabs>
        <w:ind w:left="1134" w:hanging="283"/>
        <w:rPr>
          <w:rFonts w:eastAsia="Times New Roman"/>
          <w:noProof/>
        </w:rPr>
      </w:pPr>
      <w:r>
        <w:rPr>
          <w:noProof/>
        </w:rPr>
        <w:sym w:font="Wingdings" w:char="F0A8"/>
      </w:r>
      <w:r>
        <w:rPr>
          <w:noProof/>
        </w:rPr>
        <w:tab/>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tabs>
          <w:tab w:val="num" w:pos="1134"/>
        </w:tabs>
        <w:ind w:left="1134" w:hanging="283"/>
        <w:rPr>
          <w:rFonts w:eastAsia="Times New Roman"/>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footnotePr>
            <w:numRestart w:val="eachSect"/>
          </w:footnote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2.</w:t>
      </w:r>
      <w:r>
        <w:rPr>
          <w:b/>
          <w:smallCaps/>
          <w:noProof/>
        </w:rPr>
        <w:tab/>
        <w:t xml:space="preserve">МЕРКИ ЗА УПРАВЛЕНИЕ </w:t>
      </w:r>
    </w:p>
    <w:p>
      <w:pPr>
        <w:keepNext/>
        <w:outlineLvl w:val="1"/>
        <w:rPr>
          <w:b/>
          <w:noProof/>
        </w:rPr>
      </w:pPr>
      <w:r>
        <w:rPr>
          <w:b/>
          <w:noProof/>
        </w:rPr>
        <w:t>2.1.</w:t>
      </w:r>
      <w:r>
        <w:rPr>
          <w:b/>
          <w:noProof/>
        </w:rPr>
        <w:tab/>
        <w:t xml:space="preserve">Правила за наблюдение и докладване </w:t>
      </w:r>
    </w:p>
    <w:p>
      <w:pPr>
        <w:ind w:left="850"/>
        <w:rPr>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rPr>
      </w:pPr>
      <w:r>
        <w:rPr>
          <w:noProof/>
        </w:rPr>
        <w:t xml:space="preserve">Комисията (ГД „Морско дело и рибарство“ в сътрудничество със своя аташе по риболова, установен в Нуакшот) осигурява редовен мониторинг върху изпълнението на протокола по отношение на оползотворяването на възможностите за риболов от страна на операторите и данните за улова, както и по отношение на изискванията за секторната подкрепа. </w:t>
      </w:r>
    </w:p>
    <w:p>
      <w:pPr>
        <w:pBdr>
          <w:top w:val="single" w:sz="4" w:space="1" w:color="auto"/>
          <w:left w:val="single" w:sz="4" w:space="4" w:color="auto"/>
          <w:bottom w:val="single" w:sz="4" w:space="1" w:color="auto"/>
          <w:right w:val="single" w:sz="4" w:space="4" w:color="auto"/>
        </w:pBdr>
        <w:ind w:left="850"/>
        <w:rPr>
          <w:noProof/>
        </w:rPr>
      </w:pPr>
      <w:r>
        <w:rPr>
          <w:noProof/>
        </w:rPr>
        <w:t>Освен това СПОР предвижда поне по едно ежегодно заседание на Съвместния комитет, по време на което Комисията и Ислямска република Мавритания разглеждат прилагането на споразумението и протокола, като при необходимост внасят корекции в програмното планиране и, според случая, във финансовата вноска.</w:t>
      </w:r>
    </w:p>
    <w:p>
      <w:pPr>
        <w:keepNext/>
        <w:outlineLvl w:val="1"/>
        <w:rPr>
          <w:b/>
          <w:bCs/>
          <w:noProof/>
          <w:szCs w:val="24"/>
        </w:rPr>
      </w:pPr>
      <w:r>
        <w:rPr>
          <w:b/>
          <w:noProof/>
        </w:rPr>
        <w:t>2.2.</w:t>
      </w:r>
      <w:r>
        <w:rPr>
          <w:b/>
          <w:noProof/>
        </w:rPr>
        <w:tab/>
        <w:t xml:space="preserve">Системи за управление и контрол </w:t>
      </w:r>
    </w:p>
    <w:p>
      <w:pPr>
        <w:keepNext/>
        <w:tabs>
          <w:tab w:val="left" w:pos="850"/>
        </w:tabs>
        <w:outlineLvl w:val="2"/>
        <w:rPr>
          <w:i/>
          <w:noProof/>
        </w:rPr>
      </w:pPr>
      <w:r>
        <w:rPr>
          <w:i/>
          <w:noProof/>
        </w:rPr>
        <w:t>2.2.1.</w:t>
      </w:r>
      <w:r>
        <w:rPr>
          <w:i/>
          <w:noProof/>
        </w:rPr>
        <w:tab/>
        <w:t>Обосновка на предложените начини за управление, механизми за финансиране на изпълнението, начини за плащане и стратегия за контрол</w:t>
      </w:r>
    </w:p>
    <w:p>
      <w:pPr>
        <w:pBdr>
          <w:top w:val="single" w:sz="4" w:space="1" w:color="auto"/>
          <w:left w:val="single" w:sz="4" w:space="4" w:color="auto"/>
          <w:bottom w:val="single" w:sz="4" w:space="1" w:color="auto"/>
          <w:right w:val="single" w:sz="4" w:space="4" w:color="auto"/>
        </w:pBdr>
        <w:ind w:left="850"/>
        <w:rPr>
          <w:noProof/>
        </w:rPr>
      </w:pPr>
      <w:r>
        <w:rPr>
          <w:noProof/>
        </w:rPr>
        <w:t>Установеният риск се състои в недостатъчното използване на възможностите за риболов от корабособствениците от ЕС и в недостатъчното или забавеното използване на средствата, предназначени за финансиране на секторната политика в областта на рибарството в Ислямска република Мавритания.</w:t>
      </w:r>
    </w:p>
    <w:p>
      <w:pPr>
        <w:keepNext/>
        <w:tabs>
          <w:tab w:val="left" w:pos="850"/>
        </w:tabs>
        <w:outlineLvl w:val="2"/>
        <w:rPr>
          <w:bCs/>
          <w:i/>
          <w:noProof/>
          <w:szCs w:val="24"/>
        </w:rPr>
      </w:pPr>
      <w:r>
        <w:rPr>
          <w:i/>
          <w:noProof/>
        </w:rPr>
        <w:t>2.2.2.</w:t>
      </w:r>
      <w:r>
        <w:rPr>
          <w:i/>
          <w:noProof/>
        </w:rPr>
        <w:tab/>
        <w:t>Информация относно установените рискове и системите за вътрешен контрол, създадени с цел намаляването им</w:t>
      </w:r>
    </w:p>
    <w:p>
      <w:pPr>
        <w:pBdr>
          <w:top w:val="single" w:sz="4" w:space="1" w:color="auto"/>
          <w:left w:val="single" w:sz="4" w:space="4" w:color="auto"/>
          <w:bottom w:val="single" w:sz="4" w:space="1" w:color="auto"/>
          <w:right w:val="single" w:sz="4" w:space="4" w:color="auto"/>
        </w:pBdr>
        <w:ind w:left="850"/>
        <w:rPr>
          <w:noProof/>
        </w:rPr>
      </w:pPr>
      <w:r>
        <w:rPr>
          <w:noProof/>
        </w:rPr>
        <w:t>Предвижда се задълбочен диалог за програмното планиране и изпълнението на секторната политика съгласно споразумението и протокола. Съвместният анализ на резултатите също представлява част от тези методи за контрол.</w:t>
      </w:r>
    </w:p>
    <w:p>
      <w:pPr>
        <w:pBdr>
          <w:top w:val="single" w:sz="4" w:space="1" w:color="auto"/>
          <w:left w:val="single" w:sz="4" w:space="4" w:color="auto"/>
          <w:bottom w:val="single" w:sz="4" w:space="1" w:color="auto"/>
          <w:right w:val="single" w:sz="4" w:space="4" w:color="auto"/>
        </w:pBdr>
        <w:ind w:left="850"/>
        <w:rPr>
          <w:noProof/>
        </w:rPr>
      </w:pPr>
      <w:r>
        <w:rPr>
          <w:noProof/>
        </w:rPr>
        <w:t>Освен това в споразумението и протокола се предвиждат специфични клаузи за временното им преустановяване при определени условия и дадени обстоятелства.</w:t>
      </w:r>
    </w:p>
    <w:p>
      <w:pPr>
        <w:keepNext/>
        <w:tabs>
          <w:tab w:val="left" w:pos="850"/>
        </w:tabs>
        <w:outlineLvl w:val="2"/>
        <w:rPr>
          <w:i/>
          <w:noProof/>
        </w:rPr>
      </w:pPr>
      <w:r>
        <w:rPr>
          <w:noProof/>
        </w:rPr>
        <w:br w:type="page"/>
      </w:r>
      <w:r>
        <w:rPr>
          <w:i/>
          <w:noProof/>
        </w:rPr>
        <w:t>2.2.3.</w:t>
      </w:r>
      <w:r>
        <w:rPr>
          <w:i/>
          <w:noProof/>
        </w:rPr>
        <w:tab/>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Bdr>
          <w:top w:val="single" w:sz="4" w:space="1" w:color="auto"/>
          <w:left w:val="single" w:sz="4" w:space="4" w:color="auto"/>
          <w:bottom w:val="single" w:sz="4" w:space="1" w:color="auto"/>
          <w:right w:val="single" w:sz="4" w:space="4" w:color="auto"/>
        </w:pBdr>
        <w:ind w:left="850"/>
        <w:rPr>
          <w:noProof/>
        </w:rPr>
      </w:pPr>
    </w:p>
    <w:p>
      <w:pPr>
        <w:keepNext/>
        <w:outlineLvl w:val="1"/>
        <w:rPr>
          <w:b/>
          <w:bCs/>
          <w:noProof/>
          <w:szCs w:val="24"/>
        </w:rPr>
      </w:pPr>
      <w:r>
        <w:rPr>
          <w:b/>
          <w:noProof/>
        </w:rPr>
        <w:t>2.3.</w:t>
      </w:r>
      <w:r>
        <w:rPr>
          <w:b/>
          <w:noProof/>
        </w:rPr>
        <w:tab/>
        <w:t xml:space="preserve">Мерки за предотвратяване на измами и нередности </w:t>
      </w:r>
    </w:p>
    <w:p>
      <w:pPr>
        <w:ind w:left="850"/>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noProof/>
        </w:rPr>
      </w:pPr>
      <w:r>
        <w:rPr>
          <w:noProof/>
        </w:rPr>
        <w:t xml:space="preserve">Комисията поема ангажимент да установи политически диалог и редовно съгласуване с Ислямска република Мавритания с цел подобряване на управлението на споразумението и на протокола и увеличаване на приноса на Съюза за устойчивото управление на ресурсите. Плащанията, които Комисията извършва по СПОР, са съобразени с нейните правила и обичайните ѝ бюджетни и финансови процедури. Това се отнася по-специално до пълното идентифициране на банковите сметки на третите държави, по които се превеждат сумите по финансовата вноска. В протокола се посочва, че финансовата вноска се превежда по сметка на държавния бюджет в Централната банка на Мавритания. </w:t>
      </w:r>
    </w:p>
    <w:p>
      <w:pPr>
        <w:rPr>
          <w:noProof/>
        </w:rPr>
        <w:sectPr>
          <w:footnotePr>
            <w:numRestart w:val="eachSect"/>
          </w:footnote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3.</w:t>
      </w:r>
      <w:r>
        <w:rPr>
          <w:b/>
          <w:smallCaps/>
          <w:noProof/>
        </w:rPr>
        <w:tab/>
        <w:t xml:space="preserve">ОЧАКВАНО ФИНАНСОВО ОТРАЖЕНИЕ НА ПРЕДЛОЖЕНИЕТО/ИНИЦИАТИВАТА </w:t>
      </w:r>
    </w:p>
    <w:p>
      <w:pPr>
        <w:keepNext/>
        <w:outlineLvl w:val="1"/>
        <w:rPr>
          <w:b/>
          <w:noProof/>
        </w:rPr>
      </w:pPr>
      <w:r>
        <w:rPr>
          <w:b/>
          <w:noProof/>
        </w:rPr>
        <w:t>3.1.</w:t>
      </w:r>
      <w:r>
        <w:rPr>
          <w:b/>
          <w:noProof/>
        </w:rPr>
        <w:tab/>
        <w:t xml:space="preserve">Съответни функции от многогодишната финансова рамка и разходни бюджетни редове </w:t>
      </w:r>
    </w:p>
    <w:p>
      <w:pPr>
        <w:tabs>
          <w:tab w:val="num" w:pos="1134"/>
        </w:tabs>
        <w:ind w:left="1134" w:hanging="283"/>
        <w:rPr>
          <w:rFonts w:eastAsia="Times New Roman"/>
          <w:noProof/>
        </w:rPr>
      </w:pPr>
      <w:r>
        <w:rPr>
          <w:noProof/>
        </w:rPr>
        <w:t xml:space="preserve">Съществуващи бюджетни редове </w:t>
      </w:r>
    </w:p>
    <w:p>
      <w:pPr>
        <w:ind w:left="850"/>
        <w:rPr>
          <w:i/>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84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sz w:val="18"/>
                <w:szCs w:val="18"/>
              </w:rPr>
            </w:pPr>
            <w:r>
              <w:rPr>
                <w:noProof/>
                <w:sz w:val="18"/>
                <w:szCs w:val="18"/>
              </w:rPr>
              <w:t>Вид на разхода</w:t>
            </w:r>
          </w:p>
        </w:tc>
        <w:tc>
          <w:tcPr>
            <w:tcW w:w="456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rPr>
              <w:t>Многогод./едногод.</w:t>
            </w:r>
            <w:r>
              <w:rPr>
                <w:rStyle w:val="FootnoteReference"/>
                <w:noProof/>
              </w:rPr>
              <w:footnoteReference w:id="9"/>
            </w:r>
          </w:p>
        </w:tc>
        <w:tc>
          <w:tcPr>
            <w:tcW w:w="1076" w:type="dxa"/>
            <w:vAlign w:val="center"/>
          </w:tcPr>
          <w:p>
            <w:pPr>
              <w:jc w:val="center"/>
              <w:rPr>
                <w:noProof/>
              </w:rPr>
            </w:pPr>
            <w:r>
              <w:rPr>
                <w:noProof/>
                <w:sz w:val="18"/>
              </w:rPr>
              <w:t>от държави от ЕАСТ</w:t>
            </w:r>
            <w:r>
              <w:rPr>
                <w:rStyle w:val="FootnoteReference"/>
                <w:noProof/>
              </w:rPr>
              <w:footnoteReference w:id="10"/>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rPr>
              <w:footnoteReference w:id="11"/>
            </w:r>
          </w:p>
          <w:p>
            <w:pPr>
              <w:spacing w:before="0" w:after="0"/>
              <w:jc w:val="center"/>
              <w:rPr>
                <w:noProof/>
                <w:sz w:val="18"/>
              </w:rPr>
            </w:pPr>
          </w:p>
        </w:tc>
        <w:tc>
          <w:tcPr>
            <w:tcW w:w="1084" w:type="dxa"/>
            <w:vAlign w:val="center"/>
          </w:tcPr>
          <w:p>
            <w:pPr>
              <w:jc w:val="center"/>
              <w:rPr>
                <w:noProof/>
                <w:sz w:val="18"/>
              </w:rPr>
            </w:pPr>
            <w:r>
              <w:rPr>
                <w:noProof/>
                <w:sz w:val="18"/>
              </w:rPr>
              <w:t>от трети държави</w:t>
            </w:r>
          </w:p>
        </w:tc>
        <w:tc>
          <w:tcPr>
            <w:tcW w:w="1320"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Установяване на рамка за управление на риболовните дейности, извършвани от риболовните кораби на Европейския съюз във водите на трети държави (СУР)</w:t>
            </w:r>
          </w:p>
        </w:tc>
        <w:tc>
          <w:tcPr>
            <w:tcW w:w="1080" w:type="dxa"/>
            <w:vAlign w:val="center"/>
          </w:tcPr>
          <w:p>
            <w:pPr>
              <w:jc w:val="center"/>
              <w:rPr>
                <w:noProof/>
                <w:color w:val="0000FF"/>
              </w:rPr>
            </w:pPr>
            <w:r>
              <w:rPr>
                <w:noProof/>
                <w:sz w:val="22"/>
              </w:rPr>
              <w:t>Многогод.</w:t>
            </w:r>
          </w:p>
        </w:tc>
        <w:tc>
          <w:tcPr>
            <w:tcW w:w="1076" w:type="dxa"/>
            <w:vAlign w:val="center"/>
          </w:tcPr>
          <w:p>
            <w:pPr>
              <w:jc w:val="center"/>
              <w:rPr>
                <w:noProof/>
                <w:sz w:val="20"/>
                <w:szCs w:val="20"/>
              </w:rPr>
            </w:pPr>
            <w:r>
              <w:rPr>
                <w:noProof/>
                <w:sz w:val="20"/>
              </w:rPr>
              <w:t>НЕ</w:t>
            </w:r>
          </w:p>
        </w:tc>
        <w:tc>
          <w:tcPr>
            <w:tcW w:w="1080" w:type="dxa"/>
            <w:vAlign w:val="center"/>
          </w:tcPr>
          <w:p>
            <w:pPr>
              <w:jc w:val="center"/>
              <w:rPr>
                <w:noProof/>
                <w:sz w:val="20"/>
                <w:szCs w:val="20"/>
              </w:rPr>
            </w:pPr>
            <w:r>
              <w:rPr>
                <w:noProof/>
                <w:sz w:val="20"/>
              </w:rPr>
              <w:t>НЕ</w:t>
            </w:r>
          </w:p>
        </w:tc>
        <w:tc>
          <w:tcPr>
            <w:tcW w:w="1084" w:type="dxa"/>
            <w:vAlign w:val="center"/>
          </w:tcPr>
          <w:p>
            <w:pPr>
              <w:jc w:val="center"/>
              <w:rPr>
                <w:noProof/>
                <w:sz w:val="20"/>
                <w:szCs w:val="20"/>
              </w:rPr>
            </w:pPr>
            <w:r>
              <w:rPr>
                <w:noProof/>
                <w:sz w:val="20"/>
              </w:rPr>
              <w:t>НЕ</w:t>
            </w:r>
          </w:p>
        </w:tc>
        <w:tc>
          <w:tcPr>
            <w:tcW w:w="1320" w:type="dxa"/>
            <w:vAlign w:val="center"/>
          </w:tcPr>
          <w:p>
            <w:pPr>
              <w:jc w:val="center"/>
              <w:rPr>
                <w:noProof/>
                <w:sz w:val="20"/>
                <w:szCs w:val="20"/>
              </w:rPr>
            </w:pPr>
            <w:r>
              <w:rPr>
                <w:noProof/>
                <w:sz w:val="20"/>
              </w:rPr>
              <w:t>НЕ</w:t>
            </w:r>
          </w:p>
        </w:tc>
      </w:tr>
    </w:tbl>
    <w:p>
      <w:pPr>
        <w:tabs>
          <w:tab w:val="num" w:pos="1134"/>
        </w:tabs>
        <w:ind w:left="1134" w:hanging="283"/>
        <w:rPr>
          <w:rFonts w:eastAsia="Times New Roman"/>
          <w:noProof/>
        </w:rPr>
      </w:pPr>
      <w:r>
        <w:rPr>
          <w:noProof/>
        </w:rPr>
        <w:t xml:space="preserve">Поискани нови бюджетни редове </w:t>
      </w:r>
    </w:p>
    <w:p>
      <w:pPr>
        <w:ind w:left="850"/>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84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sz w:val="18"/>
                <w:szCs w:val="18"/>
              </w:rPr>
            </w:pPr>
            <w:r>
              <w:rPr>
                <w:noProof/>
                <w:sz w:val="18"/>
                <w:szCs w:val="18"/>
              </w:rPr>
              <w:t>Вид на разхода</w:t>
            </w:r>
          </w:p>
        </w:tc>
        <w:tc>
          <w:tcPr>
            <w:tcW w:w="456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rPr>
              <w:t>Многогод./едногод.</w:t>
            </w:r>
          </w:p>
        </w:tc>
        <w:tc>
          <w:tcPr>
            <w:tcW w:w="107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1084" w:type="dxa"/>
            <w:vAlign w:val="center"/>
          </w:tcPr>
          <w:p>
            <w:pPr>
              <w:jc w:val="center"/>
              <w:rPr>
                <w:noProof/>
                <w:sz w:val="18"/>
              </w:rPr>
            </w:pPr>
            <w:r>
              <w:rPr>
                <w:noProof/>
                <w:sz w:val="18"/>
              </w:rPr>
              <w:t>от трети държави</w:t>
            </w:r>
          </w:p>
        </w:tc>
        <w:tc>
          <w:tcPr>
            <w:tcW w:w="1320"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ДА/НЕ</w:t>
            </w:r>
          </w:p>
        </w:tc>
        <w:tc>
          <w:tcPr>
            <w:tcW w:w="1080" w:type="dxa"/>
            <w:vAlign w:val="center"/>
          </w:tcPr>
          <w:p>
            <w:pPr>
              <w:jc w:val="center"/>
              <w:rPr>
                <w:noProof/>
                <w:color w:val="0000FF"/>
                <w:sz w:val="20"/>
                <w:szCs w:val="20"/>
              </w:rPr>
            </w:pPr>
            <w:r>
              <w:rPr>
                <w:noProof/>
                <w:sz w:val="20"/>
              </w:rPr>
              <w:t>ДА/НЕ</w:t>
            </w:r>
          </w:p>
        </w:tc>
        <w:tc>
          <w:tcPr>
            <w:tcW w:w="1084" w:type="dxa"/>
            <w:vAlign w:val="center"/>
          </w:tcPr>
          <w:p>
            <w:pPr>
              <w:jc w:val="center"/>
              <w:rPr>
                <w:noProof/>
                <w:color w:val="0000FF"/>
                <w:sz w:val="20"/>
                <w:szCs w:val="20"/>
              </w:rPr>
            </w:pPr>
            <w:r>
              <w:rPr>
                <w:noProof/>
                <w:sz w:val="20"/>
              </w:rPr>
              <w:t>ДА/НЕ</w:t>
            </w:r>
          </w:p>
        </w:tc>
        <w:tc>
          <w:tcPr>
            <w:tcW w:w="1320" w:type="dxa"/>
            <w:vAlign w:val="center"/>
          </w:tcPr>
          <w:p>
            <w:pPr>
              <w:jc w:val="center"/>
              <w:rPr>
                <w:noProof/>
                <w:sz w:val="20"/>
                <w:szCs w:val="20"/>
              </w:rPr>
            </w:pPr>
            <w:r>
              <w:rPr>
                <w:noProof/>
                <w:sz w:val="20"/>
              </w:rPr>
              <w:t>ДА/НЕ</w:t>
            </w:r>
          </w:p>
        </w:tc>
      </w:tr>
    </w:tbl>
    <w:p>
      <w:pPr>
        <w:rPr>
          <w:noProof/>
        </w:rPr>
        <w:sectPr>
          <w:footnotePr>
            <w:numRestart w:val="eachSect"/>
          </w:footnotePr>
          <w:pgSz w:w="11907" w:h="16840" w:code="1"/>
          <w:pgMar w:top="1134" w:right="1418" w:bottom="1134" w:left="1418" w:header="709" w:footer="709" w:gutter="0"/>
          <w:cols w:space="708"/>
          <w:docGrid w:linePitch="360"/>
        </w:sectPr>
      </w:pPr>
    </w:p>
    <w:p>
      <w:pPr>
        <w:keepNext/>
        <w:outlineLvl w:val="1"/>
        <w:rPr>
          <w:b/>
          <w:bCs/>
          <w:noProof/>
          <w:szCs w:val="24"/>
        </w:rPr>
      </w:pPr>
      <w:r>
        <w:rPr>
          <w:b/>
          <w:noProof/>
        </w:rPr>
        <w:t>3.2.</w:t>
      </w:r>
      <w:r>
        <w:rPr>
          <w:b/>
          <w:noProof/>
        </w:rPr>
        <w:tab/>
        <w:t xml:space="preserve">Очаквано финансово отражение на предложението върху бюджетните кредити </w:t>
      </w:r>
    </w:p>
    <w:p>
      <w:pPr>
        <w:keepNext/>
        <w:tabs>
          <w:tab w:val="left" w:pos="850"/>
        </w:tabs>
        <w:outlineLvl w:val="2"/>
        <w:rPr>
          <w:i/>
          <w:noProof/>
        </w:rPr>
      </w:pPr>
      <w:r>
        <w:rPr>
          <w:i/>
          <w:noProof/>
        </w:rPr>
        <w:t>3.2.1.</w:t>
      </w:r>
      <w:r>
        <w:rPr>
          <w:i/>
          <w:noProof/>
        </w:rPr>
        <w:tab/>
        <w:t xml:space="preserve">Обобщение на очакваното отражение върху бюджетните кредити за оперативни разходи </w:t>
      </w:r>
    </w:p>
    <w:p>
      <w:pPr>
        <w:tabs>
          <w:tab w:val="num" w:pos="1134"/>
        </w:tabs>
        <w:ind w:left="1134" w:hanging="283"/>
        <w:rPr>
          <w:rFonts w:eastAsia="Times New Roman"/>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tabs>
          <w:tab w:val="num" w:pos="1134"/>
        </w:tabs>
        <w:ind w:left="1134" w:hanging="283"/>
        <w:rPr>
          <w:rFonts w:eastAsia="Times New Roman"/>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18"/>
          <w:szCs w:val="18"/>
        </w:rPr>
      </w:pPr>
      <w:r>
        <w:rPr>
          <w:noProof/>
          <w:sz w:val="18"/>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Номер</w:t>
            </w:r>
          </w:p>
          <w:p>
            <w:pPr>
              <w:spacing w:before="60" w:after="60"/>
              <w:jc w:val="center"/>
              <w:rPr>
                <w:noProof/>
              </w:rPr>
            </w:pPr>
            <w:r>
              <w:rPr>
                <w:noProof/>
                <w:sz w:val="22"/>
              </w:rPr>
              <w:t>2</w:t>
            </w:r>
          </w:p>
        </w:tc>
        <w:tc>
          <w:tcPr>
            <w:tcW w:w="7817" w:type="dxa"/>
            <w:vAlign w:val="center"/>
          </w:tcPr>
          <w:p>
            <w:pPr>
              <w:spacing w:before="60" w:after="60"/>
              <w:rPr>
                <w:noProof/>
              </w:rPr>
            </w:pPr>
            <w:r>
              <w:rPr>
                <w:noProof/>
              </w:rPr>
              <w:t>Устойчив растеж: природни ресурси</w:t>
            </w:r>
          </w:p>
        </w:tc>
      </w:tr>
    </w:tbl>
    <w:p>
      <w:pPr>
        <w:rPr>
          <w:noProof/>
          <w:sz w:val="16"/>
        </w:rPr>
      </w:pPr>
    </w:p>
    <w:tbl>
      <w:tblPr>
        <w:tblW w:w="104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46"/>
      </w:tblGrid>
      <w:tr>
        <w:tc>
          <w:tcPr>
            <w:tcW w:w="3960" w:type="dxa"/>
            <w:vAlign w:val="center"/>
          </w:tcPr>
          <w:p>
            <w:pPr>
              <w:jc w:val="center"/>
              <w:rPr>
                <w:noProof/>
              </w:rPr>
            </w:pPr>
            <w:r>
              <w:rPr>
                <w:noProof/>
                <w:sz w:val="22"/>
              </w:rPr>
              <w:t>ГД: „Морско дело и рибарство“</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1746"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sz w:val="20"/>
              </w:rPr>
              <w:t>Бюджетен ред</w:t>
            </w:r>
            <w:r>
              <w:rPr>
                <w:rStyle w:val="FootnoteReference"/>
                <w:noProof/>
              </w:rPr>
              <w:footnoteReference w:id="12"/>
            </w:r>
            <w:r>
              <w:rPr>
                <w:noProof/>
                <w:sz w:val="20"/>
              </w:rPr>
              <w:t>11.03.01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61,625</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(2а)</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46" w:type="dxa"/>
            <w:vAlign w:val="center"/>
          </w:tcPr>
          <w:p>
            <w:pPr>
              <w:spacing w:before="20" w:after="20"/>
              <w:jc w:val="right"/>
              <w:rPr>
                <w:b/>
                <w:noProof/>
                <w:sz w:val="20"/>
              </w:rPr>
            </w:pPr>
            <w:r>
              <w:rPr>
                <w:b/>
                <w:noProof/>
                <w:sz w:val="20"/>
              </w:rPr>
              <w:t>61,625</w:t>
            </w:r>
          </w:p>
        </w:tc>
      </w:tr>
      <w:tr>
        <w:tc>
          <w:tcPr>
            <w:tcW w:w="3960" w:type="dxa"/>
            <w:vMerge w:val="restart"/>
            <w:vAlign w:val="center"/>
          </w:tcPr>
          <w:p>
            <w:pPr>
              <w:rPr>
                <w:noProof/>
              </w:rPr>
            </w:pPr>
            <w:r>
              <w:rPr>
                <w:noProof/>
                <w:sz w:val="20"/>
              </w:rPr>
              <w:t>Бюджетен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(1б)</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(2б)</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13"/>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Бюджетен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sz w:val="22"/>
              </w:rPr>
              <w:br/>
            </w:r>
            <w:r>
              <w:rPr>
                <w:b/>
                <w:noProof/>
                <w:sz w:val="22"/>
              </w:rPr>
              <w:t>за ГД „Морско дело и рибарство“</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=1а+1б+3</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61,625</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=2а+2б</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46" w:type="dxa"/>
            <w:vAlign w:val="center"/>
          </w:tcPr>
          <w:p>
            <w:pPr>
              <w:spacing w:before="20" w:after="20"/>
              <w:jc w:val="right"/>
              <w:rPr>
                <w:b/>
                <w:noProof/>
                <w:sz w:val="20"/>
              </w:rPr>
            </w:pPr>
            <w:r>
              <w:rPr>
                <w:b/>
                <w:noProof/>
                <w:sz w:val="20"/>
              </w:rPr>
              <w:t>61,625</w:t>
            </w: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32" w:type="dxa"/>
            <w:vAlign w:val="center"/>
          </w:tcPr>
          <w:p>
            <w:pPr>
              <w:spacing w:before="20" w:after="20"/>
              <w:jc w:val="right"/>
              <w:rPr>
                <w:b/>
                <w:noProof/>
                <w:sz w:val="20"/>
              </w:rPr>
            </w:pPr>
            <w:r>
              <w:rPr>
                <w:b/>
                <w:noProof/>
                <w:sz w:val="20"/>
              </w:rPr>
              <w:t>61,625</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32" w:type="dxa"/>
            <w:vAlign w:val="center"/>
          </w:tcPr>
          <w:p>
            <w:pPr>
              <w:spacing w:before="20" w:after="20"/>
              <w:jc w:val="right"/>
              <w:rPr>
                <w:b/>
                <w:noProof/>
                <w:sz w:val="20"/>
              </w:rPr>
            </w:pPr>
            <w:r>
              <w:rPr>
                <w:b/>
                <w:noProof/>
                <w:sz w:val="20"/>
              </w:rPr>
              <w:t>61,625</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за ФУНКЦИЯ &lt;2.&gt;</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32" w:type="dxa"/>
          </w:tcPr>
          <w:p>
            <w:pPr>
              <w:spacing w:before="20" w:after="20"/>
              <w:jc w:val="right"/>
              <w:rPr>
                <w:b/>
                <w:noProof/>
                <w:sz w:val="20"/>
              </w:rPr>
            </w:pPr>
            <w:r>
              <w:rPr>
                <w:b/>
                <w:noProof/>
                <w:sz w:val="20"/>
              </w:rPr>
              <w:t>61,625</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=5+6</w:t>
            </w:r>
          </w:p>
        </w:tc>
        <w:tc>
          <w:tcPr>
            <w:tcW w:w="868" w:type="dxa"/>
          </w:tcPr>
          <w:p>
            <w:pPr>
              <w:spacing w:before="20" w:after="20"/>
              <w:jc w:val="right"/>
              <w:rPr>
                <w:noProof/>
                <w:sz w:val="20"/>
              </w:rPr>
            </w:pPr>
            <w:r>
              <w:rPr>
                <w:noProof/>
                <w:sz w:val="20"/>
              </w:rPr>
              <w:t>57,500</w:t>
            </w:r>
          </w:p>
        </w:tc>
        <w:tc>
          <w:tcPr>
            <w:tcW w:w="868" w:type="dxa"/>
          </w:tcPr>
          <w:p>
            <w:pPr>
              <w:spacing w:before="20" w:after="20"/>
              <w:jc w:val="right"/>
              <w:rPr>
                <w:noProof/>
                <w:sz w:val="20"/>
              </w:rPr>
            </w:pPr>
          </w:p>
        </w:tc>
        <w:tc>
          <w:tcPr>
            <w:tcW w:w="868" w:type="dxa"/>
          </w:tcPr>
          <w:p>
            <w:pPr>
              <w:spacing w:before="20" w:after="20"/>
              <w:jc w:val="right"/>
              <w:rPr>
                <w:noProof/>
                <w:sz w:val="20"/>
              </w:rPr>
            </w:pPr>
            <w:r>
              <w:rPr>
                <w:noProof/>
                <w:sz w:val="20"/>
              </w:rPr>
              <w:t>4,125</w:t>
            </w:r>
          </w:p>
        </w:tc>
        <w:tc>
          <w:tcPr>
            <w:tcW w:w="1732" w:type="dxa"/>
          </w:tcPr>
          <w:p>
            <w:pPr>
              <w:spacing w:before="20" w:after="20"/>
              <w:jc w:val="right"/>
              <w:rPr>
                <w:b/>
                <w:noProof/>
                <w:sz w:val="20"/>
              </w:rPr>
            </w:pPr>
            <w:r>
              <w:rPr>
                <w:b/>
                <w:noProof/>
                <w:sz w:val="20"/>
              </w:rPr>
              <w:t>61,625</w:t>
            </w:r>
          </w:p>
        </w:tc>
      </w:tr>
    </w:tbl>
    <w:p>
      <w:pPr>
        <w:spacing w:after="40"/>
        <w:rPr>
          <w:b/>
          <w:noProof/>
          <w:sz w:val="22"/>
          <w:u w:val="single"/>
        </w:rPr>
      </w:pPr>
      <w:r>
        <w:rPr>
          <w:b/>
          <w:noProof/>
          <w:sz w:val="22"/>
          <w:u w:val="single"/>
        </w:rPr>
        <w:t>Ако предложението/инициативата има отражение върху повече от една оперативна функция, да се повтори частта по-горе:</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rPr>
              <w:t>ОБЩО бюджетни кредити за оперативни разходи (всички оперативни функции)</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ОБЩО бюджетни кредити за административни разходи, финансирани от пакета за определени програми (всички оперативни функции)</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77" w:type="dxa"/>
            <w:tcBorders>
              <w:right w:val="single" w:sz="4" w:space="0" w:color="auto"/>
            </w:tcBorders>
          </w:tcPr>
          <w:p>
            <w:pPr>
              <w:spacing w:before="20" w:after="20"/>
              <w:jc w:val="right"/>
              <w:rPr>
                <w:b/>
                <w:noProof/>
                <w:sz w:val="20"/>
              </w:rPr>
            </w:pPr>
            <w:r>
              <w:rPr>
                <w:b/>
                <w:noProof/>
                <w:sz w:val="20"/>
              </w:rPr>
              <w:t>61,625</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=5+6</w:t>
            </w:r>
          </w:p>
        </w:tc>
        <w:tc>
          <w:tcPr>
            <w:tcW w:w="868" w:type="dxa"/>
            <w:tcBorders>
              <w:bottom w:val="single" w:sz="4" w:space="0" w:color="auto"/>
            </w:tcBorders>
          </w:tcPr>
          <w:p>
            <w:pPr>
              <w:spacing w:before="20" w:after="20"/>
              <w:jc w:val="right"/>
              <w:rPr>
                <w:noProof/>
                <w:sz w:val="20"/>
              </w:rPr>
            </w:pPr>
            <w:r>
              <w:rPr>
                <w:noProof/>
                <w:sz w:val="20"/>
              </w:rPr>
              <w:t>57,500</w:t>
            </w:r>
          </w:p>
        </w:tc>
        <w:tc>
          <w:tcPr>
            <w:tcW w:w="868" w:type="dxa"/>
            <w:tcBorders>
              <w:bottom w:val="single" w:sz="4" w:space="0" w:color="auto"/>
            </w:tcBorders>
          </w:tcPr>
          <w:p>
            <w:pPr>
              <w:spacing w:before="20" w:after="20"/>
              <w:jc w:val="right"/>
              <w:rPr>
                <w:noProof/>
                <w:sz w:val="20"/>
              </w:rPr>
            </w:pPr>
          </w:p>
        </w:tc>
        <w:tc>
          <w:tcPr>
            <w:tcW w:w="868" w:type="dxa"/>
            <w:tcBorders>
              <w:bottom w:val="single" w:sz="4" w:space="0" w:color="auto"/>
            </w:tcBorders>
          </w:tcPr>
          <w:p>
            <w:pPr>
              <w:spacing w:before="20" w:after="20"/>
              <w:jc w:val="right"/>
              <w:rPr>
                <w:noProof/>
                <w:sz w:val="20"/>
              </w:rPr>
            </w:pPr>
            <w:r>
              <w:rPr>
                <w:noProof/>
                <w:sz w:val="20"/>
              </w:rPr>
              <w:t>4,125</w:t>
            </w:r>
          </w:p>
        </w:tc>
        <w:tc>
          <w:tcPr>
            <w:tcW w:w="1777" w:type="dxa"/>
            <w:tcBorders>
              <w:bottom w:val="single" w:sz="4" w:space="0" w:color="auto"/>
              <w:right w:val="single" w:sz="4" w:space="0" w:color="auto"/>
            </w:tcBorders>
          </w:tcPr>
          <w:p>
            <w:pPr>
              <w:spacing w:before="20" w:after="20"/>
              <w:jc w:val="right"/>
              <w:rPr>
                <w:b/>
                <w:noProof/>
                <w:sz w:val="20"/>
              </w:rPr>
            </w:pPr>
            <w:r>
              <w:rPr>
                <w:b/>
                <w:noProof/>
                <w:sz w:val="20"/>
              </w:rPr>
              <w:t>61,625</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left"/>
        <w:rPr>
          <w:noProof/>
          <w:sz w:val="20"/>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3">
        <w:r>
          <w:rPr>
            <w:noProof/>
            <w:color w:val="0000FF"/>
            <w:u w:val="single"/>
          </w:rPr>
          <w:t>приложението към финансовата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1777" w:type="dxa"/>
            <w:vAlign w:val="center"/>
          </w:tcPr>
          <w:p>
            <w:pPr>
              <w:jc w:val="center"/>
              <w:rPr>
                <w:b/>
                <w:noProof/>
                <w:sz w:val="20"/>
              </w:rPr>
            </w:pPr>
            <w:r>
              <w:rPr>
                <w:b/>
                <w:noProof/>
                <w:sz w:val="20"/>
              </w:rPr>
              <w:t>ОБЩО</w:t>
            </w:r>
          </w:p>
        </w:tc>
      </w:tr>
      <w:tr>
        <w:trPr>
          <w:gridAfter w:val="6"/>
          <w:wAfter w:w="6475" w:type="dxa"/>
        </w:trPr>
        <w:tc>
          <w:tcPr>
            <w:tcW w:w="3960" w:type="dxa"/>
            <w:vAlign w:val="center"/>
          </w:tcPr>
          <w:p>
            <w:pPr>
              <w:spacing w:before="60" w:after="60"/>
              <w:jc w:val="center"/>
              <w:rPr>
                <w:noProof/>
              </w:rPr>
            </w:pPr>
            <w:r>
              <w:rPr>
                <w:noProof/>
                <w:sz w:val="22"/>
              </w:rPr>
              <w:t>ГД: „Морско дело и рибарство“</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ГД</w:t>
            </w:r>
            <w:r>
              <w:rPr>
                <w:noProof/>
                <w:sz w:val="22"/>
              </w:rPr>
              <w:t xml:space="preserve"> „Морско дело и рибарство“</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77" w:type="dxa"/>
          </w:tcPr>
          <w:p>
            <w:pPr>
              <w:spacing w:before="20" w:after="20"/>
              <w:jc w:val="right"/>
              <w:rPr>
                <w:b/>
                <w:noProof/>
                <w:sz w:val="20"/>
              </w:rPr>
            </w:pPr>
            <w:r>
              <w:rPr>
                <w:b/>
                <w:noProof/>
                <w:sz w:val="20"/>
              </w:rPr>
              <w:t>61,625</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tcPr>
          <w:p>
            <w:pPr>
              <w:spacing w:before="20" w:after="20"/>
              <w:jc w:val="right"/>
              <w:rPr>
                <w:noProof/>
                <w:sz w:val="20"/>
              </w:rPr>
            </w:pPr>
            <w:r>
              <w:rPr>
                <w:noProof/>
                <w:sz w:val="20"/>
              </w:rPr>
              <w:t>57,500</w:t>
            </w:r>
          </w:p>
        </w:tc>
        <w:tc>
          <w:tcPr>
            <w:tcW w:w="868" w:type="dxa"/>
          </w:tcPr>
          <w:p>
            <w:pPr>
              <w:spacing w:before="20" w:after="20"/>
              <w:jc w:val="right"/>
              <w:rPr>
                <w:noProof/>
                <w:sz w:val="20"/>
              </w:rPr>
            </w:pPr>
          </w:p>
        </w:tc>
        <w:tc>
          <w:tcPr>
            <w:tcW w:w="868" w:type="dxa"/>
          </w:tcPr>
          <w:p>
            <w:pPr>
              <w:spacing w:before="20" w:after="20"/>
              <w:jc w:val="right"/>
              <w:rPr>
                <w:noProof/>
                <w:sz w:val="20"/>
              </w:rPr>
            </w:pPr>
            <w:r>
              <w:rPr>
                <w:noProof/>
                <w:sz w:val="20"/>
              </w:rPr>
              <w:t>4,125</w:t>
            </w:r>
          </w:p>
        </w:tc>
        <w:tc>
          <w:tcPr>
            <w:tcW w:w="1777" w:type="dxa"/>
          </w:tcPr>
          <w:p>
            <w:pPr>
              <w:spacing w:before="20" w:after="20"/>
              <w:jc w:val="right"/>
              <w:rPr>
                <w:b/>
                <w:noProof/>
                <w:sz w:val="20"/>
              </w:rPr>
            </w:pPr>
            <w:r>
              <w:rPr>
                <w:b/>
                <w:noProof/>
                <w:sz w:val="20"/>
              </w:rPr>
              <w:t>61,625</w:t>
            </w:r>
          </w:p>
        </w:tc>
      </w:tr>
    </w:tbl>
    <w:p>
      <w:pPr>
        <w:rPr>
          <w:noProof/>
        </w:rPr>
      </w:pPr>
    </w:p>
    <w:p>
      <w:pPr>
        <w:keepNext/>
        <w:tabs>
          <w:tab w:val="left" w:pos="850"/>
        </w:tabs>
        <w:outlineLvl w:val="2"/>
        <w:rPr>
          <w:bCs/>
          <w:i/>
          <w:noProof/>
          <w:szCs w:val="24"/>
        </w:rPr>
      </w:pPr>
      <w:r>
        <w:rPr>
          <w:i/>
          <w:noProof/>
        </w:rPr>
        <w:t>3.2.2.</w:t>
      </w:r>
      <w:r>
        <w:rPr>
          <w:i/>
          <w:noProof/>
        </w:rPr>
        <w:tab/>
        <w:t xml:space="preserve">Очакван резултат, финансиран с бюджетни кредити за оперативни разходи </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720"/>
        <w:gridCol w:w="180"/>
        <w:gridCol w:w="720"/>
        <w:gridCol w:w="900"/>
      </w:tblGrid>
      <w:tr>
        <w:trPr>
          <w:gridAfter w:val="1"/>
          <w:wAfter w:w="900" w:type="dxa"/>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2019</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2020</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2021</w:t>
            </w:r>
          </w:p>
        </w:tc>
        <w:tc>
          <w:tcPr>
            <w:tcW w:w="1620" w:type="dxa"/>
            <w:gridSpan w:val="3"/>
            <w:tcBorders>
              <w:left w:val="nil"/>
              <w:bottom w:val="nil"/>
            </w:tcBorders>
            <w:vAlign w:val="center"/>
          </w:tcPr>
          <w:p>
            <w:pPr>
              <w:ind w:right="-29"/>
              <w:jc w:val="center"/>
              <w:rPr>
                <w:noProof/>
                <w:sz w:val="18"/>
                <w:szCs w:val="18"/>
              </w:rPr>
            </w:pPr>
            <w:r>
              <w:rPr>
                <w:b/>
                <w:noProof/>
                <w:sz w:val="18"/>
              </w:rPr>
              <w:t>ОБЩО</w:t>
            </w:r>
          </w:p>
        </w:tc>
      </w:tr>
      <w:tr>
        <w:trPr>
          <w:gridAfter w:val="12"/>
          <w:wAfter w:w="7865" w:type="dxa"/>
          <w:trHeight w:val="465"/>
          <w:jc w:val="center"/>
        </w:trPr>
        <w:tc>
          <w:tcPr>
            <w:tcW w:w="1423" w:type="dxa"/>
            <w:vMerge/>
            <w:vAlign w:val="center"/>
          </w:tcPr>
          <w:p>
            <w:pPr>
              <w:ind w:right="-29"/>
              <w:jc w:val="center"/>
              <w:rPr>
                <w:noProof/>
                <w:sz w:val="18"/>
                <w:szCs w:val="18"/>
              </w:rPr>
            </w:pP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rPr>
              <w:footnoteReference w:id="14"/>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rPr>
              <w:footnoteReference w:id="15"/>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xml:space="preserve">— Достъп </w:t>
            </w:r>
          </w:p>
        </w:tc>
        <w:tc>
          <w:tcPr>
            <w:tcW w:w="720" w:type="dxa"/>
          </w:tcPr>
          <w:p>
            <w:pPr>
              <w:ind w:right="-29"/>
              <w:jc w:val="center"/>
              <w:rPr>
                <w:noProof/>
                <w:sz w:val="18"/>
                <w:szCs w:val="18"/>
              </w:rPr>
            </w:pPr>
            <w:r>
              <w:rPr>
                <w:noProof/>
                <w:sz w:val="18"/>
                <w:szCs w:val="18"/>
              </w:rPr>
              <w:t>Годишно</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57,5</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57,5</w:t>
            </w:r>
          </w:p>
          <w:p>
            <w:pPr>
              <w:ind w:right="-29"/>
              <w:jc w:val="center"/>
              <w:rPr>
                <w:noProof/>
                <w:sz w:val="18"/>
                <w:szCs w:val="18"/>
              </w:rPr>
            </w:pPr>
            <w:r>
              <w:rPr>
                <w:noProof/>
                <w:sz w:val="18"/>
                <w:szCs w:val="18"/>
              </w:rPr>
              <w:t>4,125</w:t>
            </w:r>
          </w:p>
          <w:p>
            <w:pPr>
              <w:ind w:right="-29"/>
              <w:jc w:val="center"/>
              <w:rPr>
                <w:noProof/>
                <w:sz w:val="18"/>
                <w:szCs w:val="18"/>
              </w:rPr>
            </w:pPr>
          </w:p>
          <w:p>
            <w:pPr>
              <w:ind w:right="-29"/>
              <w:jc w:val="center"/>
              <w:rPr>
                <w:noProof/>
                <w:sz w:val="18"/>
                <w:szCs w:val="18"/>
              </w:rPr>
            </w:pPr>
            <w:r>
              <w:rPr>
                <w:noProof/>
                <w:sz w:val="18"/>
                <w:szCs w:val="18"/>
              </w:rPr>
              <w:t>61,625</w:t>
            </w:r>
          </w:p>
        </w:tc>
      </w:tr>
      <w:tr>
        <w:trPr>
          <w:trHeight w:hRule="exact" w:val="369"/>
          <w:jc w:val="center"/>
        </w:trPr>
        <w:tc>
          <w:tcPr>
            <w:tcW w:w="1423" w:type="dxa"/>
          </w:tcPr>
          <w:p>
            <w:pPr>
              <w:ind w:right="-29"/>
              <w:jc w:val="center"/>
              <w:rPr>
                <w:noProof/>
                <w:sz w:val="18"/>
                <w:szCs w:val="18"/>
              </w:rPr>
            </w:pPr>
            <w:r>
              <w:rPr>
                <w:noProof/>
                <w:sz w:val="18"/>
              </w:rPr>
              <w:t>— Секторна подкрепа</w:t>
            </w:r>
          </w:p>
        </w:tc>
        <w:tc>
          <w:tcPr>
            <w:tcW w:w="720" w:type="dxa"/>
          </w:tcPr>
          <w:p>
            <w:pPr>
              <w:ind w:right="-29"/>
              <w:jc w:val="center"/>
              <w:rPr>
                <w:noProof/>
                <w:sz w:val="18"/>
                <w:szCs w:val="18"/>
              </w:rPr>
            </w:pPr>
            <w:r>
              <w:rPr>
                <w:noProof/>
                <w:sz w:val="18"/>
                <w:szCs w:val="18"/>
              </w:rPr>
              <w:t>Годишно</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4,125</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4,125</w:t>
            </w: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61,625</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61,625</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gridAfter w:val="1"/>
          <w:wAfter w:w="900" w:type="dxa"/>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61,625</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61,625</w:t>
            </w:r>
          </w:p>
        </w:tc>
      </w:tr>
    </w:tbl>
    <w:p>
      <w:pPr>
        <w:rPr>
          <w:noProof/>
        </w:rPr>
        <w:sectPr>
          <w:headerReference w:type="default" r:id="rId14"/>
          <w:footerReference w:type="default" r:id="rId15"/>
          <w:headerReference w:type="first" r:id="rId16"/>
          <w:footerReference w:type="first" r:id="rId17"/>
          <w:footnotePr>
            <w:numRestart w:val="eachSect"/>
          </w:footnotePr>
          <w:pgSz w:w="16840" w:h="11907" w:orient="landscape" w:code="9"/>
          <w:pgMar w:top="1134" w:right="1418" w:bottom="567" w:left="1418" w:header="709" w:footer="709" w:gutter="0"/>
          <w:cols w:space="708"/>
          <w:docGrid w:linePitch="360"/>
        </w:sectPr>
      </w:pPr>
    </w:p>
    <w:p>
      <w:pPr>
        <w:keepNext/>
        <w:tabs>
          <w:tab w:val="left" w:pos="850"/>
        </w:tabs>
        <w:outlineLvl w:val="2"/>
        <w:rPr>
          <w:bCs/>
          <w:i/>
          <w:noProof/>
          <w:szCs w:val="24"/>
        </w:rPr>
      </w:pPr>
      <w:r>
        <w:rPr>
          <w:i/>
          <w:noProof/>
        </w:rPr>
        <w:t>3.3.2.</w:t>
      </w:r>
      <w:r>
        <w:rPr>
          <w:i/>
          <w:noProof/>
        </w:rPr>
        <w:tab/>
        <w:t xml:space="preserve">Обобщение на очакваното отражение върху бюджетните кредити за административни разходи </w:t>
      </w:r>
    </w:p>
    <w:p>
      <w:pPr>
        <w:tabs>
          <w:tab w:val="num" w:pos="1134"/>
        </w:tabs>
        <w:ind w:left="1134" w:hanging="283"/>
        <w:rPr>
          <w:rFonts w:eastAsia="Times New Roman"/>
          <w:noProof/>
        </w:rPr>
      </w:pPr>
      <w:r>
        <w:rPr>
          <w:noProof/>
        </w:rPr>
        <w:t>X</w:t>
      </w:r>
      <w:r>
        <w:rPr>
          <w:noProof/>
        </w:rPr>
        <w:tab/>
        <w:t xml:space="preserve">Предложението/инициативата не налага използване на бюджетни кредити за административни разходи </w:t>
      </w:r>
    </w:p>
    <w:p>
      <w:pPr>
        <w:tabs>
          <w:tab w:val="num" w:pos="1134"/>
        </w:tabs>
        <w:ind w:left="1134" w:hanging="283"/>
        <w:rPr>
          <w:rFonts w:eastAsia="Times New Roman"/>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 xml:space="preserve">N </w:t>
            </w:r>
            <w:r>
              <w:rPr>
                <w:rStyle w:val="FootnoteReference"/>
                <w:noProof/>
              </w:rPr>
              <w:footnoteReference w:id="16"/>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8"/>
                <w:szCs w:val="18"/>
              </w:rPr>
              <w:t xml:space="preserve">ФУНКЦИЯ </w:t>
            </w:r>
            <w:r>
              <w:rPr>
                <w:b/>
                <w:noProof/>
                <w:sz w:val="16"/>
              </w:rPr>
              <w:t>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Извън ФУНКЦИЯ 5</w:t>
            </w:r>
            <w:r>
              <w:rPr>
                <w:rStyle w:val="FootnoteReference"/>
                <w:b/>
                <w:noProof/>
                <w:sz w:val="16"/>
                <w:szCs w:val="16"/>
              </w:rPr>
              <w:footnoteReference w:id="17"/>
            </w:r>
            <w:r>
              <w:rPr>
                <w:noProof/>
                <w:sz w:val="16"/>
                <w:szCs w:val="16"/>
              </w:rPr>
              <w:b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sz w:val="22"/>
              </w:rPr>
              <w:br/>
            </w:r>
            <w:r>
              <w:rPr>
                <w:b/>
                <w:noProof/>
                <w:sz w:val="16"/>
              </w:rPr>
              <w:t>извън 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бюджетните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18"/>
          <w:footerReference w:type="default" r:id="rId19"/>
          <w:headerReference w:type="first" r:id="rId20"/>
          <w:footerReference w:type="first" r:id="rId21"/>
          <w:footnotePr>
            <w:numRestart w:val="eachSect"/>
          </w:footnotePr>
          <w:pgSz w:w="11907" w:h="16840"/>
          <w:pgMar w:top="1134" w:right="1418" w:bottom="1134" w:left="1418" w:header="709" w:footer="709" w:gutter="0"/>
          <w:cols w:space="708"/>
          <w:docGrid w:linePitch="360"/>
        </w:sectPr>
      </w:pPr>
    </w:p>
    <w:p>
      <w:pPr>
        <w:keepNext/>
        <w:outlineLvl w:val="3"/>
        <w:rPr>
          <w:bCs/>
          <w:noProof/>
          <w:szCs w:val="24"/>
        </w:rPr>
      </w:pPr>
      <w:r>
        <w:rPr>
          <w:noProof/>
        </w:rPr>
        <w:t>3.2.3.1.</w:t>
      </w:r>
      <w:r>
        <w:rPr>
          <w:noProof/>
        </w:rPr>
        <w:tab/>
        <w:t xml:space="preserve">Очаквани нужди от човешки ресурси </w:t>
      </w:r>
    </w:p>
    <w:p>
      <w:pPr>
        <w:tabs>
          <w:tab w:val="num" w:pos="1134"/>
        </w:tabs>
        <w:ind w:left="1134" w:hanging="283"/>
        <w:rPr>
          <w:rFonts w:eastAsia="Times New Roman"/>
          <w:noProof/>
        </w:rPr>
      </w:pPr>
      <w:r>
        <w:rPr>
          <w:noProof/>
        </w:rPr>
        <w:t>X</w:t>
      </w:r>
      <w:r>
        <w:rPr>
          <w:noProof/>
        </w:rPr>
        <w:tab/>
        <w:t xml:space="preserve">Предложението/инициативата не налага използване на човешки ресурси. </w:t>
      </w:r>
    </w:p>
    <w:p>
      <w:pPr>
        <w:tabs>
          <w:tab w:val="num" w:pos="1134"/>
        </w:tabs>
        <w:ind w:left="1134" w:hanging="283"/>
        <w:rPr>
          <w:rFonts w:eastAsia="Times New Roman"/>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600" w:type="dxa"/>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noProof/>
              </w:rPr>
              <w:t xml:space="preserve"> </w:t>
            </w:r>
            <w:r>
              <w:rPr>
                <w:b/>
                <w:noProof/>
                <w:sz w:val="16"/>
              </w:rPr>
              <w:t>Длъжности в щатното разписание (длъжностни лица и временно наети лица)</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01 02 (Делегации)</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05 01/11/21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10 01 05 01/11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spacing w:before="60" w:after="60"/>
              <w:jc w:val="left"/>
              <w:rPr>
                <w:b/>
                <w:noProof/>
                <w:sz w:val="16"/>
                <w:szCs w:val="16"/>
              </w:rPr>
            </w:pPr>
            <w:r>
              <w:rPr>
                <w:b/>
                <w:noProof/>
                <w:sz w:val="16"/>
              </w:rPr>
              <w:sym w:font="Wingdings" w:char="F09F"/>
            </w:r>
            <w:r>
              <w:rPr>
                <w:noProof/>
              </w:rPr>
              <w:t xml:space="preserve"> </w:t>
            </w:r>
            <w:r>
              <w:rPr>
                <w:b/>
                <w:noProof/>
                <w:sz w:val="16"/>
              </w:rPr>
              <w:t>Външен персонал (в еквивалент на пълно работно време — ЕПРВ)</w:t>
            </w:r>
            <w:r>
              <w:rPr>
                <w:rStyle w:val="FootnoteReference"/>
                <w:noProof/>
              </w:rPr>
              <w:footnoteReference w:id="18"/>
            </w:r>
          </w:p>
          <w:p>
            <w:pPr>
              <w:spacing w:before="0" w:after="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b/>
                <w:noProof/>
                <w:sz w:val="16"/>
                <w:szCs w:val="16"/>
              </w:rPr>
            </w:pPr>
            <w:r>
              <w:rPr>
                <w:noProof/>
                <w:sz w:val="16"/>
              </w:rPr>
              <w:t>XX 01 02 01 (ДНП, КНЕ и ПНА от общия финансов пакет)</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XX 01 02 02 (ДНП, МП, КНЕ, ПНА и МЕД в делегациите)</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гг</w:t>
            </w:r>
            <w:r>
              <w:rPr>
                <w:b/>
                <w:i/>
                <w:noProof/>
                <w:sz w:val="16"/>
              </w:rPr>
              <w:t xml:space="preserve"> </w:t>
            </w:r>
            <w:r>
              <w:rPr>
                <w:rStyle w:val="FootnoteReference"/>
                <w:noProof/>
              </w:rPr>
              <w:footnoteReference w:id="19"/>
            </w:r>
          </w:p>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в централата</w:t>
            </w:r>
          </w:p>
          <w:p>
            <w:pPr>
              <w:spacing w:beforeLines="20" w:before="48" w:afterLines="20" w:after="48"/>
              <w:ind w:left="136"/>
              <w:jc w:val="left"/>
              <w:rPr>
                <w:b/>
                <w:noProof/>
                <w:sz w:val="16"/>
                <w:szCs w:val="16"/>
              </w:rPr>
            </w:pP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02/12/22 (ДНП, КНЕ, ПНА —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10 01 05 02/12 (ДНП, КНЕ, ПНА —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Други бюджетни редове (да се посочат)</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ОБЩО</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rPr>
        <w:t>XX</w:t>
      </w:r>
      <w:r>
        <w:rPr>
          <w:noProof/>
          <w:sz w:val="18"/>
        </w:rPr>
        <w:t xml:space="preserve"> е съответната област на политика или бюджетен дял.</w:t>
      </w:r>
    </w:p>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rPr>
              <w:t>Прилагане на протокола (плащания, достъп на кораби на Съюза до водите на Мавритания, обработване на разрешенията за риболов), подготовка на заседанията на съвместните комитети и съответни последващи действия, подготовка за подновяването на протокола: външна оценка, законодателни процедури, преговори.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rPr>
              <w:t>Изпълнение на протокола: контакти с органите на Мавритания във връзка с достъпа на кораби на Съюза до водите на Мавритания, обработване на разрешенията за риболов, подготовка на заседанията на съвместните комитети и съответни последващи действия, по-специално изпълнението на секторната подкрепа.</w:t>
            </w:r>
          </w:p>
        </w:tc>
      </w:tr>
    </w:tbl>
    <w:p>
      <w:pPr>
        <w:rPr>
          <w:noProof/>
        </w:rPr>
        <w:sectPr>
          <w:footnotePr>
            <w:numRestart w:val="eachSect"/>
          </w:footnotePr>
          <w:pgSz w:w="11907" w:h="16840"/>
          <w:pgMar w:top="1134" w:right="1418" w:bottom="1134" w:left="1418" w:header="709" w:footer="709" w:gutter="0"/>
          <w:cols w:space="708"/>
          <w:docGrid w:linePitch="360"/>
        </w:sectPr>
      </w:pPr>
    </w:p>
    <w:p>
      <w:pPr>
        <w:keepNext/>
        <w:tabs>
          <w:tab w:val="left" w:pos="850"/>
        </w:tabs>
        <w:outlineLvl w:val="2"/>
        <w:rPr>
          <w:i/>
          <w:noProof/>
        </w:rPr>
      </w:pPr>
      <w:r>
        <w:rPr>
          <w:i/>
          <w:noProof/>
        </w:rPr>
        <w:t>3.4.2.</w:t>
      </w:r>
      <w:r>
        <w:rPr>
          <w:i/>
          <w:noProof/>
        </w:rPr>
        <w:tab/>
        <w:t xml:space="preserve">Съвместимост с настоящата многогодишна финансова рамка </w:t>
      </w:r>
    </w:p>
    <w:p>
      <w:pPr>
        <w:ind w:left="850"/>
        <w:rPr>
          <w:noProof/>
        </w:rPr>
      </w:pPr>
      <w:r>
        <w:rPr>
          <w:noProof/>
        </w:rPr>
        <w:t>Предложението/инициативата:</w:t>
      </w:r>
    </w:p>
    <w:p>
      <w:pPr>
        <w:tabs>
          <w:tab w:val="num" w:pos="1134"/>
        </w:tabs>
        <w:ind w:left="1134" w:hanging="283"/>
        <w:rPr>
          <w:rFonts w:eastAsia="Times New Roman"/>
          <w:noProof/>
        </w:rPr>
      </w:pPr>
      <w:r>
        <w:rPr>
          <w:noProof/>
        </w:rPr>
        <w:t>X</w:t>
      </w:r>
      <w:r>
        <w:rPr>
          <w:noProof/>
        </w:rPr>
        <w:tab/>
        <w:t>може да се финансира изцяло чрез преразпределяне на средства в рамките на съответната функция от многогодишната финансова рамка (МФР).</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Отнася се за използването на бюджетния ред „Резерви“ (глава 40).</w:t>
      </w:r>
    </w:p>
    <w:p>
      <w:pPr>
        <w:tabs>
          <w:tab w:val="num" w:pos="1134"/>
        </w:tabs>
        <w:ind w:left="1134" w:hanging="283"/>
        <w:rPr>
          <w:rFonts w:eastAsia="Times New Roman"/>
          <w:noProof/>
        </w:rPr>
      </w:pPr>
      <w:r>
        <w:rPr>
          <w:noProof/>
        </w:rPr>
        <w:sym w:font="Wingdings" w:char="F0A8"/>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Да се обясни какво е необходимо, като се посочат съответните функции, бюджетни редове и суми и инструментите, които се предлага да бъдат използвани.</w:t>
      </w:r>
    </w:p>
    <w:p>
      <w:pPr>
        <w:tabs>
          <w:tab w:val="num" w:pos="1134"/>
        </w:tabs>
        <w:ind w:left="1134" w:hanging="283"/>
        <w:rPr>
          <w:rFonts w:eastAsia="Times New Roman"/>
          <w:noProof/>
        </w:rPr>
      </w:pPr>
      <w:r>
        <w:rPr>
          <w:noProof/>
        </w:rPr>
        <w:sym w:font="Wingdings" w:char="F0A8"/>
      </w:r>
      <w:r>
        <w:rPr>
          <w:noProof/>
        </w:rPr>
        <w:tab/>
        <w:t>налага преразглеждане на МФР.</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Да се обясни какво е необходимо, като се посочат съответните функции, бюджетни редове и суми.</w:t>
      </w:r>
    </w:p>
    <w:p>
      <w:pPr>
        <w:keepNext/>
        <w:tabs>
          <w:tab w:val="left" w:pos="850"/>
        </w:tabs>
        <w:outlineLvl w:val="2"/>
        <w:rPr>
          <w:bCs/>
          <w:i/>
          <w:noProof/>
          <w:szCs w:val="24"/>
        </w:rPr>
      </w:pPr>
      <w:r>
        <w:rPr>
          <w:i/>
          <w:noProof/>
        </w:rPr>
        <w:t>3.5.2.</w:t>
      </w:r>
      <w:r>
        <w:rPr>
          <w:i/>
          <w:noProof/>
        </w:rPr>
        <w:tab/>
        <w:t xml:space="preserve">Участие на трети страни във финансирането </w:t>
      </w:r>
    </w:p>
    <w:p>
      <w:pPr>
        <w:ind w:left="850"/>
        <w:rPr>
          <w:noProof/>
        </w:rPr>
      </w:pPr>
      <w:r>
        <w:rPr>
          <w:noProof/>
        </w:rPr>
        <w:t>Предложението/инициативата:</w:t>
      </w:r>
    </w:p>
    <w:p>
      <w:pPr>
        <w:tabs>
          <w:tab w:val="num" w:pos="1134"/>
        </w:tabs>
        <w:ind w:left="1134" w:hanging="283"/>
        <w:rPr>
          <w:rFonts w:eastAsia="Times New Roman"/>
          <w:noProof/>
        </w:rPr>
      </w:pPr>
      <w:r>
        <w:rPr>
          <w:noProof/>
        </w:rPr>
        <w:t>X</w:t>
      </w:r>
      <w:r>
        <w:rPr>
          <w:noProof/>
        </w:rPr>
        <w:tab/>
        <w:t>не предвижда съфинансиране от трети страни</w:t>
      </w:r>
    </w:p>
    <w:p>
      <w:pPr>
        <w:tabs>
          <w:tab w:val="num" w:pos="1134"/>
        </w:tabs>
        <w:ind w:left="1134" w:hanging="283"/>
        <w:rPr>
          <w:rFonts w:eastAsia="Times New Roman"/>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r>
              <w:rPr>
                <w:rStyle w:val="FootnoteReference"/>
                <w:noProof/>
              </w:rPr>
              <w:footnoteReference w:id="20"/>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keepNext/>
        <w:outlineLvl w:val="1"/>
        <w:rPr>
          <w:b/>
          <w:bCs/>
          <w:noProof/>
          <w:szCs w:val="24"/>
        </w:rPr>
      </w:pPr>
      <w:r>
        <w:rPr>
          <w:noProof/>
        </w:rPr>
        <w:br w:type="page"/>
      </w:r>
      <w:r>
        <w:rPr>
          <w:b/>
          <w:noProof/>
        </w:rPr>
        <w:t>3.3.</w:t>
      </w:r>
      <w:r>
        <w:rPr>
          <w:b/>
          <w:noProof/>
        </w:rPr>
        <w:tab/>
        <w:t xml:space="preserve">Очаквано отражение върху приходите </w:t>
      </w:r>
    </w:p>
    <w:p>
      <w:pPr>
        <w:tabs>
          <w:tab w:val="num" w:pos="1134"/>
        </w:tabs>
        <w:ind w:left="1134" w:hanging="283"/>
        <w:rPr>
          <w:rFonts w:eastAsia="Times New Roman"/>
          <w:noProof/>
        </w:rPr>
      </w:pPr>
      <w:r>
        <w:rPr>
          <w:noProof/>
        </w:rPr>
        <w:t>X</w:t>
      </w:r>
      <w:r>
        <w:rPr>
          <w:noProof/>
        </w:rPr>
        <w:tab/>
        <w:t>Предложението/инициативата няма финансово отражение върху приходите.</w:t>
      </w:r>
    </w:p>
    <w:p>
      <w:pPr>
        <w:tabs>
          <w:tab w:val="num" w:pos="1134"/>
        </w:tabs>
        <w:ind w:left="1134" w:hanging="283"/>
        <w:rPr>
          <w:rFonts w:eastAsia="Times New Roman"/>
          <w:noProof/>
        </w:rPr>
      </w:pPr>
      <w:r>
        <w:rPr>
          <w:noProof/>
        </w:rPr>
        <w:sym w:font="Wingdings" w:char="F0A8"/>
      </w:r>
      <w:r>
        <w:rPr>
          <w:noProof/>
        </w:rPr>
        <w:tab/>
        <w:t>Предложението/инициативата има следното финансово отражение:</w:t>
      </w:r>
    </w:p>
    <w:p>
      <w:pPr>
        <w:numPr>
          <w:ilvl w:val="2"/>
          <w:numId w:val="0"/>
        </w:numPr>
        <w:tabs>
          <w:tab w:val="num" w:pos="2126"/>
        </w:tabs>
        <w:ind w:left="2126" w:hanging="709"/>
        <w:rPr>
          <w:rFonts w:eastAsia="Times New Roman"/>
          <w:noProof/>
        </w:rPr>
      </w:pPr>
      <w:r>
        <w:rPr>
          <w:noProof/>
        </w:rPr>
        <w:sym w:font="Wingdings" w:char="F0A8"/>
      </w:r>
      <w:r>
        <w:rPr>
          <w:noProof/>
        </w:rPr>
        <w:tab/>
        <w:t xml:space="preserve">върху собствените ресурси </w:t>
      </w:r>
    </w:p>
    <w:p>
      <w:pPr>
        <w:numPr>
          <w:ilvl w:val="2"/>
          <w:numId w:val="0"/>
        </w:numPr>
        <w:tabs>
          <w:tab w:val="num" w:pos="2126"/>
        </w:tabs>
        <w:ind w:left="2126" w:hanging="709"/>
        <w:rPr>
          <w:rFonts w:eastAsia="Times New Roman"/>
          <w:noProof/>
        </w:rPr>
      </w:pPr>
      <w:r>
        <w:rPr>
          <w:noProof/>
        </w:rPr>
        <w:sym w:font="Wingdings" w:char="F0A8"/>
      </w:r>
      <w:r>
        <w:rPr>
          <w:noProof/>
        </w:rPr>
        <w:tab/>
        <w:t>върху разните приходи</w:t>
      </w:r>
    </w:p>
    <w:p>
      <w:pPr>
        <w:numPr>
          <w:ilvl w:val="2"/>
          <w:numId w:val="0"/>
        </w:numPr>
        <w:tabs>
          <w:tab w:val="num" w:pos="2126"/>
        </w:tabs>
        <w:ind w:left="2126" w:hanging="709"/>
        <w:rPr>
          <w:rFonts w:eastAsia="Times New Roman"/>
          <w:noProof/>
        </w:rPr>
      </w:pPr>
      <w:r>
        <w:rPr>
          <w:noProof/>
        </w:rPr>
        <w:t xml:space="preserve">да се посочи дали приходите са записани по разходни бюджетни редове </w:t>
      </w:r>
      <w:r>
        <w:rPr>
          <w:noProof/>
        </w:rPr>
        <w:sym w:font="Wingdings" w:char="F0A8"/>
      </w:r>
      <w:r>
        <w:rPr>
          <w:noProof/>
        </w:rPr>
        <w:tab/>
      </w:r>
    </w:p>
    <w:p>
      <w:pPr>
        <w:ind w:left="4320"/>
        <w:rPr>
          <w:i/>
          <w:noProof/>
          <w:sz w:val="20"/>
        </w:rPr>
      </w:pPr>
      <w:r>
        <w:rPr>
          <w:noProof/>
        </w:rPr>
        <w:t xml:space="preserve">     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325" w:type="dxa"/>
            <w:vMerge w:val="restart"/>
            <w:vAlign w:val="center"/>
          </w:tcPr>
          <w:p>
            <w:pPr>
              <w:jc w:val="center"/>
              <w:rPr>
                <w:noProof/>
                <w:sz w:val="18"/>
              </w:rPr>
            </w:pPr>
            <w:r>
              <w:rPr>
                <w:noProof/>
                <w:sz w:val="18"/>
              </w:rPr>
              <w:t>Налични бюджетни кредити за текущата финансова година</w:t>
            </w:r>
          </w:p>
        </w:tc>
        <w:tc>
          <w:tcPr>
            <w:tcW w:w="7151"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21"/>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целевите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Bdr>
          <w:top w:val="single" w:sz="4" w:space="1" w:color="auto"/>
          <w:left w:val="single" w:sz="4" w:space="4" w:color="auto"/>
          <w:bottom w:val="single" w:sz="4" w:space="1" w:color="auto"/>
          <w:right w:val="single" w:sz="4" w:space="4" w:color="auto"/>
        </w:pBdr>
        <w:ind w:left="850"/>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Segoe Print"/>
    <w:panose1 w:val="00000000000000000000"/>
    <w:charset w:val="00"/>
    <w:family w:val="roman"/>
    <w:notTrueType/>
    <w:pitch w:val="default"/>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8 юли 2019 г. за разрешаване на започването на преговори с Ислямска република Мавритания с оглед на сключването на споразумение за партньорство в областта на устойчивото рибарство и протокол за неговото прилагане (ST 10231 2019 INIT).</w:t>
      </w:r>
    </w:p>
  </w:footnote>
  <w:footnote w:id="2">
    <w:p>
      <w:pPr>
        <w:pStyle w:val="FootnoteText"/>
      </w:pPr>
      <w:r>
        <w:rPr>
          <w:rStyle w:val="FootnoteReference"/>
        </w:rPr>
        <w:footnoteRef/>
      </w:r>
      <w:r>
        <w:tab/>
        <w:t>С допустимо превишение от 10 % без отражение върху плащаната от Европейския съюз финансова вноска за достъп.</w:t>
      </w:r>
    </w:p>
  </w:footnote>
  <w:footnote w:id="3">
    <w:p>
      <w:pPr>
        <w:pStyle w:val="FootnoteText"/>
      </w:pPr>
      <w:r>
        <w:rPr>
          <w:rStyle w:val="FootnoteReference"/>
        </w:rPr>
        <w:footnoteRef/>
      </w:r>
      <w:r>
        <w:tab/>
        <w:t>ОВ L 354, 28.12.2013 г., стр. 22.</w:t>
      </w:r>
    </w:p>
  </w:footnote>
  <w:footnote w:id="4">
    <w:p>
      <w:pPr>
        <w:pStyle w:val="FootnoteText"/>
      </w:pPr>
      <w:r>
        <w:rPr>
          <w:rStyle w:val="FootnoteReference"/>
        </w:rPr>
        <w:footnoteRef/>
      </w:r>
      <w:r>
        <w:tab/>
        <w:t>В съответствие с Междуинституционалното споразумение относно сътрудничеството по бюджетни въпроси (2013/C 373/01).</w:t>
      </w:r>
    </w:p>
  </w:footnote>
  <w:footnote w:id="5">
    <w:p>
      <w:pPr>
        <w:pStyle w:val="FootnoteText"/>
      </w:pPr>
      <w:r>
        <w:rPr>
          <w:rStyle w:val="FootnoteReference"/>
        </w:rPr>
        <w:footnoteRef/>
      </w:r>
      <w:r>
        <w:tab/>
        <w:t>ОВ L 343, 8.12.2006 г., стр. 4.</w:t>
      </w:r>
    </w:p>
  </w:footnote>
  <w:footnote w:id="6">
    <w:p>
      <w:pPr>
        <w:pStyle w:val="FootnoteText"/>
      </w:pPr>
      <w:r>
        <w:rPr>
          <w:rStyle w:val="FootnoteReference"/>
        </w:rPr>
        <w:footnoteRef/>
      </w:r>
      <w:r>
        <w:tab/>
        <w:t>Регламент (ЕО) № 1801/2006 на Съвета от 30 ноември 2006 г. относно сключването на Споразумение за партньорско сътрудничество в областта на рибарството между Европейската общност и Ислямска република Мавритания (ОВ L 343, 8.12.2006 г., стр. 1).</w:t>
      </w:r>
    </w:p>
    <w:p>
      <w:pPr>
        <w:pStyle w:val="FootnoteText"/>
      </w:pPr>
    </w:p>
    <w:p>
      <w:pPr>
        <w:pStyle w:val="FootnoteText"/>
      </w:pPr>
    </w:p>
    <w:p>
      <w:pPr>
        <w:pStyle w:val="FootnoteText"/>
      </w:pPr>
    </w:p>
    <w:p>
      <w:pPr>
        <w:pStyle w:val="FootnoteText"/>
      </w:pPr>
    </w:p>
    <w:p>
      <w:pPr>
        <w:pStyle w:val="FootnoteText"/>
      </w:pPr>
    </w:p>
  </w:footnote>
  <w:footnote w:id="7">
    <w:p>
      <w:pPr>
        <w:pStyle w:val="FootnoteText"/>
        <w:rPr>
          <w:szCs w:val="24"/>
        </w:rPr>
      </w:pPr>
      <w:r>
        <w:rPr>
          <w:rStyle w:val="FootnoteReference"/>
        </w:rPr>
        <w:footnoteRef/>
      </w:r>
      <w:r>
        <w:tab/>
        <w:t>Съгласно член 58, параграф 2, буква а) или б) от Финансовия регламент.</w:t>
      </w:r>
    </w:p>
  </w:footnote>
  <w:footnote w:id="8">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https://myintracomm.ec.europa.eu/budgweb/FR/man/budgmanag/Pages/budgmanag.aspx</w:t>
        </w:r>
      </w:hyperlink>
      <w:r>
        <w:t xml:space="preserve"> </w:t>
      </w:r>
    </w:p>
  </w:footnote>
  <w:footnote w:id="9">
    <w:p>
      <w:pPr>
        <w:pStyle w:val="FootnoteText"/>
        <w:rPr>
          <w:szCs w:val="24"/>
        </w:rPr>
      </w:pPr>
      <w:r>
        <w:rPr>
          <w:rStyle w:val="FootnoteReference"/>
        </w:rPr>
        <w:footnoteRef/>
      </w:r>
      <w:r>
        <w:tab/>
        <w:t>Многогод. = многогодишни бюджетни кредити/едногод. = едногодишни бюджетни кредити.</w:t>
      </w:r>
    </w:p>
  </w:footnote>
  <w:footnote w:id="10">
    <w:p>
      <w:pPr>
        <w:pStyle w:val="FootnoteText"/>
        <w:rPr>
          <w:szCs w:val="24"/>
        </w:rPr>
      </w:pPr>
      <w:r>
        <w:rPr>
          <w:rStyle w:val="FootnoteReference"/>
        </w:rPr>
        <w:footnoteRef/>
      </w:r>
      <w:r>
        <w:tab/>
        <w:t xml:space="preserve">ЕАСТ: Европейска асоциация за свободна търговия. </w:t>
      </w:r>
    </w:p>
  </w:footnote>
  <w:footnote w:id="11">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2">
    <w:p>
      <w:pPr>
        <w:pStyle w:val="FootnoteText"/>
        <w:rPr>
          <w:sz w:val="18"/>
          <w:szCs w:val="18"/>
        </w:rPr>
      </w:pPr>
      <w:r>
        <w:rPr>
          <w:rStyle w:val="FootnoteReference"/>
        </w:rPr>
        <w:footnoteRef/>
      </w:r>
      <w:r>
        <w:tab/>
      </w:r>
      <w:r>
        <w:rPr>
          <w:sz w:val="18"/>
        </w:rPr>
        <w:t>Съгласно официалната бюджетна номенклатура.</w:t>
      </w:r>
    </w:p>
  </w:footnote>
  <w:footnote w:id="13">
    <w:p>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4">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5">
    <w:p>
      <w:pPr>
        <w:pStyle w:val="FootnoteText"/>
        <w:rPr>
          <w:szCs w:val="24"/>
        </w:rPr>
      </w:pPr>
      <w:r>
        <w:rPr>
          <w:rStyle w:val="FootnoteReference"/>
        </w:rPr>
        <w:footnoteRef/>
      </w:r>
      <w:r>
        <w:tab/>
        <w:t xml:space="preserve">Съгласно описанието в част 1.4.2. „Конкретни цели…“. </w:t>
      </w:r>
    </w:p>
  </w:footnote>
  <w:footnote w:id="16">
    <w:p>
      <w:pPr>
        <w:pStyle w:val="FootnoteText"/>
        <w:rPr>
          <w:sz w:val="18"/>
          <w:szCs w:val="18"/>
        </w:rPr>
      </w:pPr>
      <w:r>
        <w:rPr>
          <w:rStyle w:val="FootnoteReference"/>
        </w:rPr>
        <w:footnoteRef/>
      </w:r>
      <w:r>
        <w:tab/>
      </w:r>
      <w:r>
        <w:rPr>
          <w:sz w:val="18"/>
        </w:rPr>
        <w:t>Година N е годината, през която започва да се осъществява предложението/инициативата. Буквата N да се замени с очакваната първа година от изпълнението (например: 2021 г.) Същото за следващите години.</w:t>
      </w:r>
    </w:p>
  </w:footnote>
  <w:footnote w:id="17">
    <w:p>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8">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9">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0">
    <w:p>
      <w:pPr>
        <w:pStyle w:val="FootnoteText"/>
      </w:pPr>
      <w:r>
        <w:rPr>
          <w:rStyle w:val="FootnoteReference"/>
        </w:rPr>
        <w:footnoteRef/>
      </w:r>
      <w:r>
        <w:tab/>
        <w:t>Година N е годината, през която започва да се осъществява предложението/инициативата. Буквата N да се замени с очакваната първа година от изпълнението (например: 2021 г.) Същото за следващите години.</w:t>
      </w:r>
    </w:p>
  </w:footnote>
  <w:footnote w:id="21">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F482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646EFC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C02A3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3301AB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1"/>
  </w:num>
  <w:num w:numId="7">
    <w:abstractNumId w:val="19"/>
  </w:num>
  <w:num w:numId="8">
    <w:abstractNumId w:val="18"/>
  </w:num>
  <w:num w:numId="9">
    <w:abstractNumId w:val="27"/>
  </w:num>
  <w:num w:numId="10">
    <w:abstractNumId w:val="5"/>
  </w:num>
  <w:num w:numId="11">
    <w:abstractNumId w:val="13"/>
  </w:num>
  <w:num w:numId="12">
    <w:abstractNumId w:val="6"/>
  </w:num>
  <w:num w:numId="13">
    <w:abstractNumId w:val="14"/>
  </w:num>
  <w:num w:numId="14">
    <w:abstractNumId w:val="12"/>
  </w:num>
  <w:num w:numId="15">
    <w:abstractNumId w:val="20"/>
  </w:num>
  <w:num w:numId="16">
    <w:abstractNumId w:val="24"/>
  </w:num>
  <w:num w:numId="17">
    <w:abstractNumId w:val="15"/>
  </w:num>
  <w:num w:numId="18">
    <w:abstractNumId w:val="26"/>
  </w:num>
  <w:num w:numId="19">
    <w:abstractNumId w:val="10"/>
  </w:num>
  <w:num w:numId="20">
    <w:abstractNumId w:val="16"/>
  </w:num>
  <w:num w:numId="21">
    <w:abstractNumId w:val="8"/>
  </w:num>
  <w:num w:numId="22">
    <w:abstractNumId w:val="25"/>
  </w:num>
  <w:num w:numId="23">
    <w:abstractNumId w:val="7"/>
  </w:num>
  <w:num w:numId="24">
    <w:abstractNumId w:val="17"/>
  </w:num>
  <w:num w:numId="25">
    <w:abstractNumId w:val="22"/>
  </w:num>
  <w:num w:numId="26">
    <w:abstractNumId w:val="23"/>
  </w:num>
  <w:num w:numId="27">
    <w:abstractNumId w:val="9"/>
  </w:num>
  <w:num w:numId="28">
    <w:abstractNumId w:val="21"/>
  </w:num>
  <w:num w:numId="29">
    <w:abstractNumId w:val="28"/>
  </w:num>
  <w:num w:numId="30">
    <w:abstractNumId w:val="24"/>
  </w:num>
  <w:num w:numId="31">
    <w:abstractNumId w:val="15"/>
  </w:num>
  <w:num w:numId="32">
    <w:abstractNumId w:val="26"/>
  </w:num>
  <w:num w:numId="33">
    <w:abstractNumId w:val="10"/>
  </w:num>
  <w:num w:numId="34">
    <w:abstractNumId w:val="16"/>
  </w:num>
  <w:num w:numId="35">
    <w:abstractNumId w:val="8"/>
  </w:num>
  <w:num w:numId="36">
    <w:abstractNumId w:val="25"/>
  </w:num>
  <w:num w:numId="37">
    <w:abstractNumId w:val="7"/>
  </w:num>
  <w:num w:numId="38">
    <w:abstractNumId w:val="17"/>
  </w:num>
  <w:num w:numId="39">
    <w:abstractNumId w:val="22"/>
  </w:num>
  <w:num w:numId="40">
    <w:abstractNumId w:val="23"/>
  </w:num>
  <w:num w:numId="41">
    <w:abstractNumId w:val="9"/>
  </w:num>
  <w:num w:numId="42">
    <w:abstractNumId w:val="21"/>
  </w:num>
  <w:num w:numId="4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ttachedTemplate r:id="rId1"/>
  <w:revisionView w:markup="0"/>
  <w:defaultTabStop w:val="720"/>
  <w:hyphenationZone w:val="425"/>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1 12:03: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9"/>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2FD5C63-D089-488D-8F3B-5E3271F5263E"/>
    <w:docVar w:name="LW_COVERPAGE_TYPE" w:val="1"/>
    <w:docVar w:name="LW_CROSSREFERENCE" w:val="&lt;UNUSED&gt;"/>
    <w:docVar w:name="LW_DocType" w:val="COM"/>
    <w:docVar w:name="LW_EMISSION" w:val="1.10.2019"/>
    <w:docVar w:name="LW_EMISSION_ISODATE" w:val="2019-10-0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9"/>
    <w:docVar w:name="LW_REF.II.NEW.CP_YEAR" w:val="2019"/>
    <w:docVar w:name="LW_REF.INST.NEW" w:val="COM"/>
    <w:docVar w:name="LW_REF.INST.NEW_ADOPTED" w:val="final"/>
    <w:docVar w:name="LW_REF.INST.NEW_TEXT" w:val="(2019) 4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57?\u1087?\u1086?\u1088?\u1072?\u1079?\u1091?\u1084?\u1077?\u1085?\u1080?\u1077?\u1090?\u1086? \u1087?\u1086?\u1076? \u1092?\u1086?\u1088?\u1084?\u1072?\u1090?\u1072? \u1085?\u1072? \u1088?\u1072?\u1079?\u1084?\u1103?\u1085?\u1072? \u1085?\u1072? \u1087?\u1080?\u1089?\u1084?\u1072? \u1084?\u1077?\u1078?\u1076?\u1091? \u1045?\u1074?\u1088?\u1086?\u1087?\u1077?\u1081?\u1089?\u1082?\u1080?\u1103? \u1089?\u1098?\u1102?\u1079? \u1080? \u1048?\u1089?\u1083?\u1103?\u1084?\u1089?\u1082?\u1072? \u1088?\u1077?\u1087?\u1091?\u1073?\u1083?\u1080?\u1082?\u1072? \u1052?\u1072?\u1074?\u1088?\u1080?\u1090?\u1072?\u1085?\u1080?\u1103? \u1086?\u1090?\u1085?\u1086?\u1089?\u1085?\u1086? \u1091?\u1076?\u1098?\u1083?\u1078?\u1072?\u1074?\u1072?\u1085?\u1077?\u1090?\u1086? \u1085?\u1072? \u1080?\u1079?\u1090?\u1080?\u1095?\u1072?\u1097?\u1080?\u1103? \u1085?\u1072? 15 \u1085?\u1086?\u1077?\u1084?\u1074?\u1088?\u1080? 2019 \u1075?. \u1089?\u1088?\u1086?\u1082? \u1085?\u1072? \u1087?\u1088?\u1086?\u1090?\u1086?\u1082?\u1086?\u1083?\u1072? \u1079?\u1072? \u1086?\u1087?\u1088?\u1077?\u1076?\u1077?\u1083?\u1103?\u1085?\u1077? \u1085?\u1072? \u1074?\u1098?\u1079?\u1084?\u1086?\u1078?\u1085?\u1086?\u1089?\u1090?\u1080?\u1090?\u1077? \u1079?\u1072? \u1088?\u1080?\u1073?\u1086?\u1083?\u1086?\u1074? \u1080? \u1092?\u1080?\u1085?\u1072?\u1085?\u1089?\u1086?\u1074?\u1072?\u1090?\u1072? \u1074?\u1085?\u1086?\u1089?\u1082?\u1072?,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48?\u1089?\u1083?\u1103?\u1084?\u1089?\u1082?\u1072? \u1088?\u1077?\u1087?\u1091?\u1073?\u1083?\u1080?\u1082?\u1072? \u1052?\u1072?\u1074?\u1088?\u1080?\u1090?\u1072?\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bg-BG"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bg-BG"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bg-BG" w:eastAsia="fr-FR" w:bidi="fr-FR"/>
    </w:rPr>
  </w:style>
  <w:style w:type="paragraph" w:customStyle="1" w:styleId="Normal1">
    <w:name w:val="Normal1"/>
    <w:basedOn w:val="Normal"/>
    <w:pPr>
      <w:spacing w:after="0"/>
    </w:pPr>
    <w:rPr>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bg-BG"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bg-BG"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bg-BG" w:eastAsia="fr-FR" w:bidi="fr-FR"/>
    </w:rPr>
  </w:style>
  <w:style w:type="paragraph" w:customStyle="1" w:styleId="Normal1">
    <w:name w:val="Normal1"/>
    <w:basedOn w:val="Normal"/>
    <w:pPr>
      <w:spacing w:after="0"/>
    </w:pPr>
    <w:rPr>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0099">
      <w:bodyDiv w:val="1"/>
      <w:marLeft w:val="0"/>
      <w:marRight w:val="0"/>
      <w:marTop w:val="0"/>
      <w:marBottom w:val="0"/>
      <w:divBdr>
        <w:top w:val="none" w:sz="0" w:space="0" w:color="auto"/>
        <w:left w:val="none" w:sz="0" w:space="0" w:color="auto"/>
        <w:bottom w:val="none" w:sz="0" w:space="0" w:color="auto"/>
        <w:right w:val="none" w:sz="0" w:space="0" w:color="auto"/>
      </w:divBdr>
    </w:div>
    <w:div w:id="833842933">
      <w:bodyDiv w:val="1"/>
      <w:marLeft w:val="0"/>
      <w:marRight w:val="0"/>
      <w:marTop w:val="0"/>
      <w:marBottom w:val="0"/>
      <w:divBdr>
        <w:top w:val="none" w:sz="0" w:space="0" w:color="auto"/>
        <w:left w:val="none" w:sz="0" w:space="0" w:color="auto"/>
        <w:bottom w:val="none" w:sz="0" w:space="0" w:color="auto"/>
        <w:right w:val="none" w:sz="0" w:space="0" w:color="auto"/>
      </w:divBdr>
    </w:div>
    <w:div w:id="984352912">
      <w:bodyDiv w:val="1"/>
      <w:marLeft w:val="0"/>
      <w:marRight w:val="0"/>
      <w:marTop w:val="0"/>
      <w:marBottom w:val="0"/>
      <w:divBdr>
        <w:top w:val="none" w:sz="0" w:space="0" w:color="auto"/>
        <w:left w:val="none" w:sz="0" w:space="0" w:color="auto"/>
        <w:bottom w:val="none" w:sz="0" w:space="0" w:color="auto"/>
        <w:right w:val="none" w:sz="0" w:space="0" w:color="auto"/>
      </w:divBdr>
    </w:div>
    <w:div w:id="1484661947">
      <w:bodyDiv w:val="1"/>
      <w:marLeft w:val="0"/>
      <w:marRight w:val="0"/>
      <w:marTop w:val="0"/>
      <w:marBottom w:val="0"/>
      <w:divBdr>
        <w:top w:val="none" w:sz="0" w:space="0" w:color="auto"/>
        <w:left w:val="none" w:sz="0" w:space="0" w:color="auto"/>
        <w:bottom w:val="none" w:sz="0" w:space="0" w:color="auto"/>
        <w:right w:val="none" w:sz="0" w:space="0" w:color="auto"/>
      </w:divBdr>
    </w:div>
    <w:div w:id="1848906213">
      <w:bodyDiv w:val="1"/>
      <w:marLeft w:val="0"/>
      <w:marRight w:val="0"/>
      <w:marTop w:val="0"/>
      <w:marBottom w:val="0"/>
      <w:divBdr>
        <w:top w:val="none" w:sz="0" w:space="0" w:color="auto"/>
        <w:left w:val="none" w:sz="0" w:space="0" w:color="auto"/>
        <w:bottom w:val="none" w:sz="0" w:space="0" w:color="auto"/>
        <w:right w:val="none" w:sz="0" w:space="0" w:color="auto"/>
      </w:divBdr>
    </w:div>
    <w:div w:id="20811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FR/leg/internal/Documents/2016-5-legislative-financial-statement-ann-fr.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150EA-F630-4A42-B46B-A34D1643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24</Pages>
  <Words>5121</Words>
  <Characters>30218</Characters>
  <Application>Microsoft Office Word</Application>
  <DocSecurity>0</DocSecurity>
  <Lines>1313</Lines>
  <Paragraphs>519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2019-09-06T09:31:00Z</cp:lastPrinted>
  <dcterms:created xsi:type="dcterms:W3CDTF">2019-09-30T09:12:00Z</dcterms:created>
  <dcterms:modified xsi:type="dcterms:W3CDTF">2019-10-01T10:03:00Z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