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514BEEF-E40E-464C-9BBA-0EA8B05643F0" style="width:450.75pt;height:40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pBdr>
          <w:top w:val="nil"/>
          <w:left w:val="nil"/>
          <w:bottom w:val="nil"/>
          <w:right w:val="nil"/>
          <w:between w:val="nil"/>
          <w:bar w:val="nil"/>
        </w:pBdr>
        <w:spacing w:before="0" w:after="240"/>
        <w:rPr>
          <w:noProof/>
        </w:rPr>
      </w:pPr>
      <w:r>
        <w:rPr>
          <w:noProof/>
        </w:rPr>
        <w:t>Le Conseil a adopté en date du 8 Juillet 2019 le mandat</w:t>
      </w:r>
      <w:r>
        <w:rPr>
          <w:rStyle w:val="FootnoteReference"/>
          <w:rFonts w:eastAsia="Arial Unicode MS"/>
          <w:noProof/>
          <w:lang w:val="fr-BE"/>
        </w:rPr>
        <w:footnoteReference w:id="1"/>
      </w:r>
      <w:r>
        <w:rPr>
          <w:noProof/>
        </w:rPr>
        <w:t xml:space="preserve"> autorisant la Commission européenne à ouvrir les négociations pour le renouvellement de l'Accord de partenariat de pêche entre l'UE et la République Islamique de Mauritanie et de son protocole de mise en œuvre fixant les possibilités de pêche et la contrepartie financière, ce dernier expirant le 15 Novembre 2019. </w:t>
      </w:r>
    </w:p>
    <w:p>
      <w:pPr>
        <w:pBdr>
          <w:top w:val="nil"/>
          <w:left w:val="nil"/>
          <w:bottom w:val="nil"/>
          <w:right w:val="nil"/>
          <w:between w:val="nil"/>
          <w:bar w:val="nil"/>
        </w:pBdr>
        <w:spacing w:before="0" w:after="240"/>
        <w:rPr>
          <w:noProof/>
        </w:rPr>
      </w:pPr>
      <w:r>
        <w:rPr>
          <w:noProof/>
        </w:rPr>
        <w:t>Ledit mandat stipule qu’au cas où les négociations d'un nouvel Accord de Partenariat pour une Pêche Durable (APPD) et d'un protocole entre l'Union européenne et la République islamique de Mauritanie prendraient plus de temps que prévu, et afin d'éviter une longue période d'interruption des activités de pêche, la Commission devrait avoir la possibilité de convenir avec la République Islamique de Mauritanie d'une prolongation du protocole actuel pour une période maximale d'un an, tout en continuant d'essayer de parvenir à un accord sur un nouvel APPD et à un nouveau protocole conforme aux objectifs identifiés dans le mandat.</w:t>
      </w:r>
    </w:p>
    <w:p>
      <w:pPr>
        <w:pBdr>
          <w:top w:val="nil"/>
          <w:left w:val="nil"/>
          <w:bottom w:val="nil"/>
          <w:right w:val="nil"/>
          <w:between w:val="nil"/>
          <w:bar w:val="nil"/>
        </w:pBdr>
        <w:spacing w:before="0" w:after="240"/>
        <w:rPr>
          <w:noProof/>
        </w:rPr>
      </w:pPr>
      <w:r>
        <w:rPr>
          <w:noProof/>
        </w:rPr>
        <w:t>Lors du premier tour de négociation (2-4 septembre 2019), les négociateurs de l’Union et de la République Islamique de Mauritanie ont convenu que, s'agissant d'une négociation complexe, plusieurs tours de négociations seront nécessaires afin de finaliser les négociations. Par conséquent, les deux parties se sont mises d’accord sur une prorogation du protocole actuel pour une période maximale d’un an, conformément au mandat du Conseil. Cette prorogation est définie par un accord sous forme d'échange de lettres, paraphé le 4 septembre 2019 à Bruxelles.</w:t>
      </w:r>
    </w:p>
    <w:p>
      <w:pPr>
        <w:pBdr>
          <w:top w:val="nil"/>
          <w:left w:val="nil"/>
          <w:bottom w:val="nil"/>
          <w:right w:val="nil"/>
          <w:between w:val="nil"/>
          <w:bar w:val="nil"/>
        </w:pBdr>
        <w:spacing w:before="0" w:after="240"/>
        <w:rPr>
          <w:noProof/>
        </w:rPr>
      </w:pPr>
      <w:r>
        <w:rPr>
          <w:noProof/>
        </w:rPr>
        <w:t xml:space="preserve">Afin d'éviter l'interruption des activités de pêche pour la flotte européenne opérant dans les eaux mauritaniennes, il est nécessaire que la Décision du Conseil endossant cet accord sous forme d'échange de lettres soit adoptée en temps utile pour en permettre la signature par les deux parties avant le 15 Novembre 2019, date d’expiration du protocole actuel. </w:t>
      </w:r>
    </w:p>
    <w:p>
      <w:pPr>
        <w:pBdr>
          <w:top w:val="nil"/>
          <w:left w:val="nil"/>
          <w:bottom w:val="nil"/>
          <w:right w:val="nil"/>
          <w:between w:val="nil"/>
          <w:bar w:val="nil"/>
        </w:pBdr>
        <w:spacing w:before="0" w:after="240"/>
        <w:rPr>
          <w:noProof/>
        </w:rPr>
      </w:pPr>
      <w:r>
        <w:rPr>
          <w:noProof/>
        </w:rPr>
        <w:t>La Commission propose, sur cette base, que le Conseil autorise la signature et l'application provisoire de cet échange de lettres permettant la prorogation du protocole existant pour une durée maximale d’un an.</w:t>
      </w:r>
    </w:p>
    <w:p>
      <w:pPr>
        <w:pBdr>
          <w:top w:val="nil"/>
          <w:left w:val="nil"/>
          <w:bottom w:val="nil"/>
          <w:right w:val="nil"/>
          <w:between w:val="nil"/>
          <w:bar w:val="nil"/>
        </w:pBdr>
        <w:spacing w:before="0" w:after="240"/>
        <w:rPr>
          <w:noProof/>
        </w:rPr>
      </w:pPr>
      <w:r>
        <w:rPr>
          <w:noProof/>
        </w:rPr>
        <w:t>L'objectif du protocole est d'offrir des possibilités de pêche pour les navires de l'Union européenne dans les eaux mauritaniennes en tenant compte des évaluations scientifiques disponibles, notamment celles du Comité des Pêches pour l'Atlantique du Centre-Est (COPACE), dans le respect des avis scientifiques et des recommandations de la Commission Internationale pour la Conservation des Thonidés Atlantiques (CICTA) et dans les limites du surplus disponible. L'objectif est également de renforcer la coopération entre l'Union européenne et la République Islamique de Mauritanie en faveur de l'instauration d'un cadre de partenariat pour le développement d'une politique de pêche durable et l'exploitation responsable des ressources halieutiques dans la zone de pêche de la République islamique de Mauritanie, dans l'intérêt des deux parties.</w:t>
      </w:r>
    </w:p>
    <w:p>
      <w:pPr>
        <w:pBdr>
          <w:top w:val="nil"/>
          <w:left w:val="nil"/>
          <w:bottom w:val="nil"/>
          <w:right w:val="nil"/>
          <w:between w:val="nil"/>
          <w:bar w:val="nil"/>
        </w:pBdr>
        <w:spacing w:before="0" w:after="240"/>
        <w:rPr>
          <w:noProof/>
        </w:rPr>
      </w:pPr>
      <w:r>
        <w:rPr>
          <w:noProof/>
        </w:rPr>
        <w:t>Le protocole prévoit des possibilités de pêche dans les catégories suivantes:</w:t>
      </w:r>
    </w:p>
    <w:p>
      <w:pPr>
        <w:pBdr>
          <w:top w:val="nil"/>
          <w:left w:val="nil"/>
          <w:bottom w:val="nil"/>
          <w:right w:val="nil"/>
          <w:between w:val="nil"/>
          <w:bar w:val="nil"/>
        </w:pBdr>
        <w:spacing w:before="0" w:after="240"/>
        <w:rPr>
          <w:noProof/>
        </w:rPr>
      </w:pPr>
      <w:r>
        <w:rPr>
          <w:noProof/>
        </w:rPr>
        <w:lastRenderedPageBreak/>
        <w:t>–</w:t>
      </w:r>
      <w:r>
        <w:rPr>
          <w:noProof/>
        </w:rPr>
        <w:tab/>
        <w:t>Catégorie 1 - Navires de pêche aux crustacés à l’exception de la langouste et du crabe : 5000 tonnes et 25 navires ;</w:t>
      </w:r>
    </w:p>
    <w:p>
      <w:pPr>
        <w:pBdr>
          <w:top w:val="nil"/>
          <w:left w:val="nil"/>
          <w:bottom w:val="nil"/>
          <w:right w:val="nil"/>
          <w:between w:val="nil"/>
          <w:bar w:val="nil"/>
        </w:pBdr>
        <w:spacing w:before="0" w:after="240"/>
        <w:rPr>
          <w:noProof/>
        </w:rPr>
      </w:pPr>
      <w:r>
        <w:rPr>
          <w:noProof/>
        </w:rPr>
        <w:t>–</w:t>
      </w:r>
      <w:r>
        <w:rPr>
          <w:noProof/>
        </w:rPr>
        <w:tab/>
        <w:t>Catégorie 2 - Chalutiers non congélateurs et palangriers de fond de pêche au merlu noir : 6000 tonnes et 6 navires ;</w:t>
      </w:r>
    </w:p>
    <w:p>
      <w:pPr>
        <w:pBdr>
          <w:top w:val="nil"/>
          <w:left w:val="nil"/>
          <w:bottom w:val="nil"/>
          <w:right w:val="nil"/>
          <w:between w:val="nil"/>
          <w:bar w:val="nil"/>
        </w:pBdr>
        <w:spacing w:before="0" w:after="240"/>
        <w:rPr>
          <w:noProof/>
        </w:rPr>
      </w:pPr>
      <w:r>
        <w:rPr>
          <w:noProof/>
        </w:rPr>
        <w:t>–</w:t>
      </w:r>
      <w:r>
        <w:rPr>
          <w:noProof/>
        </w:rPr>
        <w:tab/>
        <w:t>Catégorie</w:t>
      </w:r>
      <w:r>
        <w:rPr>
          <w:noProof/>
          <w:lang w:val="fr-BE"/>
        </w:rPr>
        <w:t xml:space="preserve"> 2bis – Chalutiers congélateurs ciblant le merlu noir : 3 500 t de merlu, 1 450 t de calamar, 600 t de seiche pour 6 navires ; </w:t>
      </w:r>
    </w:p>
    <w:p>
      <w:pPr>
        <w:pBdr>
          <w:top w:val="nil"/>
          <w:left w:val="nil"/>
          <w:bottom w:val="nil"/>
          <w:right w:val="nil"/>
          <w:between w:val="nil"/>
          <w:bar w:val="nil"/>
        </w:pBdr>
        <w:spacing w:before="0" w:after="240"/>
        <w:rPr>
          <w:noProof/>
        </w:rPr>
      </w:pPr>
      <w:r>
        <w:rPr>
          <w:noProof/>
        </w:rPr>
        <w:t>–</w:t>
      </w:r>
      <w:r>
        <w:rPr>
          <w:noProof/>
        </w:rPr>
        <w:tab/>
        <w:t>Catégorie 3 - Navires de pêche des espèces démersales autres que le merlu noir avec des engins autres que le chalut : 3000 tonnes et 6 navires ;</w:t>
      </w:r>
    </w:p>
    <w:p>
      <w:pPr>
        <w:pBdr>
          <w:top w:val="nil"/>
          <w:left w:val="nil"/>
          <w:bottom w:val="nil"/>
          <w:right w:val="nil"/>
          <w:between w:val="nil"/>
          <w:bar w:val="nil"/>
        </w:pBdr>
        <w:spacing w:before="0" w:after="240"/>
        <w:rPr>
          <w:noProof/>
        </w:rPr>
      </w:pPr>
      <w:r>
        <w:rPr>
          <w:noProof/>
        </w:rPr>
        <w:t>–</w:t>
      </w:r>
      <w:r>
        <w:rPr>
          <w:noProof/>
        </w:rPr>
        <w:tab/>
        <w:t>Catégorie 4 - Thoniers senneurs : 12 500 tonnes (tonnage de référence) et 25 navires;</w:t>
      </w:r>
    </w:p>
    <w:p>
      <w:pPr>
        <w:pBdr>
          <w:top w:val="nil"/>
          <w:left w:val="nil"/>
          <w:bottom w:val="nil"/>
          <w:right w:val="nil"/>
          <w:between w:val="nil"/>
          <w:bar w:val="nil"/>
        </w:pBdr>
        <w:spacing w:before="0" w:after="240"/>
        <w:rPr>
          <w:noProof/>
        </w:rPr>
      </w:pPr>
      <w:r>
        <w:rPr>
          <w:noProof/>
        </w:rPr>
        <w:t>–</w:t>
      </w:r>
      <w:r>
        <w:rPr>
          <w:noProof/>
        </w:rPr>
        <w:tab/>
        <w:t>Catégorie 5 - Thoniers canneurs et palangriers : 7 500 tonnes (tonnage de référence) et 15 navires ;</w:t>
      </w:r>
    </w:p>
    <w:p>
      <w:pPr>
        <w:pBdr>
          <w:top w:val="nil"/>
          <w:left w:val="nil"/>
          <w:bottom w:val="nil"/>
          <w:right w:val="nil"/>
          <w:between w:val="nil"/>
          <w:bar w:val="nil"/>
        </w:pBdr>
        <w:spacing w:before="0" w:after="240"/>
        <w:rPr>
          <w:noProof/>
        </w:rPr>
      </w:pPr>
      <w:r>
        <w:rPr>
          <w:noProof/>
        </w:rPr>
        <w:t>–</w:t>
      </w:r>
      <w:r>
        <w:rPr>
          <w:noProof/>
        </w:rPr>
        <w:tab/>
        <w:t>Catégorie 6 - Chalutiers congélateurs de pêche pélagique : 225 000 tonnes</w:t>
      </w:r>
      <w:r>
        <w:rPr>
          <w:rStyle w:val="FootnoteReference"/>
          <w:noProof/>
        </w:rPr>
        <w:footnoteReference w:id="2"/>
      </w:r>
      <w:r>
        <w:rPr>
          <w:noProof/>
        </w:rPr>
        <w:t xml:space="preserve"> et 19 navires ;</w:t>
      </w:r>
    </w:p>
    <w:p>
      <w:pPr>
        <w:pBdr>
          <w:top w:val="nil"/>
          <w:left w:val="nil"/>
          <w:bottom w:val="nil"/>
          <w:right w:val="nil"/>
          <w:between w:val="nil"/>
          <w:bar w:val="nil"/>
        </w:pBdr>
        <w:spacing w:before="0" w:after="240"/>
        <w:rPr>
          <w:noProof/>
        </w:rPr>
      </w:pPr>
      <w:r>
        <w:rPr>
          <w:noProof/>
        </w:rPr>
        <w:t>–</w:t>
      </w:r>
      <w:r>
        <w:rPr>
          <w:noProof/>
        </w:rPr>
        <w:tab/>
        <w:t xml:space="preserve">Catégorie 7 - Navires de pêche pélagique au frais : 15 000 tonnes (déduites du volume de la catégorie 6 si utilisées) et 2 navires. </w:t>
      </w:r>
    </w:p>
    <w:p>
      <w:pPr>
        <w:pStyle w:val="ManualHeading2"/>
        <w:rPr>
          <w:rFonts w:eastAsia="Arial Unicode MS"/>
          <w:noProof/>
          <w:color w:val="000000"/>
          <w:u w:color="000000"/>
          <w:bdr w:val="nil"/>
          <w:lang w:val="fr-BE" w:eastAsia="en-GB"/>
        </w:rPr>
      </w:pPr>
      <w:r>
        <w:rPr>
          <w:rFonts w:eastAsia="Arial Unicode MS"/>
          <w:noProof/>
          <w:color w:val="000000"/>
          <w:u w:color="000000"/>
          <w:bdr w:val="nil"/>
          <w:lang w:val="fr-BE" w:eastAsia="en-GB"/>
        </w:rPr>
        <w:t>•</w:t>
      </w:r>
      <w:r>
        <w:rPr>
          <w:rFonts w:eastAsia="Arial Unicode MS"/>
          <w:noProof/>
          <w:color w:val="000000"/>
          <w:u w:color="000000"/>
          <w:bdr w:val="nil"/>
          <w:lang w:val="fr-BE" w:eastAsia="en-GB"/>
        </w:rPr>
        <w:tab/>
        <w:t>Cohérence avec les dispositions existantes dans le domaine d'action</w:t>
      </w:r>
    </w:p>
    <w:p>
      <w:pPr>
        <w:pBdr>
          <w:top w:val="nil"/>
          <w:left w:val="nil"/>
          <w:bottom w:val="nil"/>
          <w:right w:val="nil"/>
          <w:between w:val="nil"/>
          <w:bar w:val="nil"/>
        </w:pBdr>
        <w:spacing w:before="0" w:after="240"/>
        <w:rPr>
          <w:noProof/>
        </w:rPr>
      </w:pPr>
      <w:r>
        <w:rPr>
          <w:noProof/>
        </w:rPr>
        <w:t>En accord avec les priorités de la réforme de la politique de la pêche</w:t>
      </w:r>
      <w:r>
        <w:rPr>
          <w:rStyle w:val="FootnoteReference"/>
          <w:noProof/>
        </w:rPr>
        <w:footnoteReference w:id="3"/>
      </w:r>
      <w:r>
        <w:rPr>
          <w:noProof/>
        </w:rPr>
        <w:t>, le protocole offre des possibilités de pêche pour les navires de l'Union dans les eaux de la Mauritanie, sur la base des meilleurs avis scientifiques disponibles et dans le respect des recommandations de la CICTA. Le protocole permet également à l’Union européenne et à la République Islamique de Mauritanie</w:t>
      </w:r>
      <w:r>
        <w:rPr>
          <w:noProof/>
          <w:lang w:val="fr-BE"/>
        </w:rPr>
        <w:t xml:space="preserve"> </w:t>
      </w:r>
      <w:r>
        <w:rPr>
          <w:noProof/>
        </w:rPr>
        <w:t>de collaborer plus étroitement afin de promouvoir l’exploitation responsable des ressources halieutiques dans les eaux mauritaniennes</w:t>
      </w:r>
      <w:r>
        <w:rPr>
          <w:noProof/>
          <w:lang w:val="fr-BE"/>
        </w:rPr>
        <w:t xml:space="preserve"> </w:t>
      </w:r>
      <w:r>
        <w:rPr>
          <w:noProof/>
        </w:rPr>
        <w:t xml:space="preserve">et de soutenir les efforts de la République Islamique de Mauritanie visant à développer son secteur de la pêche, dans l’intérêt des deux parties.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autres politiques de l'Union</w:t>
      </w:r>
    </w:p>
    <w:p>
      <w:pPr>
        <w:pBdr>
          <w:top w:val="nil"/>
          <w:left w:val="nil"/>
          <w:bottom w:val="nil"/>
          <w:right w:val="nil"/>
          <w:between w:val="nil"/>
          <w:bar w:val="nil"/>
        </w:pBdr>
        <w:spacing w:before="0" w:after="240"/>
        <w:rPr>
          <w:noProof/>
        </w:rPr>
      </w:pPr>
      <w:r>
        <w:rPr>
          <w:noProof/>
        </w:rPr>
        <w:t xml:space="preserve">La négociation d'un nouvel accord de partenariat dans le secteur de la pêche avec la République Islamique de Mauritanie accord et de son protocole de mise en œuvre – dont la présente proposition de prorogation est une étape - s'inscrit dans le cadre de l'action extérieure de l'UE envers les pays ACP, et tient compte en particulier des objectifs de l'Union en matière de respect des principes démocratiques et des droits de l'homme. </w:t>
      </w:r>
    </w:p>
    <w:p>
      <w:pPr>
        <w:spacing w:before="0" w:after="240"/>
        <w:rPr>
          <w:noProof/>
        </w:rPr>
      </w:pPr>
      <w:r>
        <w:rPr>
          <w:noProof/>
        </w:rPr>
        <w:t>Bien qu’à l’échelle locale, l’activité économique générée dans le secteur de la pêche en Mauritanie contribuerait à s’attaquer aux causes profondes de la migration irrégulière.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keepNext/>
        <w:rPr>
          <w:noProof/>
          <w:sz w:val="22"/>
        </w:rPr>
      </w:pPr>
      <w:r>
        <w:rPr>
          <w:noProof/>
        </w:rPr>
        <w:t xml:space="preserve">La base légale choisie est le Traité sur le fonctionnement de l'Union européenne, dont l'article 43(2) établit la politique commune de la pêche et l'article 218(5) établit l'étape concernée de la procédure de négociation et de conclusion d'accords entre l'Union et les pays tiers.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pPr>
        <w:pBdr>
          <w:top w:val="nil"/>
          <w:left w:val="nil"/>
          <w:bottom w:val="nil"/>
          <w:right w:val="nil"/>
          <w:between w:val="nil"/>
          <w:bar w:val="nil"/>
        </w:pBdr>
        <w:spacing w:before="0" w:after="240"/>
        <w:rPr>
          <w:rFonts w:eastAsia="Arial Unicode MS"/>
          <w:noProof/>
          <w:lang w:val="fr-BE"/>
        </w:rPr>
      </w:pPr>
      <w:r>
        <w:rPr>
          <w:noProof/>
        </w:rPr>
        <w:t>La proposition relève de la compétence exclusive de l'Union européenne.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Proportionnalité</w:t>
      </w:r>
    </w:p>
    <w:p>
      <w:pPr>
        <w:pBdr>
          <w:top w:val="nil"/>
          <w:left w:val="nil"/>
          <w:bottom w:val="nil"/>
          <w:right w:val="nil"/>
          <w:between w:val="nil"/>
          <w:bar w:val="nil"/>
        </w:pBdr>
        <w:spacing w:before="0" w:after="240"/>
        <w:rPr>
          <w:noProof/>
        </w:rPr>
      </w:pPr>
      <w:r>
        <w:rPr>
          <w:noProof/>
        </w:rPr>
        <w:t>La proposition est proportionnée à l'objectif d'établir un cadre de gouvernance juridique, environnementale, économique et sociale pour les activités de pêche menées par les navires de l'Union dans les eaux de pays tiers, fixé par l'article 31 du règlement établissant la politique commune de la pêche. Elle se conforme à ces dispositions ainsi qu'à celles relatives à l'aide financière au pays tiers fixées à l'article 32 de ce même règlement.</w:t>
      </w:r>
    </w:p>
    <w:p>
      <w:pPr>
        <w:pBdr>
          <w:top w:val="nil"/>
          <w:left w:val="nil"/>
          <w:bottom w:val="nil"/>
          <w:right w:val="nil"/>
          <w:between w:val="nil"/>
          <w:bar w:val="nil"/>
        </w:pBdr>
        <w:spacing w:before="0" w:after="240"/>
        <w:rPr>
          <w:rFonts w:eastAsia="Arial Unicode MS"/>
          <w:noProof/>
          <w:lang w:val="fr-BE"/>
        </w:rPr>
      </w:pPr>
      <w:r>
        <w:rPr>
          <w:noProof/>
        </w:rPr>
        <w:t>La prorogation d’un an du cadre fixé par le protocole expirant le 15 novembre 2019 est fonctionnelle au processus de négociation dans l’objectif d’assurer la continuité des activités de pêche de la flotte européenne opérant dans les eaux mauritaniennes.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pPr>
        <w:pBdr>
          <w:top w:val="nil"/>
          <w:left w:val="nil"/>
          <w:bottom w:val="nil"/>
          <w:right w:val="nil"/>
          <w:between w:val="nil"/>
          <w:bar w:val="nil"/>
        </w:pBdr>
        <w:spacing w:before="0" w:after="240"/>
        <w:rPr>
          <w:rFonts w:eastAsia="Arial Unicode MS"/>
          <w:noProof/>
          <w:lang w:val="fr-BE"/>
        </w:rPr>
      </w:pPr>
      <w:r>
        <w:rPr>
          <w:noProof/>
        </w:rPr>
        <w:t>Les parties intéressées ont été consultées dans le cadre de l'évaluation du protocole 2015-2019. Les experts des États membres ont aussi été consultés lors de réunions techniques. Ces consultations ont conclu à l'intérêt de renouveler le protocole de pêche avec la République Islamique de Mauritanie. La présente proposition de prorogation du protocole est une étape du processus de négociation pour ce renouvellement.</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lang w:val="fr-BE"/>
        </w:rPr>
      </w:pPr>
      <w:r>
        <w:rPr>
          <w:noProof/>
        </w:rPr>
        <w:t>Les États membres, des représentants du secteur, des organisations internationales de la société civile ainsi que l'administration des pêches et des représentants de la société civile de la République Islamique de Mauritanie ont été consultés dans le cadre de l'évaluation. Des consultations ont également eu lieu dans le cadre du Conseil consultatif pour la pêche lointaine.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pPr>
        <w:spacing w:before="0" w:after="240"/>
        <w:rPr>
          <w:noProof/>
        </w:rPr>
      </w:pPr>
      <w:r>
        <w:rPr>
          <w:noProof/>
        </w:rPr>
        <w:t xml:space="preserve">La Commission a fait appel à un consultant indépendant pour les évaluations ex post et ex ante, en conformité avec les dispositions de l'article 31 paragraphe 10 du règlement établissant la politique commune de la pêche. </w:t>
      </w:r>
    </w:p>
    <w:p>
      <w:pPr>
        <w:pStyle w:val="ManualHeading1"/>
        <w:rPr>
          <w:noProof/>
          <w:lang w:val="fr-BE"/>
        </w:rPr>
      </w:pPr>
      <w:r>
        <w:rPr>
          <w:noProof/>
          <w:lang w:val="fr-BE"/>
        </w:rPr>
        <w:t>4.</w:t>
      </w:r>
      <w:r>
        <w:rPr>
          <w:noProof/>
          <w:lang w:val="fr-BE"/>
        </w:rPr>
        <w:tab/>
        <w:t>INCIDENCE BUDGÉTAIRE</w:t>
      </w:r>
    </w:p>
    <w:p>
      <w:pPr>
        <w:rPr>
          <w:noProof/>
        </w:rPr>
      </w:pPr>
      <w:r>
        <w:rPr>
          <w:noProof/>
        </w:rPr>
        <w:t>La contrepartie financière annuelle de l’Union européenne s’élève à 61 625 000 EUR, sur la base :</w:t>
      </w:r>
    </w:p>
    <w:p>
      <w:pPr>
        <w:rPr>
          <w:noProof/>
        </w:rPr>
      </w:pPr>
      <w:r>
        <w:rPr>
          <w:noProof/>
        </w:rPr>
        <w:lastRenderedPageBreak/>
        <w:t>a) d’un montant annuel pour l’accès aux ressources halieutiques, pour les catégories prévues dans le protocole, fixé à 57 500 000 EUR pour la durée de la prorogation du protocole.</w:t>
      </w:r>
    </w:p>
    <w:p>
      <w:pPr>
        <w:rPr>
          <w:noProof/>
        </w:rPr>
      </w:pPr>
      <w:r>
        <w:rPr>
          <w:noProof/>
        </w:rPr>
        <w:t>b) d’un appui au développement de la politique sectorielle de la pêche de la Mauritanie pour un montant annuel de 4 125 000 EUR pour la durée de la prorogation du protocole. Cet appui répond aux objectifs de la politique nationale en matière de gestion durable des ressources halieutiques continentales et maritimes de pour toute la durée du protocole.</w:t>
      </w:r>
    </w:p>
    <w:p>
      <w:pPr>
        <w:rPr>
          <w:noProof/>
          <w:lang w:val="fr-BE"/>
        </w:rPr>
      </w:pPr>
      <w:r>
        <w:rPr>
          <w:noProof/>
          <w:lang w:val="fr-BE"/>
        </w:rPr>
        <w:t>Le montant annuel pour les crédits d'engagement et paiement est établi lors de la procédure budgétaire annuelle, y compris pour la ligne de la réserve pour les protocoles n'étant pas encore entrés en vigueur au début de l'année</w:t>
      </w:r>
      <w:r>
        <w:rPr>
          <w:rStyle w:val="FootnoteReference"/>
          <w:noProof/>
        </w:rPr>
        <w:footnoteReference w:id="4"/>
      </w:r>
      <w:r>
        <w:rPr>
          <w:noProof/>
          <w:lang w:val="fr-BE"/>
        </w:rPr>
        <w:t>.</w:t>
      </w:r>
    </w:p>
    <w:p>
      <w:pPr>
        <w:rPr>
          <w:noProof/>
          <w:lang w:val="fr-BE"/>
        </w:rPr>
      </w:pPr>
      <w:r>
        <w:rPr>
          <w:noProof/>
          <w:lang w:val="fr-BE"/>
        </w:rPr>
        <w:t>L’échange de lettres pour la prorogation fixe également</w:t>
      </w:r>
      <w:r>
        <w:rPr>
          <w:noProof/>
        </w:rPr>
        <w:t xml:space="preserve"> une clause de réduction au prorata dans </w:t>
      </w:r>
      <w:r>
        <w:rPr>
          <w:noProof/>
          <w:lang w:val="fr-BE"/>
        </w:rPr>
        <w:t xml:space="preserve">le cas où les négociations pour le renouvellement de l’Accord de Partenariat et de son Protocole aboutissent avec la signature entrainant leur application avant l’expiration de la prorogation annuelle </w:t>
      </w:r>
      <w:r>
        <w:rPr>
          <w:noProof/>
        </w:rPr>
        <w:t>faisant l’objet de l’échange de lettres.</w:t>
      </w:r>
    </w:p>
    <w:p>
      <w:pPr>
        <w:rPr>
          <w:noProof/>
          <w:lang w:val="fr-BE"/>
        </w:rPr>
      </w:pPr>
    </w:p>
    <w:p>
      <w:pPr>
        <w:pStyle w:val="ManualHeading1"/>
        <w:rPr>
          <w:noProof/>
        </w:rPr>
      </w:pPr>
      <w:r>
        <w:rPr>
          <w:noProof/>
        </w:rPr>
        <w:t>5.</w:t>
      </w:r>
      <w:r>
        <w:rPr>
          <w:noProof/>
        </w:rPr>
        <w:tab/>
        <w:t>AUTRES ÉLÉMENTS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lang w:val="fr-BE"/>
        </w:rPr>
      </w:pPr>
      <w:r>
        <w:rPr>
          <w:noProof/>
        </w:rPr>
        <w:t xml:space="preserve">Les modalités de suivi sont prévues dans le Protocole dont la prorogation fait l’objet de l’échange de lettres.  </w:t>
      </w:r>
    </w:p>
    <w:p>
      <w:pPr>
        <w:rPr>
          <w:noProof/>
          <w:lang w:val="fr-BE"/>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w:t>
      </w:r>
      <w:r>
        <w:rPr>
          <w:noProof/>
          <w:lang w:val="fr-BE"/>
        </w:rPr>
        <w:t xml:space="preserve"> </w:t>
      </w:r>
      <w:r>
        <w:rPr>
          <w:noProof/>
        </w:rPr>
        <w:t>en liaison avec l'article 218, paragraphe 5,</w:t>
      </w:r>
    </w:p>
    <w:p>
      <w:pPr>
        <w:rPr>
          <w:noProof/>
        </w:rPr>
      </w:pPr>
      <w:r>
        <w:rPr>
          <w:noProof/>
        </w:rPr>
        <w:t>vu la proposition de la Commission européenne,</w:t>
      </w:r>
    </w:p>
    <w:p>
      <w:pPr>
        <w:rPr>
          <w:noProof/>
        </w:rPr>
      </w:pPr>
      <w:r>
        <w:rPr>
          <w:noProof/>
        </w:rPr>
        <w:t>considérant ce qui suit:</w:t>
      </w:r>
    </w:p>
    <w:p>
      <w:pPr>
        <w:ind w:left="709" w:hanging="709"/>
        <w:rPr>
          <w:noProof/>
        </w:rPr>
      </w:pPr>
      <w:r>
        <w:rPr>
          <w:noProof/>
        </w:rPr>
        <w:t>(1)</w:t>
      </w:r>
      <w:r>
        <w:rPr>
          <w:noProof/>
        </w:rPr>
        <w:tab/>
        <w:t>L'accord de partenariat dans le secteur de la pêche entre la Communauté européenne et la République Islamique de Mauritanie</w:t>
      </w:r>
      <w:r>
        <w:rPr>
          <w:rStyle w:val="FootnoteReference"/>
          <w:noProof/>
        </w:rPr>
        <w:footnoteReference w:id="5"/>
      </w:r>
      <w:r>
        <w:rPr>
          <w:noProof/>
        </w:rPr>
        <w:t xml:space="preserve"> (ci-après dénommé l’«accord»), approuvé par le règlement (CE) n° 1801/2006  du Conseil</w:t>
      </w:r>
      <w:r>
        <w:rPr>
          <w:rStyle w:val="FootnoteReference"/>
          <w:noProof/>
        </w:rPr>
        <w:footnoteReference w:id="6"/>
      </w:r>
      <w:r>
        <w:rPr>
          <w:noProof/>
        </w:rPr>
        <w:t xml:space="preserve"> est entré en vigueur le 8 août 2008.</w:t>
      </w:r>
      <w:r>
        <w:rPr>
          <w:noProof/>
          <w:lang w:val="fr-BE"/>
        </w:rPr>
        <w:t>Son protocole fixant les possibilités de pêche et la contrepartie financière prévues par l’accord (</w:t>
      </w:r>
      <w:r>
        <w:rPr>
          <w:noProof/>
        </w:rPr>
        <w:t>ci-après dénommé «le protocole»</w:t>
      </w:r>
      <w:r>
        <w:rPr>
          <w:noProof/>
          <w:lang w:val="fr-BE"/>
        </w:rPr>
        <w:t xml:space="preserve">), entré en vigueur le même jour pour une période de deux ans, </w:t>
      </w:r>
      <w:r>
        <w:rPr>
          <w:noProof/>
        </w:rPr>
        <w:t>a été remplacé plusieurs fois.</w:t>
      </w:r>
    </w:p>
    <w:p>
      <w:pPr>
        <w:ind w:left="709" w:hanging="709"/>
        <w:rPr>
          <w:noProof/>
        </w:rPr>
      </w:pPr>
      <w:r>
        <w:rPr>
          <w:noProof/>
        </w:rPr>
        <w:t>(2)</w:t>
      </w:r>
      <w:r>
        <w:rPr>
          <w:noProof/>
        </w:rPr>
        <w:tab/>
        <w:t>Le dernier protocole à l’accord expire le 15 novembre 2019.</w:t>
      </w:r>
    </w:p>
    <w:p>
      <w:pPr>
        <w:ind w:left="709" w:hanging="709"/>
        <w:rPr>
          <w:noProof/>
        </w:rPr>
      </w:pPr>
      <w:r>
        <w:rPr>
          <w:noProof/>
        </w:rPr>
        <w:t>(3)</w:t>
      </w:r>
      <w:r>
        <w:rPr>
          <w:noProof/>
        </w:rPr>
        <w:tab/>
        <w:t>Le 8 juillet 2019, le Conseil a autorisé la Commission à ouvrir des négociations avec la République Islamique de Mauritanie en vue de la conclusion d'un nouvel accord de partenariat dans le domaine de la pêche durable et d'un protocole mettant en œuvre ledit accord.</w:t>
      </w:r>
    </w:p>
    <w:p>
      <w:pPr>
        <w:ind w:left="709" w:hanging="709"/>
        <w:rPr>
          <w:noProof/>
        </w:rPr>
      </w:pPr>
      <w:r>
        <w:rPr>
          <w:noProof/>
        </w:rPr>
        <w:t>(3)</w:t>
      </w:r>
      <w:r>
        <w:rPr>
          <w:noProof/>
        </w:rPr>
        <w:tab/>
        <w:t>Dans l’attente de la finalisation des négociations pour le renouvellement de l’accord et de son protocole, la Commission a négocié, au nom de l’Union européenne, un accord sous forme d'échange de lettres relatif à la prorogation pour une période maximale d’un an du protocole fixant les possibilités de pêche et la contrepartie financière prévues par l’accord. Ces négociations ont été menées à bonne fin et l’échange de lettres a été paraphé le 4 septembre 2019.</w:t>
      </w:r>
    </w:p>
    <w:p>
      <w:pPr>
        <w:ind w:left="709" w:hanging="709"/>
        <w:rPr>
          <w:noProof/>
        </w:rPr>
      </w:pPr>
      <w:r>
        <w:rPr>
          <w:noProof/>
        </w:rPr>
        <w:lastRenderedPageBreak/>
        <w:t>(4)</w:t>
      </w:r>
      <w:r>
        <w:rPr>
          <w:noProof/>
        </w:rPr>
        <w:tab/>
        <w:t>L'objectif de l’accord sous forme d’échange de lettres est de permettre à l'Union européenne et à la République Islamique de Mauritanie</w:t>
      </w:r>
      <w:r>
        <w:rPr>
          <w:noProof/>
          <w:lang w:val="fr-BE"/>
        </w:rPr>
        <w:t xml:space="preserve"> </w:t>
      </w:r>
      <w:r>
        <w:rPr>
          <w:noProof/>
        </w:rPr>
        <w:t>de continuer à collaborer afin de promouvoir une politique de pêche durable et l'exploitation responsable des ressources halieutiques dans les eaux mauritaniennes</w:t>
      </w:r>
      <w:r>
        <w:rPr>
          <w:noProof/>
          <w:lang w:val="fr-BE"/>
        </w:rPr>
        <w:t xml:space="preserve"> ainsi que</w:t>
      </w:r>
      <w:r>
        <w:rPr>
          <w:noProof/>
        </w:rPr>
        <w:t xml:space="preserve"> de permettre aux navires de l’Union d’exercer leurs activités de pêche dans ces eaux.</w:t>
      </w:r>
    </w:p>
    <w:p>
      <w:pPr>
        <w:ind w:left="709" w:hanging="709"/>
        <w:rPr>
          <w:noProof/>
        </w:rPr>
      </w:pPr>
      <w:r>
        <w:rPr>
          <w:noProof/>
        </w:rPr>
        <w:t>(5)</w:t>
      </w:r>
      <w:r>
        <w:rPr>
          <w:noProof/>
        </w:rPr>
        <w:tab/>
        <w:t xml:space="preserve">Par conséquent, il convient de signer l’accord sous forme d’échange de lettres au nom de l'Union, sous réserve de sa conclusion à une date ultérieure.  </w:t>
      </w:r>
    </w:p>
    <w:p>
      <w:pPr>
        <w:ind w:left="709" w:hanging="709"/>
        <w:rPr>
          <w:noProof/>
        </w:rPr>
      </w:pPr>
      <w:r>
        <w:rPr>
          <w:noProof/>
        </w:rPr>
        <w:t>(6)</w:t>
      </w:r>
      <w:r>
        <w:rPr>
          <w:noProof/>
        </w:rPr>
        <w:tab/>
        <w:t>Afin d’assurer la continuité des activités de pêche des navires de l’Union dans les eaux mauritaniennes, il convient d’appliquer l’accord sous forme d’échange de lettres à titre provisoire.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r>
        <w:rPr>
          <w:noProof/>
          <w:lang w:val="fr-BE"/>
        </w:rPr>
        <w:t xml:space="preserve"> (ci-après dénommé l’ « accord sous forme d’échange de lettres ») </w:t>
      </w:r>
      <w:r>
        <w:rPr>
          <w:noProof/>
        </w:rPr>
        <w:t xml:space="preserve">est approuvée au nom de l’Union, sous réserve de la conclusion dudit </w:t>
      </w:r>
      <w:r>
        <w:rPr>
          <w:noProof/>
          <w:lang w:val="fr-BE"/>
        </w:rPr>
        <w:t>accord</w:t>
      </w:r>
      <w:r>
        <w:rPr>
          <w:noProof/>
        </w:rPr>
        <w:t xml:space="preserve">. </w:t>
      </w:r>
    </w:p>
    <w:p>
      <w:pPr>
        <w:rPr>
          <w:noProof/>
        </w:rPr>
      </w:pPr>
      <w:r>
        <w:rPr>
          <w:noProof/>
        </w:rPr>
        <w:t>Le texte de l’</w:t>
      </w:r>
      <w:r>
        <w:rPr>
          <w:noProof/>
          <w:lang w:val="fr-BE"/>
        </w:rPr>
        <w:t>accord sous forme d’</w:t>
      </w:r>
      <w:r>
        <w:rPr>
          <w:noProof/>
        </w:rPr>
        <w:t>échange de lettres est annexé à la présente décision.</w:t>
      </w:r>
    </w:p>
    <w:p>
      <w:pPr>
        <w:pStyle w:val="Titrearticle"/>
        <w:rPr>
          <w:noProof/>
        </w:rPr>
      </w:pPr>
      <w:r>
        <w:rPr>
          <w:noProof/>
        </w:rPr>
        <w:t>Article 2</w:t>
      </w:r>
    </w:p>
    <w:p>
      <w:pPr>
        <w:rPr>
          <w:noProof/>
        </w:rPr>
      </w:pPr>
      <w:r>
        <w:rPr>
          <w:noProof/>
        </w:rPr>
        <w:t xml:space="preserve">Le secrétariat général du Conseil élabore l’instrument de pleins pouvoirs autorisant la ou les personnes indiquées par le négociateur de l’accord </w:t>
      </w:r>
      <w:r>
        <w:rPr>
          <w:noProof/>
          <w:lang w:val="fr-BE"/>
        </w:rPr>
        <w:t>sous forme d’</w:t>
      </w:r>
      <w:r>
        <w:rPr>
          <w:noProof/>
        </w:rPr>
        <w:t xml:space="preserve">échange de lettres à signer l’accord </w:t>
      </w:r>
      <w:r>
        <w:rPr>
          <w:noProof/>
          <w:lang w:val="fr-BE"/>
        </w:rPr>
        <w:t>sous forme d’</w:t>
      </w:r>
      <w:r>
        <w:rPr>
          <w:noProof/>
        </w:rPr>
        <w:t xml:space="preserve">échange de lettres, sous réserve de sa conclusion. </w:t>
      </w:r>
    </w:p>
    <w:p>
      <w:pPr>
        <w:pStyle w:val="Titrearticle"/>
        <w:rPr>
          <w:noProof/>
        </w:rPr>
      </w:pPr>
      <w:r>
        <w:rPr>
          <w:noProof/>
        </w:rPr>
        <w:t>Article 3</w:t>
      </w:r>
    </w:p>
    <w:p>
      <w:pPr>
        <w:keepNext/>
        <w:rPr>
          <w:noProof/>
        </w:rPr>
      </w:pPr>
      <w:r>
        <w:rPr>
          <w:noProof/>
        </w:rPr>
        <w:t xml:space="preserve">L’accord </w:t>
      </w:r>
      <w:r>
        <w:rPr>
          <w:noProof/>
          <w:lang w:val="fr-BE"/>
        </w:rPr>
        <w:t>sous forme d’</w:t>
      </w:r>
      <w:r>
        <w:rPr>
          <w:noProof/>
        </w:rPr>
        <w:t>échange de lettres  est applicable à titre provisoire, conformément à son point (6), à compter du 16 novembre 2019 ou de toute autre date ultérieure à partir du jour de sa signature  en attendant son entrée en vigueur.</w:t>
      </w:r>
    </w:p>
    <w:p>
      <w:pPr>
        <w:pStyle w:val="Titrearticle"/>
        <w:rPr>
          <w:noProof/>
        </w:rPr>
      </w:pPr>
      <w:r>
        <w:rPr>
          <w:noProof/>
        </w:rPr>
        <w:t>Article 4</w:t>
      </w:r>
    </w:p>
    <w:p>
      <w:pPr>
        <w:keepNext/>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spacing w:before="0" w:after="200" w:line="276" w:lineRule="auto"/>
        <w:jc w:val="left"/>
        <w:rPr>
          <w:i/>
          <w:noProof/>
        </w:rPr>
      </w:pPr>
      <w:r>
        <w:rPr>
          <w:noProof/>
        </w:rPr>
        <w:br w:type="page"/>
      </w:r>
    </w:p>
    <w:p>
      <w:pPr>
        <w:jc w:val="center"/>
        <w:rPr>
          <w:b/>
          <w:noProof/>
          <w:u w:val="single"/>
        </w:rPr>
        <w:sectPr>
          <w:footnotePr>
            <w:numRestart w:val="eachPage"/>
          </w:footnotePr>
          <w:pgSz w:w="11907" w:h="16840" w:code="9"/>
          <w:pgMar w:top="1134" w:right="1418" w:bottom="1134" w:left="1418" w:header="709" w:footer="709" w:gutter="0"/>
          <w:cols w:space="708"/>
          <w:docGrid w:linePitch="360"/>
        </w:sectPr>
      </w:pPr>
    </w:p>
    <w:p>
      <w:pPr>
        <w:pStyle w:val="Fichefinanciretitre"/>
        <w:rPr>
          <w:noProof/>
        </w:rPr>
      </w:pPr>
      <w:r>
        <w:rPr>
          <w:noProof/>
          <w:lang w:val="fr-BE"/>
        </w:rPr>
        <w:lastRenderedPageBreak/>
        <w:t>FICHE FINANCIÈRE LÉGISLATIVE</w:t>
      </w:r>
    </w:p>
    <w:p>
      <w:pPr>
        <w:keepNext/>
        <w:tabs>
          <w:tab w:val="left" w:pos="850"/>
        </w:tabs>
        <w:spacing w:before="360"/>
        <w:ind w:left="850" w:hanging="850"/>
        <w:outlineLvl w:val="0"/>
        <w:rPr>
          <w:b/>
          <w:smallCaps/>
          <w:noProof/>
        </w:rPr>
      </w:pPr>
      <w:bookmarkStart w:id="1" w:name="_Toc514938007"/>
      <w:bookmarkStart w:id="2" w:name="_Toc520485025"/>
      <w:r>
        <w:rPr>
          <w:b/>
          <w:smallCaps/>
          <w:noProof/>
        </w:rPr>
        <w:t>1.</w:t>
      </w:r>
      <w:r>
        <w:rPr>
          <w:b/>
          <w:smallCaps/>
          <w:noProof/>
        </w:rPr>
        <w:tab/>
        <w:t>CADRE DE LA PROPOSITION/DE L'INITIATIVE</w:t>
      </w:r>
      <w:bookmarkEnd w:id="1"/>
      <w:bookmarkEnd w:id="2"/>
      <w:r>
        <w:rPr>
          <w:b/>
          <w:smallCaps/>
          <w:noProof/>
        </w:rPr>
        <w:t xml:space="preserve"> </w:t>
      </w:r>
    </w:p>
    <w:p>
      <w:pPr>
        <w:keepNext/>
        <w:tabs>
          <w:tab w:val="left" w:pos="850"/>
        </w:tabs>
        <w:outlineLvl w:val="1"/>
        <w:rPr>
          <w:b/>
          <w:noProof/>
        </w:rPr>
      </w:pPr>
      <w:bookmarkStart w:id="3" w:name="_Toc514938008"/>
      <w:bookmarkStart w:id="4" w:name="_Toc520485026"/>
      <w:r>
        <w:rPr>
          <w:b/>
          <w:noProof/>
        </w:rPr>
        <w:t>1.1.</w:t>
      </w:r>
      <w:r>
        <w:rPr>
          <w:b/>
          <w:noProof/>
        </w:rPr>
        <w:tab/>
        <w:t>Dénomination de la proposition/de l'initiative</w:t>
      </w:r>
      <w:bookmarkEnd w:id="3"/>
      <w:bookmarkEnd w:id="4"/>
    </w:p>
    <w:p>
      <w:pPr>
        <w:pBdr>
          <w:top w:val="single" w:sz="4" w:space="1" w:color="auto"/>
          <w:left w:val="single" w:sz="4" w:space="4" w:color="auto"/>
          <w:bottom w:val="single" w:sz="4" w:space="1" w:color="auto"/>
          <w:right w:val="single" w:sz="4" w:space="4" w:color="auto"/>
        </w:pBdr>
        <w:ind w:left="850"/>
        <w:rPr>
          <w:noProof/>
        </w:rPr>
      </w:pPr>
      <w:r>
        <w:rPr>
          <w:noProof/>
        </w:rPr>
        <w:t>Proposition de décision du Conseil relative à la signature, au nom de l'Union, et à l'application provisoire de l'accord sous forme d'échange de lettres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p>
    <w:p>
      <w:pPr>
        <w:keepNext/>
        <w:tabs>
          <w:tab w:val="left" w:pos="850"/>
        </w:tabs>
        <w:outlineLvl w:val="1"/>
        <w:rPr>
          <w:noProof/>
        </w:rPr>
      </w:pPr>
      <w:bookmarkStart w:id="5" w:name="_Toc514938011"/>
      <w:bookmarkStart w:id="6" w:name="_Toc520485027"/>
      <w:r>
        <w:rPr>
          <w:b/>
          <w:noProof/>
        </w:rPr>
        <w:t>1.2.</w:t>
      </w:r>
      <w:r>
        <w:rPr>
          <w:b/>
          <w:noProof/>
        </w:rPr>
        <w:tab/>
        <w:t>Domaine(s) politique(s) concerné(s)</w:t>
      </w:r>
      <w:bookmarkEnd w:id="5"/>
      <w:bookmarkEnd w:id="6"/>
      <w:r>
        <w:rPr>
          <w:b/>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11 – Affaires maritimes et pêche</w:t>
      </w:r>
    </w:p>
    <w:p>
      <w:pPr>
        <w:pBdr>
          <w:top w:val="single" w:sz="4" w:space="1" w:color="auto"/>
          <w:left w:val="single" w:sz="4" w:space="4" w:color="auto"/>
          <w:bottom w:val="single" w:sz="4" w:space="1" w:color="auto"/>
          <w:right w:val="single" w:sz="4" w:space="4" w:color="auto"/>
        </w:pBdr>
        <w:ind w:left="850"/>
        <w:rPr>
          <w:noProof/>
        </w:rPr>
      </w:pPr>
      <w:r>
        <w:rPr>
          <w:noProof/>
        </w:rPr>
        <w:t>11.03 – Contributions obligatoires aux organisations régionales de gestion des pêches (ORGP) et autres organisations internationales et accords de pêche durable (APD)</w:t>
      </w:r>
    </w:p>
    <w:p>
      <w:pPr>
        <w:pBdr>
          <w:top w:val="single" w:sz="4" w:space="1" w:color="auto"/>
          <w:left w:val="single" w:sz="4" w:space="4" w:color="auto"/>
          <w:bottom w:val="single" w:sz="4" w:space="1" w:color="auto"/>
          <w:right w:val="single" w:sz="4" w:space="4" w:color="auto"/>
        </w:pBdr>
        <w:ind w:left="850"/>
        <w:rPr>
          <w:noProof/>
        </w:rPr>
      </w:pPr>
      <w:r>
        <w:rPr>
          <w:noProof/>
        </w:rPr>
        <w:t>11.03.01 - Établir un cadre de gouvernance pour les activités de pêche menées par les navires de pêche de l’Union dans les eaux des pays tiers</w:t>
      </w:r>
    </w:p>
    <w:p>
      <w:pPr>
        <w:keepNext/>
        <w:tabs>
          <w:tab w:val="left" w:pos="850"/>
        </w:tabs>
        <w:outlineLvl w:val="1"/>
        <w:rPr>
          <w:b/>
          <w:bCs/>
          <w:noProof/>
          <w:szCs w:val="24"/>
        </w:rPr>
      </w:pPr>
      <w:bookmarkStart w:id="7" w:name="_Toc514938014"/>
      <w:bookmarkStart w:id="8" w:name="_Toc520485028"/>
      <w:r>
        <w:rPr>
          <w:b/>
          <w:noProof/>
        </w:rPr>
        <w:t>1.3.</w:t>
      </w:r>
      <w:r>
        <w:rPr>
          <w:b/>
          <w:noProof/>
        </w:rPr>
        <w:tab/>
        <w:t>La proposition/l’initiative porte sur:</w:t>
      </w:r>
      <w:bookmarkEnd w:id="7"/>
      <w:bookmarkEnd w:id="8"/>
      <w:r>
        <w:rPr>
          <w:b/>
          <w:noProof/>
        </w:rPr>
        <w:t xml:space="preserve"> </w:t>
      </w:r>
    </w:p>
    <w:p>
      <w:pPr>
        <w:ind w:left="850"/>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7"/>
      </w:r>
      <w:r>
        <w:rPr>
          <w:noProof/>
          <w:sz w:val="22"/>
        </w:rPr>
        <w:t xml:space="preserve"> </w:t>
      </w:r>
    </w:p>
    <w:p>
      <w:pPr>
        <w:ind w:left="850"/>
        <w:rPr>
          <w:noProof/>
          <w:sz w:val="22"/>
        </w:rPr>
      </w:pPr>
      <w:r>
        <w:rPr>
          <w:b/>
          <w:noProof/>
        </w:rPr>
        <w:t>X 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keepNext/>
        <w:tabs>
          <w:tab w:val="left" w:pos="850"/>
        </w:tabs>
        <w:outlineLvl w:val="1"/>
        <w:rPr>
          <w:b/>
          <w:bCs/>
          <w:noProof/>
          <w:szCs w:val="24"/>
        </w:rPr>
      </w:pPr>
      <w:bookmarkStart w:id="9" w:name="_Toc514938015"/>
      <w:bookmarkStart w:id="10" w:name="_Toc520485029"/>
      <w:r>
        <w:rPr>
          <w:b/>
          <w:noProof/>
        </w:rPr>
        <w:t>1.4.</w:t>
      </w:r>
      <w:r>
        <w:rPr>
          <w:b/>
          <w:noProof/>
        </w:rPr>
        <w:tab/>
        <w:t>Objectif(s)</w:t>
      </w:r>
      <w:bookmarkEnd w:id="9"/>
      <w:bookmarkEnd w:id="10"/>
    </w:p>
    <w:p>
      <w:pPr>
        <w:keepNext/>
        <w:tabs>
          <w:tab w:val="left" w:pos="850"/>
        </w:tabs>
        <w:outlineLvl w:val="2"/>
        <w:rPr>
          <w:i/>
          <w:noProof/>
        </w:rPr>
      </w:pPr>
      <w:bookmarkStart w:id="11" w:name="_Toc514938016"/>
      <w:bookmarkStart w:id="12" w:name="_Toc520485030"/>
      <w:r>
        <w:rPr>
          <w:i/>
          <w:noProof/>
        </w:rPr>
        <w:t>1.4.1.</w:t>
      </w:r>
      <w:r>
        <w:rPr>
          <w:i/>
          <w:noProof/>
        </w:rPr>
        <w:tab/>
        <w:t>Objectif général / objectifs généraux</w:t>
      </w:r>
      <w:bookmarkEnd w:id="11"/>
      <w:bookmarkEnd w:id="12"/>
    </w:p>
    <w:p>
      <w:pPr>
        <w:pBdr>
          <w:top w:val="single" w:sz="4" w:space="1" w:color="auto"/>
          <w:left w:val="single" w:sz="4" w:space="4" w:color="auto"/>
          <w:bottom w:val="single" w:sz="4" w:space="1" w:color="auto"/>
          <w:right w:val="single" w:sz="4" w:space="4" w:color="auto"/>
        </w:pBdr>
        <w:ind w:left="850"/>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Bdr>
          <w:top w:val="single" w:sz="4" w:space="1" w:color="auto"/>
          <w:left w:val="single" w:sz="4" w:space="4" w:color="auto"/>
          <w:bottom w:val="single" w:sz="4" w:space="1" w:color="auto"/>
          <w:right w:val="single" w:sz="4" w:space="4" w:color="auto"/>
        </w:pBdr>
        <w:ind w:left="850"/>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keepNext/>
        <w:tabs>
          <w:tab w:val="left" w:pos="850"/>
        </w:tabs>
        <w:outlineLvl w:val="2"/>
        <w:rPr>
          <w:bCs/>
          <w:i/>
          <w:noProof/>
          <w:szCs w:val="24"/>
        </w:rPr>
      </w:pPr>
      <w:bookmarkStart w:id="13" w:name="_Toc514938018"/>
      <w:bookmarkStart w:id="14" w:name="_Toc520485031"/>
      <w:r>
        <w:rPr>
          <w:i/>
          <w:noProof/>
        </w:rPr>
        <w:t>1.4.2.</w:t>
      </w:r>
      <w:r>
        <w:rPr>
          <w:i/>
          <w:noProof/>
        </w:rPr>
        <w:tab/>
        <w:t>Objectif(s) spécifique(s)</w:t>
      </w:r>
      <w:bookmarkEnd w:id="13"/>
      <w:bookmarkEnd w:id="14"/>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w:t>
      </w:r>
    </w:p>
    <w:p>
      <w:pPr>
        <w:pBdr>
          <w:top w:val="single" w:sz="4" w:space="1" w:color="auto"/>
          <w:left w:val="single" w:sz="4" w:space="4" w:color="auto"/>
          <w:bottom w:val="single" w:sz="4" w:space="1" w:color="auto"/>
          <w:right w:val="single" w:sz="4" w:space="4" w:color="auto"/>
        </w:pBdr>
        <w:ind w:left="850"/>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Affaires maritimes et pêche, pour établir un cadre de gouvernance pour les activités de pêche menées par les navires de pêche de l’Union européenne dans les eaux des pays tiers (APD) (ligne budgétaire 11.03.01).</w:t>
      </w:r>
    </w:p>
    <w:p>
      <w:pPr>
        <w:keepNext/>
        <w:tabs>
          <w:tab w:val="left" w:pos="850"/>
        </w:tabs>
        <w:outlineLvl w:val="2"/>
        <w:rPr>
          <w:i/>
          <w:noProof/>
        </w:rPr>
      </w:pPr>
      <w:bookmarkStart w:id="15" w:name="_Toc514938019"/>
      <w:bookmarkStart w:id="16" w:name="_Toc520485032"/>
      <w:r>
        <w:rPr>
          <w:i/>
          <w:noProof/>
        </w:rPr>
        <w:t>1.4.3.</w:t>
      </w:r>
      <w:r>
        <w:rPr>
          <w:i/>
          <w:noProof/>
        </w:rPr>
        <w:tab/>
        <w:t>Résultat(s) et incidence(s) attendus</w:t>
      </w:r>
      <w:bookmarkEnd w:id="15"/>
      <w:bookmarkEnd w:id="16"/>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La prorogation du protocole à l’APP existant permet d’éviter l’interruption de l’activité de pêche des navires européens à l’expiration du protocole le 15 novembre 2019. Elle est effective pendant une période maximale d’un an, en attendant la finalisation des négociations pour le renouvellement de l’APP.</w:t>
      </w:r>
    </w:p>
    <w:p>
      <w:pPr>
        <w:pBdr>
          <w:top w:val="single" w:sz="4" w:space="1" w:color="auto"/>
          <w:left w:val="single" w:sz="4" w:space="4" w:color="auto"/>
          <w:bottom w:val="single" w:sz="4" w:space="1" w:color="auto"/>
          <w:right w:val="single" w:sz="4" w:space="4" w:color="auto"/>
        </w:pBdr>
        <w:ind w:left="850"/>
        <w:rPr>
          <w:noProof/>
        </w:rPr>
      </w:pPr>
      <w:r>
        <w:rPr>
          <w:noProof/>
        </w:rPr>
        <w:t>Le protocole permet d’établir un cadre de partenariat stratégique dans le domaine de la pêche entre l’Union européenne et la République Islamique de Mauritanie. Le protocole contribue également à la meilleure gestion et conservation des ressources halieutiques, à travers le soutien financier (appui sectoriel) à la mise en œuvre des programmes adoptés au niveau national par le pays partenaire, notamment en matière de suivi et de lutte contre la pêche illicite et d’appui au secteur de la pêche artisanale.</w:t>
      </w:r>
    </w:p>
    <w:p>
      <w:pPr>
        <w:keepNext/>
        <w:tabs>
          <w:tab w:val="left" w:pos="850"/>
        </w:tabs>
        <w:outlineLvl w:val="2"/>
        <w:rPr>
          <w:i/>
          <w:noProof/>
          <w:szCs w:val="24"/>
        </w:rPr>
      </w:pPr>
      <w:bookmarkStart w:id="17" w:name="_Toc514938023"/>
      <w:bookmarkStart w:id="18" w:name="_Toc520485033"/>
      <w:r>
        <w:rPr>
          <w:i/>
          <w:noProof/>
        </w:rPr>
        <w:t>1.4.4.</w:t>
      </w:r>
      <w:r>
        <w:rPr>
          <w:i/>
          <w:noProof/>
        </w:rPr>
        <w:tab/>
        <w:t>Indicateurs de performance</w:t>
      </w:r>
      <w:bookmarkEnd w:id="17"/>
      <w:bookmarkEnd w:id="18"/>
    </w:p>
    <w:p>
      <w:pPr>
        <w:ind w:left="850"/>
        <w:rPr>
          <w:i/>
          <w:noProof/>
          <w:sz w:val="20"/>
        </w:rPr>
      </w:pPr>
      <w:r>
        <w:rPr>
          <w:i/>
          <w:noProof/>
          <w:sz w:val="20"/>
        </w:rPr>
        <w:t>Préciser les indicateurs permettant de suivre l’avancement et les réalisations.</w:t>
      </w:r>
    </w:p>
    <w:p>
      <w:pPr>
        <w:pBdr>
          <w:top w:val="single" w:sz="4" w:space="1" w:color="auto"/>
          <w:left w:val="single" w:sz="4" w:space="4" w:color="auto"/>
          <w:bottom w:val="single" w:sz="4" w:space="1" w:color="auto"/>
          <w:right w:val="single" w:sz="4" w:space="4" w:color="auto"/>
        </w:pBdr>
        <w:ind w:left="850"/>
        <w:rPr>
          <w:noProof/>
        </w:rPr>
      </w:pPr>
      <w:r>
        <w:rPr>
          <w:noProof/>
        </w:rPr>
        <w:t>Taux d’utilisation des possibilités de pêche (pourcentage annuel des autorisations de pêche utilisées par rapport à la disponibilité offerte par le protocole).</w:t>
      </w:r>
    </w:p>
    <w:p>
      <w:pPr>
        <w:pBdr>
          <w:top w:val="single" w:sz="4" w:space="1" w:color="auto"/>
          <w:left w:val="single" w:sz="4" w:space="4" w:color="auto"/>
          <w:bottom w:val="single" w:sz="4" w:space="1" w:color="auto"/>
          <w:right w:val="single" w:sz="4" w:space="4" w:color="auto"/>
        </w:pBdr>
        <w:ind w:left="850"/>
        <w:rPr>
          <w:noProof/>
        </w:rPr>
      </w:pPr>
      <w:r>
        <w:rPr>
          <w:noProof/>
        </w:rPr>
        <w:t>Données des captures (collecte et analyse) et valeur commerciale de l’accord.</w:t>
      </w:r>
    </w:p>
    <w:p>
      <w:pPr>
        <w:pBdr>
          <w:top w:val="single" w:sz="4" w:space="1" w:color="auto"/>
          <w:left w:val="single" w:sz="4" w:space="4" w:color="auto"/>
          <w:bottom w:val="single" w:sz="4" w:space="1" w:color="auto"/>
          <w:right w:val="single" w:sz="4" w:space="4" w:color="auto"/>
        </w:pBdr>
        <w:ind w:left="850"/>
        <w:rPr>
          <w:noProof/>
        </w:rPr>
      </w:pPr>
      <w:r>
        <w:rPr>
          <w:noProof/>
        </w:rPr>
        <w:t>Contribution à l’emploi et à la valeur ajoutée dans l’Union ainsi qu'à la stabilisation du marché de l’Union (au niveau agrégé avec d’autres APPD).</w:t>
      </w:r>
    </w:p>
    <w:p>
      <w:pPr>
        <w:pBdr>
          <w:top w:val="single" w:sz="4" w:space="1" w:color="auto"/>
          <w:left w:val="single" w:sz="4" w:space="4" w:color="auto"/>
          <w:bottom w:val="single" w:sz="4" w:space="1" w:color="auto"/>
          <w:right w:val="single" w:sz="4" w:space="4" w:color="auto"/>
        </w:pBdr>
        <w:ind w:left="850"/>
        <w:rPr>
          <w:noProof/>
        </w:rPr>
      </w:pPr>
      <w:r>
        <w:rPr>
          <w:noProof/>
        </w:rPr>
        <w:t>Contribution à l’amélioration de la recherche, du suivi et du contrôle des activités de pêche par le pays partenaire et du développement de son secteur de la pêche, notamment artisanale.</w:t>
      </w:r>
    </w:p>
    <w:p>
      <w:pPr>
        <w:keepNext/>
        <w:outlineLvl w:val="1"/>
        <w:rPr>
          <w:b/>
          <w:bCs/>
          <w:noProof/>
          <w:szCs w:val="24"/>
        </w:rPr>
      </w:pPr>
      <w:bookmarkStart w:id="19" w:name="_Toc514938025"/>
      <w:bookmarkStart w:id="20" w:name="_Toc520485034"/>
      <w:r>
        <w:rPr>
          <w:b/>
          <w:noProof/>
        </w:rPr>
        <w:t>1.5.</w:t>
      </w:r>
      <w:r>
        <w:rPr>
          <w:b/>
          <w:noProof/>
        </w:rPr>
        <w:tab/>
        <w:t>Justification(s) de la proposition/de l'initiative</w:t>
      </w:r>
      <w:bookmarkEnd w:id="19"/>
      <w:bookmarkEnd w:id="20"/>
      <w:r>
        <w:rPr>
          <w:b/>
          <w:noProof/>
        </w:rPr>
        <w:t xml:space="preserve"> </w:t>
      </w:r>
    </w:p>
    <w:p>
      <w:pPr>
        <w:keepNext/>
        <w:tabs>
          <w:tab w:val="left" w:pos="850"/>
        </w:tabs>
        <w:outlineLvl w:val="2"/>
        <w:rPr>
          <w:i/>
          <w:noProof/>
        </w:rPr>
      </w:pPr>
      <w:bookmarkStart w:id="21" w:name="_Toc514938026"/>
      <w:bookmarkStart w:id="22" w:name="_Toc520485035"/>
      <w:r>
        <w:rPr>
          <w:i/>
          <w:noProof/>
        </w:rPr>
        <w:t>1.5.1.</w:t>
      </w:r>
      <w:r>
        <w:rPr>
          <w:i/>
          <w:noProof/>
        </w:rPr>
        <w:tab/>
        <w:t>Besoin(s) à satisfaire à court ou à long terme, assorti(s) d’un calendrier détaillé pour la mise en œuvre de l’initiative</w:t>
      </w:r>
      <w:bookmarkEnd w:id="21"/>
      <w:bookmarkEnd w:id="22"/>
    </w:p>
    <w:p>
      <w:pPr>
        <w:pBdr>
          <w:top w:val="single" w:sz="4" w:space="1" w:color="auto"/>
          <w:left w:val="single" w:sz="4" w:space="4" w:color="auto"/>
          <w:bottom w:val="single" w:sz="4" w:space="1" w:color="auto"/>
          <w:right w:val="single" w:sz="4" w:space="4" w:color="auto"/>
        </w:pBdr>
        <w:ind w:left="850"/>
        <w:rPr>
          <w:noProof/>
        </w:rPr>
      </w:pPr>
      <w:r>
        <w:rPr>
          <w:noProof/>
        </w:rPr>
        <w:t>Il est prévu que l’échange de lettres prorogeant le protocole s’applique de manière provisoire à partir de la date de sa signature, à partir du 16 novembre 2019 ou à toute date ultérieure de signature afin d’éviter l’interruption des opérations de pêche en cours sous le protocole actuel.</w:t>
      </w:r>
    </w:p>
    <w:p>
      <w:pPr>
        <w:keepNext/>
        <w:tabs>
          <w:tab w:val="left" w:pos="850"/>
        </w:tabs>
        <w:outlineLvl w:val="2"/>
        <w:rPr>
          <w:bCs/>
          <w:i/>
          <w:noProof/>
          <w:szCs w:val="24"/>
        </w:rPr>
      </w:pPr>
      <w:bookmarkStart w:id="23" w:name="_Toc514938029"/>
      <w:bookmarkStart w:id="24" w:name="_Toc520485036"/>
      <w:r>
        <w:rPr>
          <w:i/>
          <w:noProof/>
        </w:rPr>
        <w:t>1.5.2.</w:t>
      </w:r>
      <w:r>
        <w:rPr>
          <w:i/>
          <w:noProof/>
        </w:rPr>
        <w:tab/>
        <w:t>Valeur ajoutée de l’intervention de l’Union (celle</w:t>
      </w:r>
      <w:r>
        <w:rPr>
          <w:i/>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3"/>
      <w:bookmarkEnd w:id="24"/>
    </w:p>
    <w:p>
      <w:pPr>
        <w:pBdr>
          <w:top w:val="single" w:sz="4" w:space="1" w:color="auto"/>
          <w:left w:val="single" w:sz="4" w:space="4" w:color="auto"/>
          <w:bottom w:val="single" w:sz="4" w:space="1" w:color="auto"/>
          <w:right w:val="single" w:sz="4" w:space="4" w:color="auto"/>
        </w:pBdr>
        <w:ind w:left="850"/>
        <w:rPr>
          <w:noProof/>
        </w:rPr>
      </w:pPr>
      <w:r>
        <w:rPr>
          <w:noProof/>
        </w:rPr>
        <w:t xml:space="preserve">Si l’Union ne conclut pas de nouveau protocole, les navires de l’Union ne pourront plus exercer leurs activités de pêche étant donné que l’accord comporte une clause excluant les activités de pêche ne se déroulant pas dans le cadre défini par un protocole à l’accord. La valeur ajoutée est donc explicite pour la flotte européenne de longue distance. Le protocole offre également un cadre pour une coopération renforcée entre l’Union et la République Islamique de </w:t>
      </w:r>
      <w:r>
        <w:rPr>
          <w:noProof/>
          <w:lang w:val="fr-BE"/>
        </w:rPr>
        <w:t>Mauritanie.</w:t>
      </w:r>
    </w:p>
    <w:p>
      <w:pPr>
        <w:keepNext/>
        <w:tabs>
          <w:tab w:val="left" w:pos="850"/>
        </w:tabs>
        <w:outlineLvl w:val="2"/>
        <w:rPr>
          <w:i/>
          <w:noProof/>
        </w:rPr>
      </w:pPr>
      <w:bookmarkStart w:id="25" w:name="_Toc514938030"/>
      <w:bookmarkStart w:id="26" w:name="_Toc520485037"/>
      <w:r>
        <w:rPr>
          <w:i/>
          <w:noProof/>
        </w:rPr>
        <w:t>1.5.3.</w:t>
      </w:r>
      <w:r>
        <w:rPr>
          <w:i/>
          <w:noProof/>
        </w:rPr>
        <w:tab/>
        <w:t>Leçons tirées d'expériences similaires</w:t>
      </w:r>
      <w:bookmarkEnd w:id="25"/>
      <w:bookmarkEnd w:id="26"/>
    </w:p>
    <w:p>
      <w:pPr>
        <w:pBdr>
          <w:top w:val="single" w:sz="4" w:space="1" w:color="auto"/>
          <w:left w:val="single" w:sz="4" w:space="4" w:color="auto"/>
          <w:bottom w:val="single" w:sz="4" w:space="1" w:color="auto"/>
          <w:right w:val="single" w:sz="4" w:space="4" w:color="auto"/>
        </w:pBdr>
        <w:ind w:left="850"/>
        <w:rPr>
          <w:noProof/>
          <w:lang w:val="fr-BE"/>
        </w:rPr>
      </w:pPr>
      <w:r>
        <w:rPr>
          <w:noProof/>
        </w:rPr>
        <w:t xml:space="preserve">L’analyse des captures historiques dans la zone de pêche de la République Islamique de Mauritanie et des captures récentes dans le cadre de protocoles similaires dans la région, ainsi que les évaluations et avis scientifiques disponibles, ont conduit les parties à fixer de </w:t>
      </w:r>
      <w:r>
        <w:rPr>
          <w:noProof/>
          <w:lang w:val="fr-BE"/>
        </w:rPr>
        <w:t xml:space="preserve">possibilités de pêche en limite de captures (TAC) ou en tonnages de référence pour les catégories  citées dans l’exposé des motifs plus haut. </w:t>
      </w:r>
      <w:r>
        <w:rPr>
          <w:noProof/>
        </w:rPr>
        <w:t xml:space="preserve">L’appui sectoriel tient compte des besoins en termes de renforcement des capacités de l’administration des pêches de </w:t>
      </w:r>
      <w:r>
        <w:rPr>
          <w:noProof/>
          <w:lang w:val="fr-BE"/>
        </w:rPr>
        <w:t xml:space="preserve">la </w:t>
      </w:r>
      <w:r>
        <w:rPr>
          <w:noProof/>
        </w:rPr>
        <w:t xml:space="preserve">la République Islamique de </w:t>
      </w:r>
      <w:r>
        <w:rPr>
          <w:noProof/>
          <w:lang w:val="fr-BE"/>
        </w:rPr>
        <w:t>Mauritanie</w:t>
      </w:r>
      <w:r>
        <w:rPr>
          <w:noProof/>
        </w:rPr>
        <w:t xml:space="preserve"> et des priorités de la stratégie nationale en matière de pêche incluant notamment la recherche scientifique et les activités de contrôle et de monitorage des activités de pêche.</w:t>
      </w:r>
    </w:p>
    <w:p>
      <w:pPr>
        <w:keepNext/>
        <w:tabs>
          <w:tab w:val="left" w:pos="850"/>
        </w:tabs>
        <w:outlineLvl w:val="2"/>
        <w:rPr>
          <w:i/>
          <w:noProof/>
        </w:rPr>
      </w:pPr>
      <w:bookmarkStart w:id="27" w:name="_Toc514938033"/>
      <w:bookmarkStart w:id="28" w:name="_Toc520485038"/>
      <w:r>
        <w:rPr>
          <w:i/>
          <w:noProof/>
        </w:rPr>
        <w:t>1.5.4.</w:t>
      </w:r>
      <w:r>
        <w:rPr>
          <w:i/>
          <w:noProof/>
        </w:rPr>
        <w:tab/>
        <w:t>Compatibilité avec le cadre financier pluriannuel et synergies éventuelles avec d’autres instruments appropriés</w:t>
      </w:r>
      <w:bookmarkEnd w:id="27"/>
      <w:bookmarkEnd w:id="28"/>
    </w:p>
    <w:p>
      <w:pPr>
        <w:pBdr>
          <w:top w:val="single" w:sz="4" w:space="1" w:color="auto"/>
          <w:left w:val="single" w:sz="4" w:space="4" w:color="auto"/>
          <w:bottom w:val="single" w:sz="4" w:space="1" w:color="auto"/>
          <w:right w:val="single" w:sz="4" w:space="4" w:color="auto"/>
        </w:pBdr>
        <w:ind w:left="850"/>
        <w:rPr>
          <w:noProof/>
        </w:rPr>
      </w:pPr>
      <w:r>
        <w:rPr>
          <w:noProof/>
        </w:rPr>
        <w:t xml:space="preserve">Les fonds alloués au titre de la compensation financière pour l’accès de l’APP constituent des recettes fongibles dans le budget national de </w:t>
      </w:r>
      <w:r>
        <w:rPr>
          <w:noProof/>
          <w:lang w:val="fr-BE"/>
        </w:rPr>
        <w:t xml:space="preserve">la </w:t>
      </w:r>
      <w:r>
        <w:rPr>
          <w:noProof/>
        </w:rPr>
        <w:t xml:space="preserve">la République Islamique de </w:t>
      </w:r>
      <w:r>
        <w:rPr>
          <w:noProof/>
          <w:lang w:val="fr-BE"/>
        </w:rPr>
        <w:t>Mauritanie</w:t>
      </w:r>
      <w:r>
        <w:rPr>
          <w:noProof/>
        </w:rPr>
        <w:t>. Toutefois, les fonds dédiés à l’appui sectoriel sont affectés (généralement via inscription dans la loi annuelle des finances) au Ministère compétent pour la pêche, ceci étant une condition pour la conclusion et le suivi des APP. Ces ressources financières sont compatibles avec d’autres sources de financement en provenance d’autres bailleurs de fonds internationaux pour la réalisation de projets et/ou des programmes réalisés au niveau national dans le secteur de la pêche.</w:t>
      </w:r>
    </w:p>
    <w:p>
      <w:pPr>
        <w:keepNext/>
        <w:tabs>
          <w:tab w:val="left" w:pos="850"/>
        </w:tabs>
        <w:outlineLvl w:val="2"/>
        <w:rPr>
          <w:i/>
          <w:noProof/>
        </w:rPr>
      </w:pPr>
      <w:bookmarkStart w:id="29" w:name="_Toc514938036"/>
      <w:bookmarkStart w:id="30" w:name="_Toc520485039"/>
      <w:r>
        <w:rPr>
          <w:i/>
          <w:noProof/>
        </w:rPr>
        <w:t>1.5.5.</w:t>
      </w:r>
      <w:r>
        <w:rPr>
          <w:i/>
          <w:noProof/>
        </w:rPr>
        <w:tab/>
        <w:t>Évaluation des différentes possibilités de financement disponibles, y compris des possibilités de redéploiement</w:t>
      </w:r>
      <w:bookmarkEnd w:id="29"/>
      <w:bookmarkEnd w:id="30"/>
    </w:p>
    <w:p>
      <w:pPr>
        <w:pBdr>
          <w:top w:val="single" w:sz="4" w:space="1" w:color="auto"/>
          <w:left w:val="single" w:sz="4" w:space="4" w:color="auto"/>
          <w:bottom w:val="single" w:sz="4" w:space="1" w:color="auto"/>
          <w:right w:val="single" w:sz="4" w:space="4" w:color="auto"/>
        </w:pBdr>
        <w:ind w:left="850"/>
        <w:rPr>
          <w:noProof/>
        </w:rPr>
      </w:pPr>
      <w:r>
        <w:rPr>
          <w:noProof/>
        </w:rPr>
        <w:t>n/a</w:t>
      </w:r>
    </w:p>
    <w:p>
      <w:pPr>
        <w:ind w:left="850"/>
        <w:rPr>
          <w:noProof/>
        </w:rPr>
      </w:pPr>
    </w:p>
    <w:p>
      <w:pPr>
        <w:keepNext/>
        <w:outlineLvl w:val="1"/>
        <w:rPr>
          <w:b/>
          <w:bCs/>
          <w:noProof/>
          <w:szCs w:val="24"/>
        </w:rPr>
      </w:pPr>
      <w:bookmarkStart w:id="31" w:name="_Toc514938039"/>
      <w:bookmarkStart w:id="32" w:name="_Toc520485040"/>
      <w:r>
        <w:rPr>
          <w:b/>
          <w:noProof/>
        </w:rPr>
        <w:t>Durée et incidence financière de la proposition/de l'initiative</w:t>
      </w:r>
      <w:bookmarkEnd w:id="31"/>
      <w:bookmarkEnd w:id="32"/>
    </w:p>
    <w:p>
      <w:pPr>
        <w:ind w:left="850"/>
        <w:rPr>
          <w:noProof/>
        </w:rPr>
      </w:pPr>
      <w:r>
        <w:rPr>
          <w:b/>
          <w:noProof/>
        </w:rPr>
        <w:t>X</w:t>
      </w:r>
      <w:r>
        <w:rPr>
          <w:b/>
          <w:i/>
          <w:noProof/>
        </w:rPr>
        <w:t xml:space="preserve"> </w:t>
      </w:r>
      <w:r>
        <w:rPr>
          <w:b/>
          <w:noProof/>
        </w:rPr>
        <w:t xml:space="preserve">durée limitée </w:t>
      </w:r>
    </w:p>
    <w:p>
      <w:pPr>
        <w:tabs>
          <w:tab w:val="num" w:pos="1134"/>
        </w:tabs>
        <w:ind w:left="1134" w:hanging="283"/>
        <w:rPr>
          <w:rFonts w:eastAsia="Times New Roman"/>
          <w:noProof/>
          <w:lang w:eastAsia="fr-FR" w:bidi="fr-FR"/>
        </w:rPr>
      </w:pPr>
      <w:r>
        <w:rPr>
          <w:noProof/>
        </w:rPr>
        <w:sym w:font="Wingdings" w:char="F0A8"/>
      </w:r>
      <w:r>
        <w:rPr>
          <w:rFonts w:eastAsia="Times New Roman"/>
          <w:noProof/>
          <w:lang w:eastAsia="fr-FR" w:bidi="fr-FR"/>
        </w:rPr>
        <w:tab/>
        <w:t xml:space="preserve">En vigueur à partir de 2019 jusqu’à 2024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 xml:space="preserve">Incidence financière en 2020 pour les crédits d’engagement et de 2019 jusqu’à 2021 pour les crédits de paiement. </w:t>
      </w:r>
    </w:p>
    <w:p>
      <w:pPr>
        <w:ind w:left="850"/>
        <w:rPr>
          <w:noProof/>
        </w:rPr>
      </w:pPr>
      <w:r>
        <w:rPr>
          <w:noProof/>
        </w:rPr>
        <w:sym w:font="Wingdings" w:char="F0A8"/>
      </w:r>
      <w:r>
        <w:rPr>
          <w:b/>
          <w:i/>
          <w:noProof/>
        </w:rPr>
        <w:t xml:space="preserve"> </w:t>
      </w:r>
      <w:r>
        <w:rPr>
          <w:b/>
          <w:noProof/>
        </w:rPr>
        <w:t>durée illimitée</w:t>
      </w:r>
    </w:p>
    <w:p>
      <w:pPr>
        <w:tabs>
          <w:tab w:val="num" w:pos="1134"/>
        </w:tabs>
        <w:ind w:left="1134" w:hanging="283"/>
        <w:rPr>
          <w:rFonts w:eastAsia="Times New Roman"/>
          <w:noProof/>
          <w:lang w:eastAsia="fr-FR" w:bidi="fr-FR"/>
        </w:rPr>
      </w:pPr>
      <w:r>
        <w:rPr>
          <w:rFonts w:eastAsia="Times New Roman"/>
          <w:noProof/>
          <w:lang w:eastAsia="fr-FR" w:bidi="fr-FR"/>
        </w:rPr>
        <w:t>Mise en œuvre avec une période de montée en puissance de AAAA jusqu'en AAAA,</w:t>
      </w:r>
    </w:p>
    <w:p>
      <w:pPr>
        <w:tabs>
          <w:tab w:val="num" w:pos="1134"/>
        </w:tabs>
        <w:ind w:left="1134" w:hanging="283"/>
        <w:rPr>
          <w:rFonts w:eastAsia="Times New Roman"/>
          <w:noProof/>
          <w:lang w:eastAsia="fr-FR" w:bidi="fr-FR"/>
        </w:rPr>
      </w:pPr>
      <w:r>
        <w:rPr>
          <w:rFonts w:eastAsia="Times New Roman"/>
          <w:noProof/>
          <w:lang w:eastAsia="fr-FR" w:bidi="fr-FR"/>
        </w:rPr>
        <w:t>puis un fonctionnement en rythme de croisière au-delà.</w:t>
      </w:r>
    </w:p>
    <w:p>
      <w:pPr>
        <w:keepNext/>
        <w:outlineLvl w:val="1"/>
        <w:rPr>
          <w:b/>
          <w:bCs/>
          <w:noProof/>
          <w:szCs w:val="24"/>
        </w:rPr>
      </w:pPr>
      <w:bookmarkStart w:id="33" w:name="_Toc514938040"/>
      <w:bookmarkStart w:id="34" w:name="_Toc520485041"/>
      <w:r>
        <w:rPr>
          <w:b/>
          <w:noProof/>
        </w:rPr>
        <w:t>Mode(s) de gestion prévu(s)</w:t>
      </w:r>
      <w:r>
        <w:rPr>
          <w:rStyle w:val="FootnoteReference"/>
          <w:noProof/>
        </w:rPr>
        <w:footnoteReference w:id="8"/>
      </w:r>
      <w:bookmarkEnd w:id="33"/>
      <w:bookmarkEnd w:id="34"/>
      <w:r>
        <w:rPr>
          <w:b/>
          <w:noProof/>
          <w:vertAlign w:val="superscript"/>
        </w:rPr>
        <w:t xml:space="preserve"> </w:t>
      </w:r>
    </w:p>
    <w:p>
      <w:pPr>
        <w:ind w:left="850"/>
        <w:rPr>
          <w:noProof/>
        </w:rPr>
      </w:pPr>
      <w:r>
        <w:rPr>
          <w:b/>
          <w:noProof/>
        </w:rPr>
        <w:t>X</w:t>
      </w:r>
      <w:r>
        <w:rPr>
          <w:i/>
          <w:noProof/>
        </w:rPr>
        <w:t xml:space="preserve"> </w:t>
      </w:r>
      <w:r>
        <w:rPr>
          <w:b/>
          <w:noProof/>
        </w:rPr>
        <w:t>Gestion directe</w:t>
      </w:r>
      <w:r>
        <w:rPr>
          <w:noProof/>
        </w:rPr>
        <w:t xml:space="preserve"> par la Commission</w:t>
      </w:r>
    </w:p>
    <w:p>
      <w:pPr>
        <w:tabs>
          <w:tab w:val="num" w:pos="1134"/>
        </w:tabs>
        <w:ind w:left="1134" w:hanging="283"/>
        <w:rPr>
          <w:rFonts w:eastAsia="Times New Roman" w:cs="EUAlbertina"/>
          <w:noProof/>
          <w:lang w:eastAsia="fr-FR" w:bidi="fr-FR"/>
        </w:rPr>
      </w:pPr>
      <w:r>
        <w:rPr>
          <w:rFonts w:eastAsia="Times New Roman"/>
          <w:b/>
          <w:noProof/>
          <w:lang w:eastAsia="fr-FR" w:bidi="fr-FR"/>
        </w:rPr>
        <w:t>X</w:t>
      </w:r>
      <w:r>
        <w:rPr>
          <w:rFonts w:eastAsia="Times New Roman"/>
          <w:noProof/>
          <w:lang w:eastAsia="fr-FR" w:bidi="fr-FR"/>
        </w:rPr>
        <w:t xml:space="preserve"> dans ses services, y compris par l’intermédiaire de son personnel dans les délégations de l’Union;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 xml:space="preserve">par les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pays tiers ou aux organismes qu’ils ont désignés;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organisations internationales et à leurs agences (à préciser);</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la BEI et au Fonds européen d’investissement;</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aux organismes visés aux articles 70 et 71 du règlement financier;</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organismes de droit public;</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organismes de droit privé d’un État membre qui sont chargés de la mise en œuvre d’un partenariat public</w:t>
      </w:r>
      <w:r>
        <w:rPr>
          <w:rFonts w:eastAsia="Times New Roman"/>
          <w:noProof/>
          <w:lang w:eastAsia="fr-FR" w:bidi="fr-FR"/>
        </w:rPr>
        <w:noBreakHyphen/>
        <w:t>privé et présentent les garanties financières suffisantes;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i/>
          <w:noProof/>
          <w:sz w:val="18"/>
          <w:u w:val="single"/>
          <w:lang w:eastAsia="fr-FR" w:bidi="fr-FR"/>
        </w:rPr>
      </w:pPr>
      <w:r>
        <w:rPr>
          <w:rFonts w:eastAsia="Times New Roman"/>
          <w:i/>
          <w:noProof/>
          <w:sz w:val="18"/>
          <w:lang w:eastAsia="fr-FR" w:bidi="fr-FR"/>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bookmarkStart w:id="35" w:name="_Toc514938041"/>
      <w:bookmarkStart w:id="36" w:name="_Toc520485042"/>
      <w:r>
        <w:rPr>
          <w:b/>
          <w:smallCaps/>
          <w:noProof/>
        </w:rPr>
        <w:t>2.</w:t>
      </w:r>
      <w:r>
        <w:rPr>
          <w:b/>
          <w:smallCaps/>
          <w:noProof/>
        </w:rPr>
        <w:tab/>
        <w:t>MESURES DE GESTION</w:t>
      </w:r>
      <w:bookmarkEnd w:id="35"/>
      <w:bookmarkEnd w:id="36"/>
      <w:r>
        <w:rPr>
          <w:b/>
          <w:smallCaps/>
          <w:noProof/>
        </w:rPr>
        <w:t xml:space="preserve"> </w:t>
      </w:r>
    </w:p>
    <w:p>
      <w:pPr>
        <w:keepNext/>
        <w:outlineLvl w:val="1"/>
        <w:rPr>
          <w:b/>
          <w:noProof/>
        </w:rPr>
      </w:pPr>
      <w:bookmarkStart w:id="37" w:name="_Toc514938042"/>
      <w:bookmarkStart w:id="38" w:name="_Toc520485043"/>
      <w:r>
        <w:rPr>
          <w:b/>
          <w:noProof/>
        </w:rPr>
        <w:t>2.1.</w:t>
      </w:r>
      <w:r>
        <w:rPr>
          <w:b/>
          <w:noProof/>
        </w:rPr>
        <w:tab/>
        <w:t>Dispositions en matière de suivi et de compte rendu</w:t>
      </w:r>
      <w:bookmarkEnd w:id="37"/>
      <w:bookmarkEnd w:id="38"/>
      <w:r>
        <w:rPr>
          <w:b/>
          <w:noProof/>
        </w:rPr>
        <w:t xml:space="preserve"> </w:t>
      </w:r>
    </w:p>
    <w:p>
      <w:pPr>
        <w:ind w:left="850"/>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La Commission (DG MARE, en collaboration avec son attaché pêche basé dans le Pays (Nouakchott) assurera un suivi régulier de la mise en œuvre du protocole en ce qui concerne l’utilisation par les opérateurs des possibilités de pêche, les données de captures et le respect des conditions de l’appui sectoriel. </w:t>
      </w:r>
    </w:p>
    <w:p>
      <w:pPr>
        <w:pBdr>
          <w:top w:val="single" w:sz="4" w:space="1" w:color="auto"/>
          <w:left w:val="single" w:sz="4" w:space="4" w:color="auto"/>
          <w:bottom w:val="single" w:sz="4" w:space="1" w:color="auto"/>
          <w:right w:val="single" w:sz="4" w:space="4" w:color="auto"/>
        </w:pBdr>
        <w:ind w:left="850"/>
        <w:rPr>
          <w:noProof/>
        </w:rPr>
      </w:pPr>
      <w:r>
        <w:rPr>
          <w:noProof/>
        </w:rPr>
        <w:t>En outre, l’APP prévoit au moins une réunion annuelle de la commission mixte pendant laquelle la Commission et la la République Islamique de Mauritanie font le point sur la mise en œuvre de l’accord et de son protocole et apportent, si nécessaire, des ajustements à la programmation et, le cas échéant, à la contrepartie financière.</w:t>
      </w:r>
    </w:p>
    <w:p>
      <w:pPr>
        <w:keepNext/>
        <w:outlineLvl w:val="1"/>
        <w:rPr>
          <w:b/>
          <w:bCs/>
          <w:noProof/>
          <w:szCs w:val="24"/>
        </w:rPr>
      </w:pPr>
      <w:bookmarkStart w:id="39" w:name="_Toc514938045"/>
      <w:bookmarkStart w:id="40" w:name="_Toc520485044"/>
      <w:r>
        <w:rPr>
          <w:b/>
          <w:noProof/>
        </w:rPr>
        <w:t>2.2.</w:t>
      </w:r>
      <w:r>
        <w:rPr>
          <w:b/>
          <w:noProof/>
        </w:rPr>
        <w:tab/>
        <w:t>Système(s) de gestion et de contrôle</w:t>
      </w:r>
      <w:bookmarkEnd w:id="39"/>
      <w:bookmarkEnd w:id="40"/>
      <w:r>
        <w:rPr>
          <w:b/>
          <w:noProof/>
        </w:rPr>
        <w:t xml:space="preserve"> </w:t>
      </w:r>
    </w:p>
    <w:p>
      <w:pPr>
        <w:keepNext/>
        <w:tabs>
          <w:tab w:val="left" w:pos="850"/>
        </w:tabs>
        <w:outlineLvl w:val="2"/>
        <w:rPr>
          <w:i/>
          <w:noProof/>
        </w:rPr>
      </w:pPr>
      <w:bookmarkStart w:id="41" w:name="_Toc514938046"/>
      <w:bookmarkStart w:id="42" w:name="_Toc520485045"/>
      <w:r>
        <w:rPr>
          <w:i/>
          <w:noProof/>
        </w:rPr>
        <w:t>2.2.1.</w:t>
      </w:r>
      <w:r>
        <w:rPr>
          <w:i/>
          <w:noProof/>
        </w:rPr>
        <w:tab/>
        <w:t>Justification du (des) mode(s) de gestion, du (des) mécanisme(s) de mise en œuvre du financement, des modalités de paiement et de la stratégie de contrôle proposée</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 xml:space="preserve">Le risque identifié est une sous-utilisation des possibilités de pêche de la part des armateurs de l’UE et une sous-utilisation ou des retards dans l’utilisation des fonds destinés au financement de la politique sectorielle de la pêche par </w:t>
      </w:r>
      <w:r>
        <w:rPr>
          <w:noProof/>
          <w:lang w:val="fr-BE"/>
        </w:rPr>
        <w:t xml:space="preserve">la </w:t>
      </w:r>
      <w:r>
        <w:rPr>
          <w:noProof/>
        </w:rPr>
        <w:t xml:space="preserve">la République Islamique de </w:t>
      </w:r>
      <w:r>
        <w:rPr>
          <w:noProof/>
          <w:lang w:val="fr-BE"/>
        </w:rPr>
        <w:t>Mauritanie.</w:t>
      </w:r>
    </w:p>
    <w:p>
      <w:pPr>
        <w:keepNext/>
        <w:tabs>
          <w:tab w:val="left" w:pos="850"/>
        </w:tabs>
        <w:outlineLvl w:val="2"/>
        <w:rPr>
          <w:bCs/>
          <w:i/>
          <w:noProof/>
          <w:szCs w:val="24"/>
        </w:rPr>
      </w:pPr>
      <w:bookmarkStart w:id="43" w:name="_Toc514938047"/>
      <w:bookmarkStart w:id="44" w:name="_Toc520485046"/>
      <w:r>
        <w:rPr>
          <w:i/>
          <w:noProof/>
        </w:rPr>
        <w:t>2.2.2.</w:t>
      </w:r>
      <w:r>
        <w:rPr>
          <w:i/>
          <w:noProof/>
        </w:rPr>
        <w:tab/>
        <w:t>Informations sur les risques recensés et sur le(s) système(s) de contrôle interne mis en place pour les atténuer</w:t>
      </w:r>
      <w:bookmarkEnd w:id="43"/>
      <w:bookmarkEnd w:id="44"/>
    </w:p>
    <w:p>
      <w:pPr>
        <w:pBdr>
          <w:top w:val="single" w:sz="4" w:space="1" w:color="auto"/>
          <w:left w:val="single" w:sz="4" w:space="4" w:color="auto"/>
          <w:bottom w:val="single" w:sz="4" w:space="1" w:color="auto"/>
          <w:right w:val="single" w:sz="4" w:space="4" w:color="auto"/>
        </w:pBdr>
        <w:ind w:left="850"/>
        <w:rPr>
          <w:noProof/>
          <w:lang w:val="fr-BE"/>
        </w:rPr>
      </w:pPr>
      <w:r>
        <w:rPr>
          <w:noProof/>
        </w:rPr>
        <w:t>Il est prévu un dialogue soutenu sur la programmation et la mise en œuvre de la politique sectorielle prévue par l’accord et le protocole. L’analyse conjointe des résultats fait également partie de ces moyens de contrôle.</w:t>
      </w:r>
    </w:p>
    <w:p>
      <w:pPr>
        <w:pBdr>
          <w:top w:val="single" w:sz="4" w:space="1" w:color="auto"/>
          <w:left w:val="single" w:sz="4" w:space="4" w:color="auto"/>
          <w:bottom w:val="single" w:sz="4" w:space="1" w:color="auto"/>
          <w:right w:val="single" w:sz="4" w:space="4" w:color="auto"/>
        </w:pBdr>
        <w:ind w:left="850"/>
        <w:rPr>
          <w:noProof/>
        </w:rPr>
      </w:pPr>
      <w:r>
        <w:rPr>
          <w:noProof/>
        </w:rPr>
        <w:t>Par ailleurs l’accord et le protocole prévoient des clauses spécifiques pour leur suspension, à certaines conditions et dans des circonstances déterminées.</w:t>
      </w:r>
    </w:p>
    <w:p>
      <w:pPr>
        <w:keepNext/>
        <w:tabs>
          <w:tab w:val="left" w:pos="850"/>
        </w:tabs>
        <w:outlineLvl w:val="2"/>
        <w:rPr>
          <w:i/>
          <w:noProof/>
        </w:rPr>
      </w:pPr>
      <w:bookmarkStart w:id="45" w:name="_Toc514938048"/>
      <w:bookmarkStart w:id="46" w:name="_Toc520485047"/>
      <w:r>
        <w:rPr>
          <w:i/>
          <w:noProof/>
          <w:lang w:val="fr-BE"/>
        </w:rPr>
        <w:br w:type="page"/>
      </w:r>
      <w:r>
        <w:rPr>
          <w:i/>
          <w:noProof/>
        </w:rPr>
        <w:t>2.2.3.</w:t>
      </w:r>
      <w:r>
        <w:rPr>
          <w:i/>
          <w:noProof/>
        </w:rPr>
        <w:tab/>
        <w:t>Estimation et justification du rapport coût/efficacité des contrôles (rapport «coûts du contrôle ÷ valeur des fonds gérés concernés»), et évaluation du niveau attendu de risque d’erreur (lors du paiement et lors de la clôture)</w:t>
      </w:r>
      <w:bookmarkEnd w:id="45"/>
      <w:bookmarkEnd w:id="46"/>
      <w:r>
        <w:rPr>
          <w:i/>
          <w:noProof/>
        </w:rPr>
        <w:t xml:space="preserve"> </w:t>
      </w:r>
    </w:p>
    <w:p>
      <w:pPr>
        <w:pBdr>
          <w:top w:val="single" w:sz="4" w:space="1" w:color="auto"/>
          <w:left w:val="single" w:sz="4" w:space="4" w:color="auto"/>
          <w:bottom w:val="single" w:sz="4" w:space="1" w:color="auto"/>
          <w:right w:val="single" w:sz="4" w:space="4" w:color="auto"/>
        </w:pBdr>
        <w:ind w:left="850"/>
        <w:rPr>
          <w:noProof/>
          <w:lang w:val="fr-BE"/>
        </w:rPr>
      </w:pPr>
    </w:p>
    <w:p>
      <w:pPr>
        <w:keepNext/>
        <w:outlineLvl w:val="1"/>
        <w:rPr>
          <w:b/>
          <w:bCs/>
          <w:noProof/>
          <w:szCs w:val="24"/>
        </w:rPr>
      </w:pPr>
      <w:bookmarkStart w:id="47" w:name="_Toc514938049"/>
      <w:bookmarkStart w:id="48" w:name="_Toc520485048"/>
      <w:r>
        <w:rPr>
          <w:b/>
          <w:noProof/>
        </w:rPr>
        <w:t>2.3.</w:t>
      </w:r>
      <w:r>
        <w:rPr>
          <w:b/>
          <w:noProof/>
        </w:rPr>
        <w:tab/>
        <w:t>Mesures de prévention des fraudes et irrégularités</w:t>
      </w:r>
      <w:bookmarkEnd w:id="47"/>
      <w:bookmarkEnd w:id="48"/>
      <w:r>
        <w:rPr>
          <w:b/>
          <w:noProof/>
        </w:rPr>
        <w:t xml:space="preserve"> </w:t>
      </w:r>
    </w:p>
    <w:p>
      <w:pPr>
        <w:ind w:left="850"/>
        <w:rPr>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rPr>
      </w:pPr>
      <w:r>
        <w:rPr>
          <w:noProof/>
        </w:rPr>
        <w:t>La Commission s’engage à établir un dialogue politique et une concertation régulière avec la République Islamique de Mauritanie afin de pouvoir améliorer la gestion de l’accord et du protocole et de renforcer la contribution de l’Union à la gestion durable des ressources. Tout paiement effectué par la Commission dans le cadre d'un APP est soumis aux règles et aux procédures budgétaires et financières normales de la Commission. En particulier, les comptes bancaires des pays tiers sur lesquels sont versés les montants de la contrepartie financière sont identifiés de façon complète. Le protocole établit que la contrepartie financière doit être versée sur un compte du Trésor public ouvert auprès de la Banque centrale de M</w:t>
      </w:r>
      <w:r>
        <w:rPr>
          <w:noProof/>
          <w:lang w:val="fr-BE"/>
        </w:rPr>
        <w:t>auritanie.</w:t>
      </w:r>
      <w:r>
        <w:rPr>
          <w:noProof/>
        </w:rPr>
        <w:t xml:space="preserve"> </w:t>
      </w:r>
    </w:p>
    <w:p>
      <w:pPr>
        <w:rPr>
          <w:noProof/>
        </w:rPr>
        <w:sectPr>
          <w:footnotePr>
            <w:numRestart w:val="eachSect"/>
          </w:footnotePr>
          <w:pgSz w:w="11907" w:h="16840" w:code="9"/>
          <w:pgMar w:top="1134" w:right="1418" w:bottom="1134" w:left="1418" w:header="709" w:footer="709" w:gutter="0"/>
          <w:cols w:space="708"/>
          <w:docGrid w:linePitch="360"/>
        </w:sectPr>
      </w:pPr>
    </w:p>
    <w:p>
      <w:pPr>
        <w:keepNext/>
        <w:tabs>
          <w:tab w:val="left" w:pos="850"/>
        </w:tabs>
        <w:spacing w:before="360"/>
        <w:ind w:left="850" w:hanging="850"/>
        <w:outlineLvl w:val="0"/>
        <w:rPr>
          <w:b/>
          <w:bCs/>
          <w:smallCaps/>
          <w:noProof/>
          <w:szCs w:val="24"/>
        </w:rPr>
      </w:pPr>
      <w:bookmarkStart w:id="49" w:name="_Toc514938050"/>
      <w:bookmarkStart w:id="50" w:name="_Toc520485049"/>
      <w:r>
        <w:rPr>
          <w:b/>
          <w:smallCaps/>
          <w:noProof/>
        </w:rPr>
        <w:t>3.</w:t>
      </w:r>
      <w:r>
        <w:rPr>
          <w:b/>
          <w:smallCaps/>
          <w:noProof/>
        </w:rPr>
        <w:tab/>
        <w:t>INCIDENCE FINANCIÈRE ESTIMÉE DE LA PROPOSITION/DE L'INITIATIVE</w:t>
      </w:r>
      <w:bookmarkEnd w:id="49"/>
      <w:bookmarkEnd w:id="50"/>
      <w:r>
        <w:rPr>
          <w:b/>
          <w:smallCaps/>
          <w:noProof/>
        </w:rPr>
        <w:t xml:space="preserve"> </w:t>
      </w:r>
    </w:p>
    <w:p>
      <w:pPr>
        <w:keepNext/>
        <w:outlineLvl w:val="1"/>
        <w:rPr>
          <w:b/>
          <w:noProof/>
        </w:rPr>
      </w:pPr>
      <w:bookmarkStart w:id="51" w:name="_Toc514938051"/>
      <w:bookmarkStart w:id="52" w:name="_Toc520485050"/>
      <w:r>
        <w:rPr>
          <w:b/>
          <w:noProof/>
        </w:rPr>
        <w:t>3.1.</w:t>
      </w:r>
      <w:r>
        <w:rPr>
          <w:b/>
          <w:noProof/>
        </w:rPr>
        <w:tab/>
        <w:t>Rubrique(s) du cadre financier pluriannuel et ligne(s) budgétaire(s) de dépenses concernée(s)</w:t>
      </w:r>
      <w:bookmarkEnd w:id="51"/>
      <w:bookmarkEnd w:id="52"/>
      <w:r>
        <w:rPr>
          <w:b/>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t xml:space="preserve">Lignes budgétaires existantes </w:t>
      </w:r>
    </w:p>
    <w:p>
      <w:pPr>
        <w:ind w:left="850"/>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rPr>
              <w:footnoteReference w:id="9"/>
            </w:r>
          </w:p>
        </w:tc>
        <w:tc>
          <w:tcPr>
            <w:tcW w:w="1076" w:type="dxa"/>
            <w:vAlign w:val="center"/>
          </w:tcPr>
          <w:p>
            <w:pPr>
              <w:jc w:val="center"/>
              <w:rPr>
                <w:noProof/>
              </w:rPr>
            </w:pPr>
            <w:r>
              <w:rPr>
                <w:noProof/>
                <w:sz w:val="18"/>
              </w:rPr>
              <w:t>de pays AELE</w:t>
            </w:r>
            <w:r>
              <w:rPr>
                <w:rStyle w:val="FootnoteReference"/>
                <w:noProof/>
              </w:rPr>
              <w:footnoteReference w:id="10"/>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11"/>
            </w:r>
          </w:p>
          <w:p>
            <w:pPr>
              <w:spacing w:before="0" w:after="0"/>
              <w:jc w:val="center"/>
              <w:rPr>
                <w:noProof/>
                <w:sz w:val="18"/>
              </w:rPr>
            </w:pP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européennes dans les eaux des pays tiers (APD)</w:t>
            </w:r>
          </w:p>
        </w:tc>
        <w:tc>
          <w:tcPr>
            <w:tcW w:w="1080" w:type="dxa"/>
            <w:vAlign w:val="center"/>
          </w:tcPr>
          <w:p>
            <w:pPr>
              <w:jc w:val="center"/>
              <w:rPr>
                <w:noProof/>
                <w:color w:val="0000FF"/>
              </w:rPr>
            </w:pPr>
            <w:r>
              <w:rPr>
                <w:noProof/>
                <w:sz w:val="22"/>
              </w:rPr>
              <w:t>CD</w:t>
            </w:r>
          </w:p>
        </w:tc>
        <w:tc>
          <w:tcPr>
            <w:tcW w:w="1076" w:type="dxa"/>
            <w:vAlign w:val="center"/>
          </w:tcPr>
          <w:p>
            <w:pPr>
              <w:jc w:val="center"/>
              <w:rPr>
                <w:noProof/>
                <w:sz w:val="20"/>
                <w:szCs w:val="20"/>
              </w:rPr>
            </w:pPr>
            <w:r>
              <w:rPr>
                <w:noProof/>
                <w:sz w:val="20"/>
              </w:rPr>
              <w:t>NON</w:t>
            </w:r>
          </w:p>
        </w:tc>
        <w:tc>
          <w:tcPr>
            <w:tcW w:w="1080" w:type="dxa"/>
            <w:vAlign w:val="center"/>
          </w:tcPr>
          <w:p>
            <w:pPr>
              <w:jc w:val="center"/>
              <w:rPr>
                <w:noProof/>
                <w:sz w:val="20"/>
                <w:szCs w:val="20"/>
              </w:rPr>
            </w:pPr>
            <w:r>
              <w:rPr>
                <w:noProof/>
                <w:sz w:val="20"/>
              </w:rPr>
              <w:t>NON</w:t>
            </w:r>
          </w:p>
        </w:tc>
        <w:tc>
          <w:tcPr>
            <w:tcW w:w="1084" w:type="dxa"/>
            <w:vAlign w:val="center"/>
          </w:tcPr>
          <w:p>
            <w:pPr>
              <w:jc w:val="center"/>
              <w:rPr>
                <w:noProof/>
                <w:sz w:val="20"/>
                <w:szCs w:val="20"/>
              </w:rPr>
            </w:pPr>
            <w:r>
              <w:rPr>
                <w:noProof/>
                <w:sz w:val="20"/>
              </w:rPr>
              <w:t>NON</w:t>
            </w:r>
          </w:p>
        </w:tc>
        <w:tc>
          <w:tcPr>
            <w:tcW w:w="1320" w:type="dxa"/>
            <w:vAlign w:val="center"/>
          </w:tcPr>
          <w:p>
            <w:pPr>
              <w:jc w:val="center"/>
              <w:rPr>
                <w:noProof/>
                <w:sz w:val="20"/>
                <w:szCs w:val="20"/>
              </w:rPr>
            </w:pPr>
            <w:r>
              <w:rPr>
                <w:noProof/>
                <w:sz w:val="20"/>
              </w:rPr>
              <w:t>NON</w:t>
            </w:r>
          </w:p>
        </w:tc>
      </w:tr>
    </w:tbl>
    <w:p>
      <w:pPr>
        <w:tabs>
          <w:tab w:val="num" w:pos="1134"/>
        </w:tabs>
        <w:ind w:left="1134" w:hanging="283"/>
        <w:rPr>
          <w:rFonts w:eastAsia="Times New Roman"/>
          <w:noProof/>
          <w:lang w:eastAsia="fr-FR" w:bidi="fr-FR"/>
        </w:rPr>
      </w:pPr>
      <w:r>
        <w:rPr>
          <w:rFonts w:eastAsia="Times New Roman"/>
          <w:noProof/>
          <w:lang w:eastAsia="fr-FR" w:bidi="fr-FR"/>
        </w:rPr>
        <w:t xml:space="preserve">Nouvelles lignes budgétaires, dont la création est demandée </w:t>
      </w:r>
    </w:p>
    <w:p>
      <w:pPr>
        <w:ind w:left="850"/>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p>
        </w:tc>
        <w:tc>
          <w:tcPr>
            <w:tcW w:w="107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OUI/NON</w:t>
            </w:r>
          </w:p>
        </w:tc>
        <w:tc>
          <w:tcPr>
            <w:tcW w:w="1080" w:type="dxa"/>
            <w:vAlign w:val="center"/>
          </w:tcPr>
          <w:p>
            <w:pPr>
              <w:jc w:val="center"/>
              <w:rPr>
                <w:noProof/>
                <w:color w:val="0000FF"/>
                <w:sz w:val="20"/>
                <w:szCs w:val="20"/>
              </w:rPr>
            </w:pPr>
            <w:r>
              <w:rPr>
                <w:noProof/>
                <w:sz w:val="20"/>
              </w:rPr>
              <w:t>OUI/NON</w:t>
            </w:r>
          </w:p>
        </w:tc>
        <w:tc>
          <w:tcPr>
            <w:tcW w:w="1084" w:type="dxa"/>
            <w:vAlign w:val="center"/>
          </w:tcPr>
          <w:p>
            <w:pPr>
              <w:jc w:val="center"/>
              <w:rPr>
                <w:noProof/>
                <w:color w:val="0000FF"/>
                <w:sz w:val="20"/>
                <w:szCs w:val="20"/>
              </w:rPr>
            </w:pPr>
            <w:r>
              <w:rPr>
                <w:noProof/>
                <w:sz w:val="20"/>
              </w:rPr>
              <w:t>OUI/NON</w:t>
            </w:r>
          </w:p>
        </w:tc>
        <w:tc>
          <w:tcPr>
            <w:tcW w:w="1320" w:type="dxa"/>
            <w:vAlign w:val="center"/>
          </w:tcPr>
          <w:p>
            <w:pPr>
              <w:jc w:val="center"/>
              <w:rPr>
                <w:noProof/>
                <w:sz w:val="20"/>
                <w:szCs w:val="20"/>
              </w:rPr>
            </w:pPr>
            <w:r>
              <w:rPr>
                <w:noProof/>
                <w:sz w:val="20"/>
              </w:rPr>
              <w:t>OUI/NON</w:t>
            </w:r>
          </w:p>
        </w:tc>
      </w:tr>
    </w:tbl>
    <w:p>
      <w:pPr>
        <w:rPr>
          <w:noProof/>
        </w:rPr>
        <w:sectPr>
          <w:footnotePr>
            <w:numRestart w:val="eachSect"/>
          </w:footnotePr>
          <w:pgSz w:w="11907" w:h="16840" w:code="1"/>
          <w:pgMar w:top="1134" w:right="1418" w:bottom="1134" w:left="1418" w:header="709" w:footer="709" w:gutter="0"/>
          <w:cols w:space="708"/>
          <w:docGrid w:linePitch="360"/>
        </w:sectPr>
      </w:pPr>
    </w:p>
    <w:p>
      <w:pPr>
        <w:keepNext/>
        <w:outlineLvl w:val="1"/>
        <w:rPr>
          <w:b/>
          <w:bCs/>
          <w:noProof/>
          <w:szCs w:val="24"/>
        </w:rPr>
      </w:pPr>
      <w:bookmarkStart w:id="53" w:name="_Toc514938052"/>
      <w:bookmarkStart w:id="54" w:name="_Toc520485051"/>
      <w:r>
        <w:rPr>
          <w:b/>
          <w:noProof/>
        </w:rPr>
        <w:t>3.2.</w:t>
      </w:r>
      <w:r>
        <w:rPr>
          <w:b/>
          <w:noProof/>
        </w:rPr>
        <w:tab/>
        <w:t>Incidence financière estimée de la proposition sur les crédits</w:t>
      </w:r>
      <w:bookmarkEnd w:id="53"/>
      <w:bookmarkEnd w:id="54"/>
      <w:r>
        <w:rPr>
          <w:b/>
          <w:noProof/>
        </w:rPr>
        <w:t xml:space="preserve"> </w:t>
      </w:r>
    </w:p>
    <w:p>
      <w:pPr>
        <w:keepNext/>
        <w:tabs>
          <w:tab w:val="left" w:pos="850"/>
        </w:tabs>
        <w:outlineLvl w:val="2"/>
        <w:rPr>
          <w:i/>
          <w:noProof/>
        </w:rPr>
      </w:pPr>
      <w:bookmarkStart w:id="55" w:name="_Toc514938053"/>
      <w:bookmarkStart w:id="56" w:name="_Toc520485052"/>
      <w:r>
        <w:rPr>
          <w:i/>
          <w:noProof/>
        </w:rPr>
        <w:t>3.2.1.</w:t>
      </w:r>
      <w:r>
        <w:rPr>
          <w:i/>
          <w:noProof/>
        </w:rPr>
        <w:tab/>
        <w:t>Synthèse de l’incidence estimée sur les crédits opérationnels</w:t>
      </w:r>
      <w:bookmarkEnd w:id="55"/>
      <w:bookmarkEnd w:id="56"/>
      <w:r>
        <w:rPr>
          <w:i/>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 xml:space="preserve">La proposition/l'initiative n'engendre pas l'utilisation de crédits opérationnels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La proposition/l'initiative engendre l'utilisation de crédits opérationnels, comme expliqué ci-après:</w:t>
      </w:r>
    </w:p>
    <w:p>
      <w:pPr>
        <w:jc w:val="right"/>
        <w:rPr>
          <w:noProof/>
          <w:sz w:val="18"/>
          <w:szCs w:val="18"/>
        </w:rPr>
      </w:pPr>
      <w:r>
        <w:rPr>
          <w:noProof/>
          <w:sz w:val="18"/>
        </w:rPr>
        <w:t>En Mio EUR (à la 3</w:t>
      </w:r>
      <w:r>
        <w:rPr>
          <w:noProof/>
          <w:sz w:val="18"/>
          <w:vertAlign w:val="superscript"/>
        </w:rPr>
        <w:t>e</w:t>
      </w:r>
      <w:r>
        <w:rPr>
          <w:noProof/>
          <w:sz w:val="18"/>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p>
            <w:pPr>
              <w:spacing w:before="60" w:after="60"/>
              <w:jc w:val="center"/>
              <w:rPr>
                <w:noProof/>
              </w:rPr>
            </w:pPr>
            <w:r>
              <w:rPr>
                <w:noProof/>
                <w:sz w:val="22"/>
              </w:rPr>
              <w:t>2</w:t>
            </w:r>
          </w:p>
        </w:tc>
        <w:tc>
          <w:tcPr>
            <w:tcW w:w="7817" w:type="dxa"/>
            <w:vAlign w:val="center"/>
          </w:tcPr>
          <w:p>
            <w:pPr>
              <w:spacing w:before="60" w:after="60"/>
              <w:rPr>
                <w:noProof/>
              </w:rPr>
            </w:pPr>
            <w:r>
              <w:rPr>
                <w:noProof/>
              </w:rPr>
              <w:t>Croissance durable : ressources naturelles</w:t>
            </w:r>
          </w:p>
        </w:tc>
      </w:tr>
    </w:tbl>
    <w:p>
      <w:pPr>
        <w:rPr>
          <w:noProof/>
          <w:sz w:val="16"/>
        </w:rPr>
      </w:pP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Ligne budgétaire</w:t>
            </w:r>
            <w:r>
              <w:rPr>
                <w:rStyle w:val="FootnoteReference"/>
                <w:noProof/>
              </w:rPr>
              <w:footnoteReference w:id="12"/>
            </w:r>
            <w:r>
              <w:rPr>
                <w:noProof/>
                <w:sz w:val="20"/>
              </w:rPr>
              <w:t>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r>
        <w:tc>
          <w:tcPr>
            <w:tcW w:w="3960" w:type="dxa"/>
            <w:vMerge w:val="restart"/>
            <w:vAlign w:val="center"/>
          </w:tcPr>
          <w:p>
            <w:pPr>
              <w:rPr>
                <w:noProof/>
              </w:rPr>
            </w:pPr>
            <w:r>
              <w:rPr>
                <w:noProof/>
                <w:sz w:val="20"/>
              </w:rPr>
              <w:t>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rPr>
              <w:footnoteReference w:id="13"/>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pour la DG MARE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46" w:type="dxa"/>
            <w:vAlign w:val="center"/>
          </w:tcPr>
          <w:p>
            <w:pPr>
              <w:spacing w:before="20" w:after="20"/>
              <w:jc w:val="right"/>
              <w:rPr>
                <w:b/>
                <w:noProof/>
                <w:sz w:val="20"/>
              </w:rPr>
            </w:pPr>
            <w:r>
              <w:rPr>
                <w:b/>
                <w:noProof/>
                <w:sz w:val="20"/>
              </w:rPr>
              <w:t>61,625</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46" w:type="dxa"/>
            <w:vAlign w:val="center"/>
          </w:tcPr>
          <w:p>
            <w:pPr>
              <w:spacing w:before="20" w:after="20"/>
              <w:jc w:val="right"/>
              <w:rPr>
                <w:b/>
                <w:noProof/>
                <w:sz w:val="20"/>
              </w:rPr>
            </w:pPr>
            <w:r>
              <w:rPr>
                <w:b/>
                <w:noProof/>
                <w:sz w:val="20"/>
              </w:rPr>
              <w:t>61,625</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61,625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32" w:type="dxa"/>
            <w:vAlign w:val="center"/>
          </w:tcPr>
          <w:p>
            <w:pPr>
              <w:spacing w:before="20" w:after="20"/>
              <w:jc w:val="right"/>
              <w:rPr>
                <w:b/>
                <w:noProof/>
                <w:sz w:val="20"/>
              </w:rPr>
            </w:pPr>
            <w:r>
              <w:rPr>
                <w:b/>
                <w:noProof/>
                <w:sz w:val="20"/>
              </w:rPr>
              <w:t>61,625</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57,500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4,125</w:t>
            </w:r>
          </w:p>
        </w:tc>
        <w:tc>
          <w:tcPr>
            <w:tcW w:w="1732" w:type="dxa"/>
            <w:vAlign w:val="center"/>
          </w:tcPr>
          <w:p>
            <w:pPr>
              <w:spacing w:before="20" w:after="20"/>
              <w:jc w:val="right"/>
              <w:rPr>
                <w:b/>
                <w:noProof/>
                <w:sz w:val="20"/>
              </w:rPr>
            </w:pPr>
            <w:r>
              <w:rPr>
                <w:b/>
                <w:noProof/>
                <w:sz w:val="20"/>
              </w:rPr>
              <w:t>61,625</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la RUBRIQUE &lt;2.&gt;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32" w:type="dxa"/>
          </w:tcPr>
          <w:p>
            <w:pPr>
              <w:spacing w:before="20" w:after="20"/>
              <w:jc w:val="right"/>
              <w:rPr>
                <w:b/>
                <w:noProof/>
                <w:sz w:val="20"/>
              </w:rPr>
            </w:pPr>
            <w:r>
              <w:rPr>
                <w:b/>
                <w:noProof/>
                <w:sz w:val="20"/>
              </w:rPr>
              <w:t>61,625</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32" w:type="dxa"/>
          </w:tcPr>
          <w:p>
            <w:pPr>
              <w:spacing w:before="20" w:after="20"/>
              <w:jc w:val="right"/>
              <w:rPr>
                <w:b/>
                <w:noProof/>
                <w:sz w:val="20"/>
              </w:rPr>
            </w:pPr>
            <w:r>
              <w:rPr>
                <w:b/>
                <w:noProof/>
                <w:sz w:val="20"/>
              </w:rPr>
              <w:t>61,625</w:t>
            </w:r>
          </w:p>
        </w:tc>
      </w:tr>
    </w:tbl>
    <w:p>
      <w:pPr>
        <w:spacing w:after="40"/>
        <w:rPr>
          <w:b/>
          <w:noProof/>
          <w:sz w:val="22"/>
          <w:u w:val="single"/>
        </w:rPr>
      </w:pPr>
      <w:r>
        <w:rPr>
          <w:b/>
          <w:noProof/>
          <w:sz w:val="22"/>
          <w:u w:val="single"/>
        </w:rPr>
        <w:t>Si plusieurs rubriques opérationnelles sont concernées par la proposition/l’initiative, dupliquer la section qui précède: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des crédits opérationnels (toutes 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des crédits de nature administrative financés par l'enveloppe de certains programmes spécifiques (toutes les rubriques opérationnelles)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Borders>
              <w:right w:val="single" w:sz="4" w:space="0" w:color="auto"/>
            </w:tcBorders>
          </w:tcPr>
          <w:p>
            <w:pPr>
              <w:spacing w:before="20" w:after="20"/>
              <w:jc w:val="right"/>
              <w:rPr>
                <w:b/>
                <w:noProof/>
                <w:sz w:val="20"/>
              </w:rPr>
            </w:pPr>
            <w:r>
              <w:rPr>
                <w:b/>
                <w:noProof/>
                <w:sz w:val="20"/>
              </w:rPr>
              <w:t>61,625</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tcPr>
          <w:p>
            <w:pPr>
              <w:spacing w:before="20" w:after="20"/>
              <w:jc w:val="right"/>
              <w:rPr>
                <w:noProof/>
                <w:sz w:val="20"/>
              </w:rPr>
            </w:pPr>
            <w:r>
              <w:rPr>
                <w:noProof/>
                <w:sz w:val="20"/>
              </w:rPr>
              <w:t>57,500</w:t>
            </w:r>
          </w:p>
        </w:tc>
        <w:tc>
          <w:tcPr>
            <w:tcW w:w="868" w:type="dxa"/>
            <w:tcBorders>
              <w:bottom w:val="single" w:sz="4" w:space="0" w:color="auto"/>
            </w:tcBorders>
          </w:tcPr>
          <w:p>
            <w:pPr>
              <w:spacing w:before="20" w:after="20"/>
              <w:jc w:val="right"/>
              <w:rPr>
                <w:noProof/>
                <w:sz w:val="20"/>
              </w:rPr>
            </w:pPr>
          </w:p>
        </w:tc>
        <w:tc>
          <w:tcPr>
            <w:tcW w:w="868" w:type="dxa"/>
            <w:tcBorders>
              <w:bottom w:val="single" w:sz="4" w:space="0" w:color="auto"/>
            </w:tcBorders>
          </w:tcPr>
          <w:p>
            <w:pPr>
              <w:spacing w:before="20" w:after="20"/>
              <w:jc w:val="right"/>
              <w:rPr>
                <w:noProof/>
                <w:sz w:val="20"/>
              </w:rPr>
            </w:pPr>
            <w:r>
              <w:rPr>
                <w:noProof/>
                <w:sz w:val="20"/>
              </w:rPr>
              <w:t>4,125</w:t>
            </w:r>
          </w:p>
        </w:tc>
        <w:tc>
          <w:tcPr>
            <w:tcW w:w="1777" w:type="dxa"/>
            <w:tcBorders>
              <w:bottom w:val="single" w:sz="4" w:space="0" w:color="auto"/>
              <w:right w:val="single" w:sz="4" w:space="0" w:color="auto"/>
            </w:tcBorders>
          </w:tcPr>
          <w:p>
            <w:pPr>
              <w:spacing w:before="20" w:after="20"/>
              <w:jc w:val="right"/>
              <w:rPr>
                <w:b/>
                <w:noProof/>
                <w:sz w:val="20"/>
              </w:rPr>
            </w:pPr>
            <w:r>
              <w:rPr>
                <w:b/>
                <w:noProof/>
                <w:sz w:val="20"/>
              </w:rPr>
              <w:t>61,625</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13">
        <w:r>
          <w:rPr>
            <w:noProof/>
            <w:color w:val="0000FF"/>
            <w:u w:val="single"/>
          </w:rPr>
          <w:t>annexe de la fiche financière législative</w:t>
        </w:r>
      </w:hyperlink>
      <w:r>
        <w:rPr>
          <w:noProof/>
        </w:rPr>
        <w:t xml:space="preserve"> (annexe V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1777" w:type="dxa"/>
            <w:vAlign w:val="center"/>
          </w:tcPr>
          <w:p>
            <w:pPr>
              <w:jc w:val="center"/>
              <w:rPr>
                <w:b/>
                <w:noProof/>
                <w:sz w:val="20"/>
              </w:rPr>
            </w:pPr>
            <w:r>
              <w:rPr>
                <w:b/>
                <w:noProof/>
                <w:sz w:val="20"/>
              </w:rPr>
              <w:t>TOTAL</w:t>
            </w:r>
          </w:p>
        </w:tc>
      </w:tr>
      <w:tr>
        <w:trPr>
          <w:gridAfter w:val="6"/>
          <w:wAfter w:w="6475"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Pr>
          <w:p>
            <w:pPr>
              <w:spacing w:before="20" w:after="20"/>
              <w:jc w:val="right"/>
              <w:rPr>
                <w:noProof/>
                <w:sz w:val="20"/>
              </w:rPr>
            </w:pPr>
            <w:r>
              <w:rPr>
                <w:noProof/>
                <w:sz w:val="20"/>
              </w:rPr>
              <w:t>61,625</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1777" w:type="dxa"/>
          </w:tcPr>
          <w:p>
            <w:pPr>
              <w:spacing w:before="20" w:after="20"/>
              <w:jc w:val="right"/>
              <w:rPr>
                <w:b/>
                <w:noProof/>
                <w:sz w:val="20"/>
              </w:rPr>
            </w:pPr>
            <w:r>
              <w:rPr>
                <w:b/>
                <w:noProof/>
                <w:sz w:val="20"/>
              </w:rPr>
              <w:t>61,625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Pr>
          <w:p>
            <w:pPr>
              <w:spacing w:before="20" w:after="20"/>
              <w:jc w:val="right"/>
              <w:rPr>
                <w:noProof/>
                <w:sz w:val="20"/>
              </w:rPr>
            </w:pPr>
            <w:r>
              <w:rPr>
                <w:noProof/>
                <w:sz w:val="20"/>
              </w:rPr>
              <w:t>57,500</w:t>
            </w:r>
          </w:p>
        </w:tc>
        <w:tc>
          <w:tcPr>
            <w:tcW w:w="868" w:type="dxa"/>
          </w:tcPr>
          <w:p>
            <w:pPr>
              <w:spacing w:before="20" w:after="20"/>
              <w:jc w:val="right"/>
              <w:rPr>
                <w:noProof/>
                <w:sz w:val="20"/>
              </w:rPr>
            </w:pPr>
          </w:p>
        </w:tc>
        <w:tc>
          <w:tcPr>
            <w:tcW w:w="868" w:type="dxa"/>
          </w:tcPr>
          <w:p>
            <w:pPr>
              <w:spacing w:before="20" w:after="20"/>
              <w:jc w:val="right"/>
              <w:rPr>
                <w:noProof/>
                <w:sz w:val="20"/>
              </w:rPr>
            </w:pPr>
            <w:r>
              <w:rPr>
                <w:noProof/>
                <w:sz w:val="20"/>
              </w:rPr>
              <w:t>4,125</w:t>
            </w:r>
          </w:p>
        </w:tc>
        <w:tc>
          <w:tcPr>
            <w:tcW w:w="1777" w:type="dxa"/>
          </w:tcPr>
          <w:p>
            <w:pPr>
              <w:spacing w:before="20" w:after="20"/>
              <w:jc w:val="right"/>
              <w:rPr>
                <w:b/>
                <w:noProof/>
                <w:sz w:val="20"/>
              </w:rPr>
            </w:pPr>
            <w:r>
              <w:rPr>
                <w:b/>
                <w:noProof/>
                <w:sz w:val="20"/>
              </w:rPr>
              <w:t>61,625</w:t>
            </w:r>
          </w:p>
        </w:tc>
      </w:tr>
    </w:tbl>
    <w:p>
      <w:pPr>
        <w:rPr>
          <w:noProof/>
        </w:rPr>
      </w:pPr>
    </w:p>
    <w:p>
      <w:pPr>
        <w:keepNext/>
        <w:tabs>
          <w:tab w:val="left" w:pos="850"/>
        </w:tabs>
        <w:outlineLvl w:val="2"/>
        <w:rPr>
          <w:bCs/>
          <w:i/>
          <w:noProof/>
          <w:szCs w:val="24"/>
        </w:rPr>
      </w:pPr>
      <w:bookmarkStart w:id="57" w:name="_Toc514938054"/>
      <w:bookmarkStart w:id="58" w:name="_Toc520485053"/>
      <w:r>
        <w:rPr>
          <w:i/>
          <w:noProof/>
        </w:rPr>
        <w:t>3.2.2.</w:t>
      </w:r>
      <w:r>
        <w:rPr>
          <w:i/>
          <w:noProof/>
        </w:rPr>
        <w:tab/>
        <w:t>Estimation des réalisations financées avec des crédits opérationnels</w:t>
      </w:r>
      <w:bookmarkEnd w:id="57"/>
      <w:bookmarkEnd w:id="58"/>
      <w:r>
        <w:rPr>
          <w:i/>
          <w:noProof/>
        </w:rPr>
        <w:t xml:space="preserve"> </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720"/>
        <w:gridCol w:w="180"/>
        <w:gridCol w:w="720"/>
        <w:gridCol w:w="900"/>
      </w:tblGrid>
      <w:tr>
        <w:trPr>
          <w:gridAfter w:val="1"/>
          <w:wAfter w:w="900" w:type="dxa"/>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2021</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2"/>
          <w:wAfter w:w="7865" w:type="dxa"/>
          <w:trHeight w:val="465"/>
          <w:jc w:val="center"/>
        </w:trPr>
        <w:tc>
          <w:tcPr>
            <w:tcW w:w="1423" w:type="dxa"/>
            <w:vMerge/>
            <w:vAlign w:val="center"/>
          </w:tcPr>
          <w:p>
            <w:pPr>
              <w:ind w:right="-29"/>
              <w:jc w:val="center"/>
              <w:rPr>
                <w:noProof/>
                <w:sz w:val="18"/>
                <w:szCs w:val="18"/>
              </w:rPr>
            </w:pP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57,5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57,5</w:t>
            </w:r>
          </w:p>
          <w:p>
            <w:pPr>
              <w:ind w:right="-29"/>
              <w:jc w:val="center"/>
              <w:rPr>
                <w:noProof/>
                <w:sz w:val="18"/>
                <w:szCs w:val="18"/>
              </w:rPr>
            </w:pPr>
            <w:r>
              <w:rPr>
                <w:noProof/>
                <w:sz w:val="18"/>
                <w:szCs w:val="18"/>
              </w:rPr>
              <w:t>4,125</w:t>
            </w:r>
          </w:p>
          <w:p>
            <w:pPr>
              <w:ind w:right="-29"/>
              <w:jc w:val="center"/>
              <w:rPr>
                <w:noProof/>
                <w:sz w:val="18"/>
                <w:szCs w:val="18"/>
              </w:rPr>
            </w:pPr>
          </w:p>
          <w:p>
            <w:pPr>
              <w:ind w:right="-29"/>
              <w:jc w:val="center"/>
              <w:rPr>
                <w:noProof/>
                <w:sz w:val="18"/>
                <w:szCs w:val="18"/>
              </w:rPr>
            </w:pPr>
            <w:r>
              <w:rPr>
                <w:noProof/>
                <w:sz w:val="18"/>
                <w:szCs w:val="18"/>
              </w:rPr>
              <w:t>61,625</w:t>
            </w:r>
          </w:p>
        </w:tc>
      </w:tr>
      <w:tr>
        <w:trPr>
          <w:trHeight w:hRule="exact" w:val="369"/>
          <w:jc w:val="center"/>
        </w:trPr>
        <w:tc>
          <w:tcPr>
            <w:tcW w:w="1423" w:type="dxa"/>
          </w:tcPr>
          <w:p>
            <w:pPr>
              <w:ind w:right="-29"/>
              <w:jc w:val="center"/>
              <w:rPr>
                <w:noProof/>
                <w:sz w:val="18"/>
                <w:szCs w:val="18"/>
              </w:rPr>
            </w:pPr>
            <w:r>
              <w:rPr>
                <w:noProof/>
                <w:sz w:val="18"/>
              </w:rPr>
              <w:t>- Sectoriel</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4,125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gridSpan w:val="2"/>
            <w:tcBorders>
              <w:righ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4,125</w:t>
            </w: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61,625</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61,625</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gridSpan w:val="2"/>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gridAfter w:val="1"/>
          <w:wAfter w:w="900" w:type="dxa"/>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gridSpan w:val="2"/>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61,625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61,625</w:t>
            </w:r>
          </w:p>
        </w:tc>
      </w:tr>
    </w:tbl>
    <w:p>
      <w:pPr>
        <w:rPr>
          <w:noProof/>
        </w:rPr>
        <w:sectPr>
          <w:headerReference w:type="default" r:id="rId14"/>
          <w:footerReference w:type="default" r:id="rId15"/>
          <w:headerReference w:type="first" r:id="rId16"/>
          <w:footerReference w:type="first" r:id="rId17"/>
          <w:footnotePr>
            <w:numRestart w:val="eachSect"/>
          </w:footnotePr>
          <w:pgSz w:w="16840" w:h="11907" w:orient="landscape" w:code="9"/>
          <w:pgMar w:top="1134" w:right="1418" w:bottom="567" w:left="1418" w:header="709" w:footer="709" w:gutter="0"/>
          <w:cols w:space="708"/>
          <w:docGrid w:linePitch="360"/>
        </w:sectPr>
      </w:pPr>
    </w:p>
    <w:p>
      <w:pPr>
        <w:keepNext/>
        <w:tabs>
          <w:tab w:val="left" w:pos="850"/>
        </w:tabs>
        <w:outlineLvl w:val="2"/>
        <w:rPr>
          <w:bCs/>
          <w:i/>
          <w:noProof/>
          <w:szCs w:val="24"/>
        </w:rPr>
      </w:pPr>
      <w:bookmarkStart w:id="59" w:name="_Toc514938055"/>
      <w:bookmarkStart w:id="60" w:name="_Toc520485054"/>
      <w:r>
        <w:rPr>
          <w:i/>
          <w:noProof/>
        </w:rPr>
        <w:t>3.2.3.</w:t>
      </w:r>
      <w:r>
        <w:rPr>
          <w:i/>
          <w:noProof/>
        </w:rPr>
        <w:tab/>
        <w:t>Synthèse de l’incidence estimée sur les crédits administratifs</w:t>
      </w:r>
      <w:bookmarkEnd w:id="59"/>
      <w:bookmarkEnd w:id="60"/>
      <w:r>
        <w:rPr>
          <w:i/>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 xml:space="preserve">La proposition/l’initiative n’engendre pas l’utilisation de crédits de nature administrative.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noProof/>
              </w:rPr>
              <w:footnoteReference w:id="16"/>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17"/>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8"/>
          <w:footerReference w:type="default" r:id="rId19"/>
          <w:headerReference w:type="first" r:id="rId20"/>
          <w:footerReference w:type="first" r:id="rId21"/>
          <w:footnotePr>
            <w:numRestart w:val="eachSect"/>
          </w:footnotePr>
          <w:pgSz w:w="11907" w:h="16840"/>
          <w:pgMar w:top="1134" w:right="1418" w:bottom="1134" w:left="1418" w:header="709" w:footer="709" w:gutter="0"/>
          <w:cols w:space="708"/>
          <w:docGrid w:linePitch="360"/>
        </w:sectPr>
      </w:pPr>
    </w:p>
    <w:p>
      <w:pPr>
        <w:keepNext/>
        <w:outlineLvl w:val="3"/>
        <w:rPr>
          <w:bCs/>
          <w:noProof/>
          <w:szCs w:val="24"/>
        </w:rPr>
      </w:pPr>
      <w:r>
        <w:rPr>
          <w:noProof/>
        </w:rPr>
        <w:t>3.2.3.1.</w:t>
      </w:r>
      <w:r>
        <w:rPr>
          <w:noProof/>
        </w:rPr>
        <w:tab/>
        <w:t xml:space="preserve">Besoins estimés en ressources humaines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 xml:space="preserve">La proposition/l’initiative n’engendre pas l’utilisation de ressources humaines. </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noProof/>
              </w:rPr>
              <w:footnoteReference w:id="18"/>
            </w:r>
          </w:p>
          <w:p>
            <w:pPr>
              <w:spacing w:before="0" w:after="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9"/>
            </w:r>
          </w:p>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b/>
                <w:noProof/>
                <w:sz w:val="16"/>
                <w:szCs w:val="16"/>
              </w:rPr>
            </w:pPr>
          </w:p>
        </w:tc>
        <w:tc>
          <w:tcPr>
            <w:tcW w:w="1954" w:type="dxa"/>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02/12/22 (AC, END, INT sur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noProof/>
                <w:sz w:val="16"/>
                <w:szCs w:val="16"/>
              </w:rPr>
            </w:pPr>
            <w:r>
              <w:rPr>
                <w:noProof/>
                <w:sz w:val="16"/>
              </w:rPr>
              <w:t>10 01 05 02/12 (AC, END, INT sur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rPr>
              <w:t>Mise en œuvre du protocole (paiements, accès aux eaux mauritaniennes par les navires de l’Union, traitement des autorisations de pêche), préparation et suivi des commissions mixtes, préparation du renouvellement du protocole, évaluation externe, procédures législatives, négociations.</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rPr>
              <w:t xml:space="preserve">Mise en œuvre du protocole: contacts avec les autorités de </w:t>
            </w:r>
            <w:r>
              <w:rPr>
                <w:noProof/>
                <w:lang w:val="fr-BE"/>
              </w:rPr>
              <w:t>Mauritanie</w:t>
            </w:r>
            <w:r>
              <w:rPr>
                <w:noProof/>
              </w:rPr>
              <w:t xml:space="preserve"> concernant l’accès aux eaux mauritaniennes par les navires de l’Union, traitement des autorisations de pêche, préparation et suivi des commissions mixtes, notamment mise en œuvre de l’appui sectoriel.</w:t>
            </w:r>
          </w:p>
        </w:tc>
      </w:tr>
    </w:tbl>
    <w:p>
      <w:pPr>
        <w:rPr>
          <w:noProof/>
        </w:rPr>
        <w:sectPr>
          <w:footnotePr>
            <w:numRestart w:val="eachSect"/>
          </w:footnotePr>
          <w:pgSz w:w="11907" w:h="16840"/>
          <w:pgMar w:top="1134" w:right="1418" w:bottom="1134" w:left="1418" w:header="709" w:footer="709" w:gutter="0"/>
          <w:cols w:space="708"/>
          <w:docGrid w:linePitch="360"/>
        </w:sectPr>
      </w:pPr>
    </w:p>
    <w:p>
      <w:pPr>
        <w:keepNext/>
        <w:tabs>
          <w:tab w:val="left" w:pos="850"/>
        </w:tabs>
        <w:outlineLvl w:val="2"/>
        <w:rPr>
          <w:i/>
          <w:noProof/>
        </w:rPr>
      </w:pPr>
      <w:bookmarkStart w:id="61" w:name="_Toc514938056"/>
      <w:bookmarkStart w:id="62" w:name="_Toc520485055"/>
      <w:r>
        <w:rPr>
          <w:i/>
          <w:noProof/>
        </w:rPr>
        <w:t>3.2.4.</w:t>
      </w:r>
      <w:r>
        <w:rPr>
          <w:i/>
          <w:noProof/>
        </w:rPr>
        <w:tab/>
        <w:t>Compatibilité avec le cadre financier pluriannuel actuel</w:t>
      </w:r>
      <w:bookmarkEnd w:id="61"/>
      <w:bookmarkEnd w:id="62"/>
      <w:r>
        <w:rPr>
          <w:i/>
          <w:noProof/>
        </w:rPr>
        <w:t xml:space="preserve"> </w:t>
      </w:r>
    </w:p>
    <w:p>
      <w:pPr>
        <w:ind w:left="850"/>
        <w:rPr>
          <w:noProof/>
        </w:rPr>
      </w:pPr>
      <w:r>
        <w:rPr>
          <w:noProof/>
        </w:rPr>
        <w:t>La proposition/l’initiative:</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peut être intégralement financée par voie de redéploiement au sein de la rubrique concernée du cadre financier pluriannuel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Cela concerne l’utilisation de la ligne de resérve ( Chapitre 40).</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nécessite l’utilisation de la marge non allouée sous la rubrique correspondante du CFP et/ou le recours aux instruments spéciaux comme le prévoit le règlement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les montants correspondants et les instruments dont le recours est proposé.</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nécessite une révision du CFP.</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pPr>
        <w:keepNext/>
        <w:tabs>
          <w:tab w:val="left" w:pos="850"/>
        </w:tabs>
        <w:outlineLvl w:val="2"/>
        <w:rPr>
          <w:bCs/>
          <w:i/>
          <w:noProof/>
          <w:szCs w:val="24"/>
        </w:rPr>
      </w:pPr>
      <w:bookmarkStart w:id="63" w:name="_Toc514938058"/>
      <w:bookmarkStart w:id="64" w:name="_Toc520485056"/>
      <w:r>
        <w:rPr>
          <w:i/>
          <w:noProof/>
        </w:rPr>
        <w:t>3.2.5.</w:t>
      </w:r>
      <w:r>
        <w:rPr>
          <w:i/>
          <w:noProof/>
        </w:rPr>
        <w:tab/>
        <w:t>Participation de tiers au financement</w:t>
      </w:r>
      <w:bookmarkEnd w:id="63"/>
      <w:bookmarkEnd w:id="64"/>
      <w:r>
        <w:rPr>
          <w:i/>
          <w:noProof/>
        </w:rPr>
        <w:t xml:space="preserve"> </w:t>
      </w:r>
    </w:p>
    <w:p>
      <w:pPr>
        <w:ind w:left="850"/>
        <w:rPr>
          <w:noProof/>
        </w:rPr>
      </w:pPr>
      <w:r>
        <w:rPr>
          <w:noProof/>
        </w:rPr>
        <w:t>La proposition/l’initiative:</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ne prévoit pas de cofinancement par des tierces parties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prévoit le cofinancement par des tierces parties estimé ci</w:t>
      </w:r>
      <w:r>
        <w:rPr>
          <w:rFonts w:eastAsia="Times New Roman"/>
          <w:noProof/>
          <w:lang w:eastAsia="fr-FR" w:bidi="fr-FR"/>
        </w:rPr>
        <w:noBreakHyphen/>
        <w:t>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r>
              <w:rPr>
                <w:rStyle w:val="FootnoteReference"/>
                <w:noProof/>
              </w:rPr>
              <w:footnoteReference w:id="20"/>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keepNext/>
        <w:outlineLvl w:val="1"/>
        <w:rPr>
          <w:b/>
          <w:bCs/>
          <w:noProof/>
          <w:szCs w:val="24"/>
        </w:rPr>
      </w:pPr>
      <w:r>
        <w:rPr>
          <w:b/>
          <w:noProof/>
        </w:rPr>
        <w:br w:type="page"/>
      </w:r>
      <w:bookmarkStart w:id="65" w:name="_Toc514938059"/>
      <w:bookmarkStart w:id="66" w:name="_Toc520485057"/>
      <w:r>
        <w:rPr>
          <w:b/>
          <w:noProof/>
        </w:rPr>
        <w:t>3.3.</w:t>
      </w:r>
      <w:r>
        <w:rPr>
          <w:b/>
          <w:noProof/>
        </w:rPr>
        <w:tab/>
        <w:t>Incidence estimée sur les recettes</w:t>
      </w:r>
      <w:bookmarkEnd w:id="65"/>
      <w:bookmarkEnd w:id="66"/>
      <w:r>
        <w:rPr>
          <w:b/>
          <w:noProof/>
        </w:rPr>
        <w:t xml:space="preserve"> </w:t>
      </w:r>
    </w:p>
    <w:p>
      <w:pPr>
        <w:tabs>
          <w:tab w:val="num" w:pos="1134"/>
        </w:tabs>
        <w:ind w:left="1134" w:hanging="283"/>
        <w:rPr>
          <w:rFonts w:eastAsia="Times New Roman"/>
          <w:noProof/>
          <w:lang w:eastAsia="fr-FR" w:bidi="fr-FR"/>
        </w:rPr>
      </w:pPr>
      <w:r>
        <w:rPr>
          <w:rFonts w:eastAsia="Times New Roman"/>
          <w:noProof/>
          <w:lang w:eastAsia="fr-FR" w:bidi="fr-FR"/>
        </w:rPr>
        <w:t>X</w:t>
      </w:r>
      <w:r>
        <w:rPr>
          <w:rFonts w:eastAsia="Times New Roman"/>
          <w:noProof/>
          <w:lang w:eastAsia="fr-FR" w:bidi="fr-FR"/>
        </w:rPr>
        <w:tab/>
        <w:t>La proposition/l’initiative est sans incidence financière sur les recettes.</w:t>
      </w:r>
    </w:p>
    <w:p>
      <w:pPr>
        <w:tabs>
          <w:tab w:val="num" w:pos="1134"/>
        </w:tabs>
        <w:ind w:left="1134" w:hanging="283"/>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La proposition/l’initiative a une incidence financière décrite ci</w:t>
      </w:r>
      <w:r>
        <w:rPr>
          <w:rFonts w:eastAsia="Times New Roman"/>
          <w:noProof/>
          <w:lang w:eastAsia="fr-FR" w:bidi="fr-FR"/>
        </w:rPr>
        <w:noBreakHyphen/>
        <w:t>après:</w:t>
      </w:r>
    </w:p>
    <w:p>
      <w:pPr>
        <w:numPr>
          <w:ilvl w:val="2"/>
          <w:numId w:val="0"/>
        </w:numPr>
        <w:tabs>
          <w:tab w:val="num" w:pos="2126"/>
        </w:tabs>
        <w:ind w:left="2126" w:hanging="709"/>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 xml:space="preserve">sur les ressources propres </w:t>
      </w:r>
    </w:p>
    <w:p>
      <w:pPr>
        <w:numPr>
          <w:ilvl w:val="2"/>
          <w:numId w:val="0"/>
        </w:numPr>
        <w:tabs>
          <w:tab w:val="num" w:pos="2126"/>
        </w:tabs>
        <w:ind w:left="2126" w:hanging="709"/>
        <w:rPr>
          <w:rFonts w:eastAsia="Times New Roman"/>
          <w:noProof/>
          <w:lang w:eastAsia="fr-FR" w:bidi="fr-FR"/>
        </w:rPr>
      </w:pPr>
      <w:r>
        <w:rPr>
          <w:rFonts w:eastAsia="Times New Roman"/>
          <w:noProof/>
          <w:lang w:eastAsia="fr-FR" w:bidi="fr-FR"/>
        </w:rPr>
        <w:sym w:font="Wingdings" w:char="F0A8"/>
      </w:r>
      <w:r>
        <w:rPr>
          <w:rFonts w:eastAsia="Times New Roman"/>
          <w:noProof/>
          <w:lang w:eastAsia="fr-FR" w:bidi="fr-FR"/>
        </w:rPr>
        <w:tab/>
        <w:t>sur les autres recettes</w:t>
      </w:r>
    </w:p>
    <w:p>
      <w:pPr>
        <w:numPr>
          <w:ilvl w:val="2"/>
          <w:numId w:val="0"/>
        </w:numPr>
        <w:tabs>
          <w:tab w:val="num" w:pos="2126"/>
        </w:tabs>
        <w:ind w:left="2126" w:hanging="709"/>
        <w:rPr>
          <w:rFonts w:eastAsia="Times New Roman"/>
          <w:noProof/>
          <w:lang w:eastAsia="fr-FR" w:bidi="fr-FR"/>
        </w:rPr>
      </w:pPr>
      <w:r>
        <w:rPr>
          <w:rFonts w:eastAsia="Times New Roman"/>
          <w:noProof/>
          <w:lang w:eastAsia="fr-FR" w:bidi="fr-FR"/>
        </w:rPr>
        <w:t>veuillez indiquer si les recettes sont affectées à des lignes de dépenses </w:t>
      </w:r>
      <w:r>
        <w:rPr>
          <w:rFonts w:eastAsia="Times New Roman"/>
          <w:noProof/>
          <w:lang w:eastAsia="fr-FR" w:bidi="fr-FR"/>
        </w:rPr>
        <w:sym w:font="Wingdings" w:char="F0A8"/>
      </w:r>
      <w:r>
        <w:rPr>
          <w:rFonts w:eastAsia="Times New Roman"/>
          <w:noProof/>
          <w:lang w:eastAsia="fr-FR" w:bidi="fr-FR"/>
        </w:rPr>
        <w:tab/>
      </w:r>
    </w:p>
    <w:p>
      <w:pPr>
        <w:ind w:left="4320"/>
        <w:rPr>
          <w:i/>
          <w:noProof/>
          <w:sz w:val="20"/>
        </w:rPr>
      </w:pPr>
      <w:r>
        <w:rPr>
          <w:noProof/>
        </w:rPr>
        <w:t xml:space="preserve">     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7"/>
            <w:vAlign w:val="center"/>
          </w:tcPr>
          <w:p>
            <w:pPr>
              <w:jc w:val="center"/>
              <w:rPr>
                <w:noProof/>
                <w:sz w:val="18"/>
              </w:rPr>
            </w:pPr>
            <w:r>
              <w:rPr>
                <w:noProof/>
                <w:sz w:val="18"/>
              </w:rPr>
              <w:t>Incidence de la proposition/de l’initiative</w:t>
            </w:r>
            <w:r>
              <w:rPr>
                <w:rStyle w:val="FootnoteReference"/>
                <w:noProof/>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Segoe Print"/>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Décision du Conseil du 8 juillet 2019 autorisant l'ouverture des négociations avec la République islamique de Mauritanie en vue de la conclusion d'un accord de partenariat dans le domaine de la pêche durable et d'un protocole mettant en œuvre ledit accord (ST 10231 2019 INIT).</w:t>
      </w:r>
    </w:p>
  </w:footnote>
  <w:footnote w:id="2">
    <w:p>
      <w:pPr>
        <w:pStyle w:val="FootnoteText"/>
        <w:rPr>
          <w:lang w:val="fr-BE"/>
        </w:rPr>
      </w:pPr>
      <w:r>
        <w:rPr>
          <w:rStyle w:val="FootnoteReference"/>
        </w:rPr>
        <w:footnoteRef/>
      </w:r>
      <w:r>
        <w:tab/>
      </w:r>
      <w:r>
        <w:rPr>
          <w:lang w:val="fr-BE"/>
        </w:rPr>
        <w:t>Avec un dépassement autorisé de 10 % sans incidence sur la contrepartie financière versée par l'Union européenne pour l'accès.</w:t>
      </w:r>
    </w:p>
  </w:footnote>
  <w:footnote w:id="3">
    <w:p>
      <w:pPr>
        <w:pStyle w:val="FootnoteText"/>
        <w:rPr>
          <w:lang w:val="nb-NO"/>
        </w:rPr>
      </w:pPr>
      <w:r>
        <w:rPr>
          <w:rStyle w:val="FootnoteReference"/>
        </w:rPr>
        <w:footnoteRef/>
      </w:r>
      <w:r>
        <w:rPr>
          <w:lang w:val="nb-NO"/>
        </w:rPr>
        <w:tab/>
        <w:t>JO L 354 du 28.12.2013, p. 22.</w:t>
      </w:r>
    </w:p>
  </w:footnote>
  <w:footnote w:id="4">
    <w:p>
      <w:pPr>
        <w:pStyle w:val="FootnoteText"/>
        <w:rPr>
          <w:lang w:val="fr-BE"/>
        </w:rPr>
      </w:pPr>
      <w:r>
        <w:rPr>
          <w:rStyle w:val="FootnoteReference"/>
        </w:rPr>
        <w:footnoteRef/>
      </w:r>
      <w:r>
        <w:rPr>
          <w:lang w:val="fr-BE"/>
        </w:rPr>
        <w:tab/>
        <w:t>En conformité avec l'accord interinstitutionnel sur la coopération en matière budgétaire (2013/C 373/01)</w:t>
      </w:r>
    </w:p>
  </w:footnote>
  <w:footnote w:id="5">
    <w:p>
      <w:pPr>
        <w:pStyle w:val="FootnoteText"/>
        <w:rPr>
          <w:lang w:val="fr-BE"/>
        </w:rPr>
      </w:pPr>
      <w:r>
        <w:rPr>
          <w:rStyle w:val="FootnoteReference"/>
        </w:rPr>
        <w:footnoteRef/>
      </w:r>
      <w:r>
        <w:tab/>
      </w:r>
      <w:r>
        <w:rPr>
          <w:lang w:val="fr-BE"/>
        </w:rPr>
        <w:t>JO L 343 du 8.12.2006, p. 4.</w:t>
      </w:r>
    </w:p>
  </w:footnote>
  <w:footnote w:id="6">
    <w:p>
      <w:pPr>
        <w:pStyle w:val="FootnoteText"/>
      </w:pPr>
      <w:r>
        <w:rPr>
          <w:rStyle w:val="FootnoteReference"/>
        </w:rPr>
        <w:footnoteRef/>
      </w:r>
      <w:r>
        <w:tab/>
        <w:t>Règlement (CE) n°1801/2006 du Conseil du 30 novembre 2006 relatif à la conclusion de l’accord de partenariat dans le secteur de la pêche entre la Communauté européenne et la République islamique de Mauritanie (JO L 343 du 8.12.2006, p. 1).</w:t>
      </w:r>
    </w:p>
    <w:p>
      <w:pPr>
        <w:pStyle w:val="FootnoteText"/>
      </w:pPr>
    </w:p>
    <w:p>
      <w:pPr>
        <w:pStyle w:val="FootnoteText"/>
      </w:pPr>
    </w:p>
    <w:p>
      <w:pPr>
        <w:pStyle w:val="FootnoteText"/>
      </w:pPr>
    </w:p>
    <w:p>
      <w:pPr>
        <w:pStyle w:val="FootnoteText"/>
      </w:pPr>
    </w:p>
    <w:p>
      <w:pPr>
        <w:pStyle w:val="FootnoteText"/>
        <w:rPr>
          <w:lang w:val="fr-BE"/>
        </w:rPr>
      </w:pPr>
    </w:p>
  </w:footnote>
  <w:footnote w:id="7">
    <w:p>
      <w:pPr>
        <w:pStyle w:val="FootnoteText"/>
        <w:rPr>
          <w:szCs w:val="24"/>
        </w:rPr>
      </w:pPr>
      <w:r>
        <w:rPr>
          <w:rStyle w:val="FootnoteReference"/>
        </w:rPr>
        <w:footnoteRef/>
      </w:r>
      <w:r>
        <w:tab/>
        <w:t>Tel(le) que visé(e) à l'article 58, paragraphe 2, point a) ou b), du règlement financier.</w:t>
      </w:r>
    </w:p>
  </w:footnote>
  <w:footnote w:id="8">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rPr>
          <w:t>https://myintracomm.ec.europa.eu/budgweb/FR/man/budgmanag/Pages/budgmanag.aspx</w:t>
        </w:r>
      </w:hyperlink>
      <w:r>
        <w:t xml:space="preserve"> </w:t>
      </w:r>
    </w:p>
  </w:footnote>
  <w:footnote w:id="9">
    <w:p>
      <w:pPr>
        <w:pStyle w:val="FootnoteText"/>
        <w:rPr>
          <w:szCs w:val="24"/>
        </w:rPr>
      </w:pPr>
      <w:r>
        <w:rPr>
          <w:rStyle w:val="FootnoteReference"/>
        </w:rPr>
        <w:footnoteRef/>
      </w:r>
      <w:r>
        <w:tab/>
        <w:t>CD = crédits dissociés / CND = crédits non dissociés.</w:t>
      </w:r>
    </w:p>
  </w:footnote>
  <w:footnote w:id="10">
    <w:p>
      <w:pPr>
        <w:pStyle w:val="FootnoteText"/>
        <w:rPr>
          <w:szCs w:val="24"/>
        </w:rPr>
      </w:pPr>
      <w:r>
        <w:rPr>
          <w:rStyle w:val="FootnoteReference"/>
        </w:rPr>
        <w:footnoteRef/>
      </w:r>
      <w:r>
        <w:tab/>
        <w:t xml:space="preserve">AELE: Association européenne de libre-échange. </w:t>
      </w:r>
    </w:p>
  </w:footnote>
  <w:footnote w:id="11">
    <w:p>
      <w:pPr>
        <w:pStyle w:val="FootnoteText"/>
        <w:rPr>
          <w:szCs w:val="24"/>
        </w:rPr>
      </w:pPr>
      <w:r>
        <w:rPr>
          <w:rStyle w:val="FootnoteReference"/>
        </w:rPr>
        <w:footnoteRef/>
      </w:r>
      <w:r>
        <w:tab/>
        <w:t>Pays candidats et, le cas échéant, pays candidats potentiels des Balkans occidentaux.</w:t>
      </w:r>
    </w:p>
  </w:footnote>
  <w:footnote w:id="12">
    <w:p>
      <w:pPr>
        <w:pStyle w:val="FootnoteText"/>
        <w:rPr>
          <w:sz w:val="18"/>
          <w:szCs w:val="18"/>
        </w:rPr>
      </w:pPr>
      <w:r>
        <w:rPr>
          <w:rStyle w:val="FootnoteReference"/>
        </w:rPr>
        <w:footnoteRef/>
      </w:r>
      <w:r>
        <w:tab/>
      </w:r>
      <w:r>
        <w:rPr>
          <w:sz w:val="18"/>
        </w:rPr>
        <w:t>Selon la nomenclature budgétaire officielle.</w:t>
      </w:r>
    </w:p>
  </w:footnote>
  <w:footnote w:id="13">
    <w:p>
      <w:pPr>
        <w:pStyle w:val="FootnoteText"/>
        <w:rPr>
          <w:szCs w:val="24"/>
        </w:rPr>
      </w:pPr>
      <w:r>
        <w:rPr>
          <w:rStyle w:val="FootnoteReference"/>
        </w:rPr>
        <w:footnoteRef/>
      </w:r>
      <w:r>
        <w:tab/>
      </w:r>
      <w:r>
        <w:rPr>
          <w:sz w:val="18"/>
        </w:rPr>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5">
    <w:p>
      <w:pPr>
        <w:pStyle w:val="FootnoteText"/>
        <w:rPr>
          <w:szCs w:val="24"/>
        </w:rPr>
      </w:pPr>
      <w:r>
        <w:rPr>
          <w:rStyle w:val="FootnoteReference"/>
        </w:rPr>
        <w:footnoteRef/>
      </w:r>
      <w:r>
        <w:tab/>
        <w:t xml:space="preserve">Tel que décrit dans la partie 1.4.2. «Objectif(s) spécifique(s)…». </w:t>
      </w:r>
    </w:p>
  </w:footnote>
  <w:footnote w:id="16">
    <w:p>
      <w:pPr>
        <w:pStyle w:val="FootnoteText"/>
        <w:rPr>
          <w:sz w:val="18"/>
          <w:szCs w:val="18"/>
        </w:rPr>
      </w:pPr>
      <w:r>
        <w:rPr>
          <w:rStyle w:val="FootnoteReference"/>
        </w:rPr>
        <w:footnoteRef/>
      </w:r>
      <w:r>
        <w:tab/>
      </w:r>
      <w:r>
        <w:rPr>
          <w:sz w:val="18"/>
        </w:rPr>
        <w:t>L'année N est l'année du début de la mise en œuvre de la proposition/de l'initiative. Veuillez remplacer «N» par la première année de mise en œuvre prévue (par exemple: 2021). Procédez de la même façon pour les années suivantes.</w:t>
      </w:r>
    </w:p>
  </w:footnote>
  <w:footnote w:id="17">
    <w:p>
      <w:pPr>
        <w:pStyle w:val="FootnoteText"/>
        <w:rPr>
          <w:szCs w:val="24"/>
        </w:rPr>
      </w:pPr>
      <w:r>
        <w:rPr>
          <w:rStyle w:val="FootnoteReference"/>
        </w:rPr>
        <w:footnoteRef/>
      </w:r>
      <w:r>
        <w:tab/>
      </w:r>
      <w:r>
        <w:rPr>
          <w:sz w:val="18"/>
        </w:rPr>
        <w:t>Assistance technique et/ou administrative et dépenses d'appui à la mise en œuvre de programmes et/ou d'actions de l'UE (anciennes lignes «BA»), recherche indirecte, recherche directe.</w:t>
      </w:r>
    </w:p>
  </w:footnote>
  <w:footnote w:id="18">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9">
    <w:p>
      <w:pPr>
        <w:pStyle w:val="FootnoteText"/>
        <w:rPr>
          <w:szCs w:val="24"/>
        </w:rPr>
      </w:pPr>
      <w:r>
        <w:rPr>
          <w:rStyle w:val="FootnoteReference"/>
        </w:rPr>
        <w:footnoteRef/>
      </w:r>
      <w:r>
        <w:tab/>
        <w:t>Sous-plafonds de personnel externe financés sur crédits opérationnels (anciennes lignes «BA»).</w:t>
      </w:r>
    </w:p>
  </w:footnote>
  <w:footnote w:id="20">
    <w:p>
      <w:pPr>
        <w:pStyle w:val="FootnoteText"/>
      </w:pPr>
      <w:r>
        <w:rPr>
          <w:rStyle w:val="FootnoteReference"/>
        </w:rPr>
        <w:footnoteRef/>
      </w:r>
      <w:r>
        <w:tab/>
        <w:t>L'année N est l'année du début de la mise en œuvre de la proposition/de l'initiative. Veuillez remplacer «N» par la première année de mise en œuvre prévue (par exemple: 2021). Procédez de la même façon pour les années suivantes.</w:t>
      </w:r>
    </w:p>
  </w:footnote>
  <w:footnote w:id="21">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F482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646EFC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C02A3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3301A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6">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9"/>
  </w:num>
  <w:num w:numId="8">
    <w:abstractNumId w:val="18"/>
  </w:num>
  <w:num w:numId="9">
    <w:abstractNumId w:val="27"/>
  </w:num>
  <w:num w:numId="10">
    <w:abstractNumId w:val="5"/>
  </w:num>
  <w:num w:numId="11">
    <w:abstractNumId w:val="13"/>
  </w:num>
  <w:num w:numId="12">
    <w:abstractNumId w:val="6"/>
  </w:num>
  <w:num w:numId="13">
    <w:abstractNumId w:val="14"/>
  </w:num>
  <w:num w:numId="14">
    <w:abstractNumId w:val="12"/>
  </w:num>
  <w:num w:numId="15">
    <w:abstractNumId w:val="20"/>
  </w:num>
  <w:num w:numId="16">
    <w:abstractNumId w:val="24"/>
  </w:num>
  <w:num w:numId="17">
    <w:abstractNumId w:val="15"/>
  </w:num>
  <w:num w:numId="18">
    <w:abstractNumId w:val="26"/>
  </w:num>
  <w:num w:numId="19">
    <w:abstractNumId w:val="10"/>
  </w:num>
  <w:num w:numId="20">
    <w:abstractNumId w:val="16"/>
  </w:num>
  <w:num w:numId="21">
    <w:abstractNumId w:val="8"/>
  </w:num>
  <w:num w:numId="22">
    <w:abstractNumId w:val="25"/>
  </w:num>
  <w:num w:numId="23">
    <w:abstractNumId w:val="7"/>
  </w:num>
  <w:num w:numId="24">
    <w:abstractNumId w:val="17"/>
  </w:num>
  <w:num w:numId="25">
    <w:abstractNumId w:val="22"/>
  </w:num>
  <w:num w:numId="26">
    <w:abstractNumId w:val="23"/>
  </w:num>
  <w:num w:numId="27">
    <w:abstractNumId w:val="9"/>
  </w:num>
  <w:num w:numId="28">
    <w:abstractNumId w:val="21"/>
  </w:num>
  <w:num w:numId="29">
    <w:abstractNumId w:val="28"/>
  </w:num>
  <w:num w:numId="30">
    <w:abstractNumId w:val="24"/>
  </w:num>
  <w:num w:numId="31">
    <w:abstractNumId w:val="15"/>
  </w:num>
  <w:num w:numId="32">
    <w:abstractNumId w:val="26"/>
  </w:num>
  <w:num w:numId="33">
    <w:abstractNumId w:val="10"/>
  </w:num>
  <w:num w:numId="34">
    <w:abstractNumId w:val="16"/>
  </w:num>
  <w:num w:numId="35">
    <w:abstractNumId w:val="8"/>
  </w:num>
  <w:num w:numId="36">
    <w:abstractNumId w:val="25"/>
  </w:num>
  <w:num w:numId="37">
    <w:abstractNumId w:val="7"/>
  </w:num>
  <w:num w:numId="38">
    <w:abstractNumId w:val="17"/>
  </w:num>
  <w:num w:numId="39">
    <w:abstractNumId w:val="22"/>
  </w:num>
  <w:num w:numId="40">
    <w:abstractNumId w:val="23"/>
  </w:num>
  <w:num w:numId="41">
    <w:abstractNumId w:val="9"/>
  </w:num>
  <w:num w:numId="42">
    <w:abstractNumId w:val="21"/>
  </w:num>
  <w:num w:numId="4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2:02: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514BEEF-E40E-464C-9BBA-0EA8B05643F0"/>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9"/>
    <w:docVar w:name="LW_REF.II.NEW.CP_YEAR" w:val="2019"/>
    <w:docVar w:name="LW_REF.INST.NEW" w:val="COM"/>
    <w:docVar w:name="LW_REF.INST.NEW_ADOPTED" w:val="final"/>
    <w:docVar w:name="LW_REF.INST.NEW_TEXT" w:val="(2019) 4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nion européenne, et à l'application provisoire de l'Accord sous forme d'échange de lettres entre l\u8217?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basedOn w:val="Normal"/>
    <w:uiPriority w:val="34"/>
    <w:qFormat/>
    <w:pPr>
      <w:ind w:left="720"/>
      <w:contextualSpacing/>
    </w:pPr>
  </w:style>
  <w:style w:type="paragraph" w:styleId="ListNumber">
    <w:name w:val="List Number"/>
    <w:basedOn w:val="Normal"/>
    <w:pPr>
      <w:numPr>
        <w:numId w:val="9"/>
      </w:numPr>
    </w:pPr>
    <w:rPr>
      <w:rFonts w:eastAsia="Times New Roman"/>
      <w:lang w:eastAsia="fr-FR" w:bidi="fr-FR"/>
    </w:rPr>
  </w:style>
  <w:style w:type="paragraph" w:customStyle="1" w:styleId="ListBullet1">
    <w:name w:val="List Bullet 1"/>
    <w:basedOn w:val="Normal"/>
    <w:pPr>
      <w:numPr>
        <w:numId w:val="5"/>
      </w:numPr>
    </w:pPr>
    <w:rPr>
      <w:rFonts w:eastAsia="Times New Roman"/>
      <w:lang w:eastAsia="fr-FR" w:bidi="fr-FR"/>
    </w:rPr>
  </w:style>
  <w:style w:type="paragraph" w:customStyle="1" w:styleId="ListDash">
    <w:name w:val="List Dash"/>
    <w:basedOn w:val="Normal"/>
    <w:pPr>
      <w:numPr>
        <w:numId w:val="6"/>
      </w:numPr>
    </w:pPr>
    <w:rPr>
      <w:rFonts w:eastAsia="Times New Roman"/>
      <w:lang w:eastAsia="fr-FR" w:bidi="fr-FR"/>
    </w:rPr>
  </w:style>
  <w:style w:type="paragraph" w:customStyle="1" w:styleId="ListDash1">
    <w:name w:val="List Dash 1"/>
    <w:basedOn w:val="Normal"/>
    <w:pPr>
      <w:numPr>
        <w:numId w:val="7"/>
      </w:numPr>
    </w:pPr>
    <w:rPr>
      <w:rFonts w:eastAsia="Times New Roman"/>
      <w:lang w:eastAsia="fr-FR" w:bidi="fr-FR"/>
    </w:rPr>
  </w:style>
  <w:style w:type="paragraph" w:customStyle="1" w:styleId="ListDash2">
    <w:name w:val="List Dash 2"/>
    <w:basedOn w:val="Normal"/>
    <w:pPr>
      <w:numPr>
        <w:numId w:val="8"/>
      </w:numPr>
    </w:pPr>
    <w:rPr>
      <w:rFonts w:eastAsia="Times New Roman"/>
      <w:lang w:eastAsia="fr-FR" w:bidi="fr-FR"/>
    </w:rPr>
  </w:style>
  <w:style w:type="paragraph" w:customStyle="1" w:styleId="ListNumberLevel2">
    <w:name w:val="List Number (Level 2)"/>
    <w:basedOn w:val="Normal"/>
    <w:pPr>
      <w:numPr>
        <w:ilvl w:val="1"/>
        <w:numId w:val="9"/>
      </w:numPr>
    </w:pPr>
    <w:rPr>
      <w:rFonts w:eastAsia="Times New Roman"/>
      <w:lang w:eastAsia="fr-FR" w:bidi="fr-FR"/>
    </w:rPr>
  </w:style>
  <w:style w:type="paragraph" w:customStyle="1" w:styleId="ListNumberLevel3">
    <w:name w:val="List Number (Level 3)"/>
    <w:basedOn w:val="Normal"/>
    <w:pPr>
      <w:numPr>
        <w:ilvl w:val="2"/>
        <w:numId w:val="9"/>
      </w:numPr>
    </w:pPr>
    <w:rPr>
      <w:rFonts w:eastAsia="Times New Roman"/>
      <w:lang w:eastAsia="fr-FR" w:bidi="fr-FR"/>
    </w:rPr>
  </w:style>
  <w:style w:type="paragraph" w:customStyle="1" w:styleId="ListNumberLevel4">
    <w:name w:val="List Number (Level 4)"/>
    <w:basedOn w:val="Normal"/>
    <w:pPr>
      <w:numPr>
        <w:ilvl w:val="3"/>
        <w:numId w:val="9"/>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0099">
      <w:bodyDiv w:val="1"/>
      <w:marLeft w:val="0"/>
      <w:marRight w:val="0"/>
      <w:marTop w:val="0"/>
      <w:marBottom w:val="0"/>
      <w:divBdr>
        <w:top w:val="none" w:sz="0" w:space="0" w:color="auto"/>
        <w:left w:val="none" w:sz="0" w:space="0" w:color="auto"/>
        <w:bottom w:val="none" w:sz="0" w:space="0" w:color="auto"/>
        <w:right w:val="none" w:sz="0" w:space="0" w:color="auto"/>
      </w:divBdr>
    </w:div>
    <w:div w:id="833842933">
      <w:bodyDiv w:val="1"/>
      <w:marLeft w:val="0"/>
      <w:marRight w:val="0"/>
      <w:marTop w:val="0"/>
      <w:marBottom w:val="0"/>
      <w:divBdr>
        <w:top w:val="none" w:sz="0" w:space="0" w:color="auto"/>
        <w:left w:val="none" w:sz="0" w:space="0" w:color="auto"/>
        <w:bottom w:val="none" w:sz="0" w:space="0" w:color="auto"/>
        <w:right w:val="none" w:sz="0" w:space="0" w:color="auto"/>
      </w:divBdr>
    </w:div>
    <w:div w:id="984352912">
      <w:bodyDiv w:val="1"/>
      <w:marLeft w:val="0"/>
      <w:marRight w:val="0"/>
      <w:marTop w:val="0"/>
      <w:marBottom w:val="0"/>
      <w:divBdr>
        <w:top w:val="none" w:sz="0" w:space="0" w:color="auto"/>
        <w:left w:val="none" w:sz="0" w:space="0" w:color="auto"/>
        <w:bottom w:val="none" w:sz="0" w:space="0" w:color="auto"/>
        <w:right w:val="none" w:sz="0" w:space="0" w:color="auto"/>
      </w:divBdr>
    </w:div>
    <w:div w:id="1484661947">
      <w:bodyDiv w:val="1"/>
      <w:marLeft w:val="0"/>
      <w:marRight w:val="0"/>
      <w:marTop w:val="0"/>
      <w:marBottom w:val="0"/>
      <w:divBdr>
        <w:top w:val="none" w:sz="0" w:space="0" w:color="auto"/>
        <w:left w:val="none" w:sz="0" w:space="0" w:color="auto"/>
        <w:bottom w:val="none" w:sz="0" w:space="0" w:color="auto"/>
        <w:right w:val="none" w:sz="0" w:space="0" w:color="auto"/>
      </w:divBdr>
    </w:div>
    <w:div w:id="1848906213">
      <w:bodyDiv w:val="1"/>
      <w:marLeft w:val="0"/>
      <w:marRight w:val="0"/>
      <w:marTop w:val="0"/>
      <w:marBottom w:val="0"/>
      <w:divBdr>
        <w:top w:val="none" w:sz="0" w:space="0" w:color="auto"/>
        <w:left w:val="none" w:sz="0" w:space="0" w:color="auto"/>
        <w:bottom w:val="none" w:sz="0" w:space="0" w:color="auto"/>
        <w:right w:val="none" w:sz="0" w:space="0" w:color="auto"/>
      </w:divBdr>
    </w:div>
    <w:div w:id="20811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7BB5-0FD6-4574-8780-9B879BAC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22</Pages>
  <Words>5446</Words>
  <Characters>30393</Characters>
  <Application>Microsoft Office Word</Application>
  <DocSecurity>0</DocSecurity>
  <Lines>1215</Lines>
  <Paragraphs>519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2019-09-06T09:31:00Z</cp:lastPrinted>
  <dcterms:created xsi:type="dcterms:W3CDTF">2019-09-20T13:17:00Z</dcterms:created>
  <dcterms:modified xsi:type="dcterms:W3CDTF">2019-10-01T10:02:00Z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