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alt="FD50AA3C-5CB8-43F5-87E6-C523C853C49A" style="width:450.35pt;height:416.4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jc w:val="both"/>
        <w:rPr>
          <w:rFonts w:ascii="Times New Roman" w:hAnsi="Times New Roman" w:cs="Times New Roman"/>
          <w:noProof/>
          <w:sz w:val="24"/>
          <w:szCs w:val="24"/>
        </w:rPr>
      </w:pPr>
      <w:bookmarkStart w:id="1" w:name="_GoBack"/>
      <w:bookmarkEnd w:id="1"/>
    </w:p>
    <w:sdt>
      <w:sdtPr>
        <w:rPr>
          <w:b/>
          <w:noProof/>
          <w:lang w:val="en-GB"/>
        </w:rPr>
        <w:id w:val="-1448699359"/>
        <w:docPartObj>
          <w:docPartGallery w:val="Table of Contents"/>
          <w:docPartUnique/>
        </w:docPartObj>
      </w:sdtPr>
      <w:sdtEndPr>
        <w:rPr>
          <w:bCs/>
        </w:rPr>
      </w:sdtEndPr>
      <w:sdtContent>
        <w:p>
          <w:pPr>
            <w:jc w:val="center"/>
            <w:rPr>
              <w:b/>
              <w:noProof/>
            </w:rPr>
          </w:pPr>
          <w:r>
            <w:rPr>
              <w:b/>
              <w:noProof/>
            </w:rPr>
            <w:t>Table of Contents</w:t>
          </w:r>
        </w:p>
        <w:p>
          <w:pPr>
            <w:jc w:val="center"/>
            <w:rPr>
              <w:rFonts w:ascii="Times New Roman" w:hAnsi="Times New Roman" w:cs="Times New Roman"/>
              <w:b/>
              <w:noProof/>
              <w:sz w:val="24"/>
              <w:szCs w:val="24"/>
            </w:rPr>
          </w:pPr>
          <w:r>
            <w:rPr>
              <w:b/>
              <w:noProof/>
            </w:rPr>
            <w:t>Directive 2010/40/EU</w:t>
          </w:r>
        </w:p>
        <w:p>
          <w:pPr>
            <w:pStyle w:val="TOC1"/>
            <w:tabs>
              <w:tab w:val="right" w:leader="dot" w:pos="9062"/>
            </w:tabs>
            <w:rPr>
              <w:rFonts w:eastAsiaTheme="minorEastAsia"/>
              <w:noProof/>
              <w:lang w:val="fr-BE" w:eastAsia="fr-BE"/>
            </w:rPr>
          </w:pPr>
          <w:r>
            <w:rPr>
              <w:bCs/>
              <w:noProof/>
            </w:rPr>
            <w:fldChar w:fldCharType="begin"/>
          </w:r>
          <w:r>
            <w:rPr>
              <w:bCs/>
              <w:noProof/>
            </w:rPr>
            <w:instrText xml:space="preserve"> TOC \o "1-3" \h \z \u </w:instrText>
          </w:r>
          <w:r>
            <w:rPr>
              <w:bCs/>
              <w:noProof/>
            </w:rPr>
            <w:fldChar w:fldCharType="separate"/>
          </w:r>
          <w:hyperlink w:anchor="_Toc18588994" w:history="1">
            <w:r>
              <w:rPr>
                <w:rStyle w:val="Hyperlink"/>
                <w:rFonts w:ascii="Times New Roman" w:eastAsia="Times New Roman" w:hAnsi="Times New Roman" w:cs="Times New Roman"/>
                <w:b/>
                <w:smallCaps/>
                <w:noProof/>
                <w:lang w:eastAsia="en-GB"/>
              </w:rPr>
              <w:t>A - Analysis of 2014 Reports on National Activities and Projects</w:t>
            </w:r>
            <w:r>
              <w:rPr>
                <w:noProof/>
                <w:webHidden/>
              </w:rPr>
              <w:tab/>
            </w:r>
            <w:r>
              <w:rPr>
                <w:noProof/>
                <w:webHidden/>
              </w:rPr>
              <w:fldChar w:fldCharType="begin"/>
            </w:r>
            <w:r>
              <w:rPr>
                <w:noProof/>
                <w:webHidden/>
              </w:rPr>
              <w:instrText xml:space="preserve"> PAGEREF _Toc18588994 \h </w:instrText>
            </w:r>
            <w:r>
              <w:rPr>
                <w:noProof/>
                <w:webHidden/>
              </w:rPr>
            </w:r>
            <w:r>
              <w:rPr>
                <w:noProof/>
                <w:webHidden/>
              </w:rPr>
              <w:fldChar w:fldCharType="separate"/>
            </w:r>
            <w:r>
              <w:rPr>
                <w:noProof/>
                <w:webHidden/>
              </w:rPr>
              <w:t>2</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8995" w:history="1">
            <w:r>
              <w:rPr>
                <w:rStyle w:val="Hyperlink"/>
                <w:rFonts w:ascii="Times New Roman" w:eastAsia="Times New Roman" w:hAnsi="Times New Roman" w:cs="Times New Roman"/>
                <w:b/>
                <w:smallCaps/>
                <w:noProof/>
                <w:lang w:eastAsia="en-GB"/>
              </w:rPr>
              <w:t>1.</w:t>
            </w:r>
            <w:r>
              <w:rPr>
                <w:rFonts w:eastAsiaTheme="minorEastAsia"/>
                <w:noProof/>
                <w:lang w:val="fr-BE" w:eastAsia="fr-BE"/>
              </w:rPr>
              <w:tab/>
            </w:r>
            <w:r>
              <w:rPr>
                <w:rStyle w:val="Hyperlink"/>
                <w:rFonts w:ascii="Times New Roman" w:eastAsia="Times New Roman" w:hAnsi="Times New Roman" w:cs="Times New Roman"/>
                <w:b/>
                <w:smallCaps/>
                <w:noProof/>
                <w:lang w:eastAsia="en-GB"/>
              </w:rPr>
              <w:t>Introduction</w:t>
            </w:r>
            <w:r>
              <w:rPr>
                <w:noProof/>
                <w:webHidden/>
              </w:rPr>
              <w:tab/>
            </w:r>
            <w:r>
              <w:rPr>
                <w:noProof/>
                <w:webHidden/>
              </w:rPr>
              <w:fldChar w:fldCharType="begin"/>
            </w:r>
            <w:r>
              <w:rPr>
                <w:noProof/>
                <w:webHidden/>
              </w:rPr>
              <w:instrText xml:space="preserve"> PAGEREF _Toc18588995 \h </w:instrText>
            </w:r>
            <w:r>
              <w:rPr>
                <w:noProof/>
                <w:webHidden/>
              </w:rPr>
            </w:r>
            <w:r>
              <w:rPr>
                <w:noProof/>
                <w:webHidden/>
              </w:rPr>
              <w:fldChar w:fldCharType="separate"/>
            </w:r>
            <w:r>
              <w:rPr>
                <w:noProof/>
                <w:webHidden/>
              </w:rPr>
              <w:t>2</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8996" w:history="1">
            <w:r>
              <w:rPr>
                <w:rStyle w:val="Hyperlink"/>
                <w:rFonts w:ascii="Times New Roman" w:eastAsia="Times New Roman" w:hAnsi="Times New Roman" w:cs="Times New Roman"/>
                <w:b/>
                <w:smallCaps/>
                <w:noProof/>
                <w:lang w:eastAsia="en-GB"/>
              </w:rPr>
              <w:t>2.</w:t>
            </w:r>
            <w:r>
              <w:rPr>
                <w:rFonts w:eastAsiaTheme="minorEastAsia"/>
                <w:noProof/>
                <w:lang w:val="fr-BE" w:eastAsia="fr-BE"/>
              </w:rPr>
              <w:tab/>
            </w:r>
            <w:r>
              <w:rPr>
                <w:rStyle w:val="Hyperlink"/>
                <w:rFonts w:ascii="Times New Roman" w:eastAsia="Times New Roman" w:hAnsi="Times New Roman" w:cs="Times New Roman"/>
                <w:b/>
                <w:smallCaps/>
                <w:noProof/>
                <w:lang w:eastAsia="en-GB"/>
              </w:rPr>
              <w:t>General observations</w:t>
            </w:r>
            <w:r>
              <w:rPr>
                <w:noProof/>
                <w:webHidden/>
              </w:rPr>
              <w:tab/>
            </w:r>
            <w:r>
              <w:rPr>
                <w:noProof/>
                <w:webHidden/>
              </w:rPr>
              <w:fldChar w:fldCharType="begin"/>
            </w:r>
            <w:r>
              <w:rPr>
                <w:noProof/>
                <w:webHidden/>
              </w:rPr>
              <w:instrText xml:space="preserve"> PAGEREF _Toc18588996 \h </w:instrText>
            </w:r>
            <w:r>
              <w:rPr>
                <w:noProof/>
                <w:webHidden/>
              </w:rPr>
            </w:r>
            <w:r>
              <w:rPr>
                <w:noProof/>
                <w:webHidden/>
              </w:rPr>
              <w:fldChar w:fldCharType="separate"/>
            </w:r>
            <w:r>
              <w:rPr>
                <w:noProof/>
                <w:webHidden/>
              </w:rPr>
              <w:t>2</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8997" w:history="1">
            <w:r>
              <w:rPr>
                <w:rStyle w:val="Hyperlink"/>
                <w:rFonts w:ascii="Times New Roman" w:eastAsia="Times New Roman" w:hAnsi="Times New Roman" w:cs="Times New Roman"/>
                <w:b/>
                <w:smallCaps/>
                <w:noProof/>
                <w:lang w:eastAsia="en-GB"/>
              </w:rPr>
              <w:t>3.</w:t>
            </w:r>
            <w:r>
              <w:rPr>
                <w:rFonts w:eastAsiaTheme="minorEastAsia"/>
                <w:noProof/>
                <w:lang w:val="fr-BE" w:eastAsia="fr-BE"/>
              </w:rPr>
              <w:tab/>
            </w:r>
            <w:r>
              <w:rPr>
                <w:rStyle w:val="Hyperlink"/>
                <w:rFonts w:ascii="Times New Roman" w:eastAsia="Times New Roman" w:hAnsi="Times New Roman" w:cs="Times New Roman"/>
                <w:b/>
                <w:smallCaps/>
                <w:noProof/>
                <w:lang w:eastAsia="en-GB"/>
              </w:rPr>
              <w:t>Detailed Analysis</w:t>
            </w:r>
            <w:r>
              <w:rPr>
                <w:noProof/>
                <w:webHidden/>
              </w:rPr>
              <w:tab/>
            </w:r>
            <w:r>
              <w:rPr>
                <w:noProof/>
                <w:webHidden/>
              </w:rPr>
              <w:fldChar w:fldCharType="begin"/>
            </w:r>
            <w:r>
              <w:rPr>
                <w:noProof/>
                <w:webHidden/>
              </w:rPr>
              <w:instrText xml:space="preserve"> PAGEREF _Toc18588997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8998" w:history="1">
            <w:r>
              <w:rPr>
                <w:rStyle w:val="Hyperlink"/>
                <w:rFonts w:ascii="Times New Roman" w:eastAsia="Times New Roman" w:hAnsi="Times New Roman" w:cs="Times New Roman"/>
                <w:b/>
                <w:noProof/>
                <w:lang w:eastAsia="en-GB"/>
              </w:rPr>
              <w:t>3.1.</w:t>
            </w:r>
            <w:r>
              <w:rPr>
                <w:rFonts w:eastAsiaTheme="minorEastAsia"/>
                <w:noProof/>
                <w:lang w:val="fr-BE" w:eastAsia="fr-BE"/>
              </w:rPr>
              <w:tab/>
            </w:r>
            <w:r>
              <w:rPr>
                <w:rStyle w:val="Hyperlink"/>
                <w:rFonts w:ascii="Times New Roman" w:eastAsia="Times New Roman" w:hAnsi="Times New Roman" w:cs="Times New Roman"/>
                <w:b/>
                <w:noProof/>
                <w:lang w:eastAsia="en-GB"/>
              </w:rPr>
              <w:t>Priority area I: Optimal use of road, traffic and travel data</w:t>
            </w:r>
            <w:r>
              <w:rPr>
                <w:noProof/>
                <w:webHidden/>
              </w:rPr>
              <w:tab/>
            </w:r>
            <w:r>
              <w:rPr>
                <w:noProof/>
                <w:webHidden/>
              </w:rPr>
              <w:fldChar w:fldCharType="begin"/>
            </w:r>
            <w:r>
              <w:rPr>
                <w:noProof/>
                <w:webHidden/>
              </w:rPr>
              <w:instrText xml:space="preserve"> PAGEREF _Toc18588998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8999" w:history="1">
            <w:r>
              <w:rPr>
                <w:rStyle w:val="Hyperlink"/>
                <w:rFonts w:ascii="Times New Roman" w:eastAsia="Times New Roman" w:hAnsi="Times New Roman" w:cs="Times New Roman"/>
                <w:b/>
                <w:noProof/>
                <w:lang w:eastAsia="en-GB"/>
              </w:rPr>
              <w:t>3.2.</w:t>
            </w:r>
            <w:r>
              <w:rPr>
                <w:rFonts w:eastAsiaTheme="minorEastAsia"/>
                <w:noProof/>
                <w:lang w:val="fr-BE" w:eastAsia="fr-BE"/>
              </w:rPr>
              <w:tab/>
            </w:r>
            <w:r>
              <w:rPr>
                <w:rStyle w:val="Hyperlink"/>
                <w:rFonts w:ascii="Times New Roman" w:eastAsia="Times New Roman" w:hAnsi="Times New Roman" w:cs="Times New Roman"/>
                <w:b/>
                <w:noProof/>
                <w:lang w:eastAsia="en-GB"/>
              </w:rPr>
              <w:t>Priority Area II: Continuity of traffic and freight management ITS services</w:t>
            </w:r>
            <w:r>
              <w:rPr>
                <w:noProof/>
                <w:webHidden/>
              </w:rPr>
              <w:tab/>
            </w:r>
            <w:r>
              <w:rPr>
                <w:noProof/>
                <w:webHidden/>
              </w:rPr>
              <w:fldChar w:fldCharType="begin"/>
            </w:r>
            <w:r>
              <w:rPr>
                <w:noProof/>
                <w:webHidden/>
              </w:rPr>
              <w:instrText xml:space="preserve"> PAGEREF _Toc18588999 \h </w:instrText>
            </w:r>
            <w:r>
              <w:rPr>
                <w:noProof/>
                <w:webHidden/>
              </w:rPr>
            </w:r>
            <w:r>
              <w:rPr>
                <w:noProof/>
                <w:webHidden/>
              </w:rPr>
              <w:fldChar w:fldCharType="separate"/>
            </w:r>
            <w:r>
              <w:rPr>
                <w:noProof/>
                <w:webHidden/>
              </w:rPr>
              <w:t>9</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00" w:history="1">
            <w:r>
              <w:rPr>
                <w:rStyle w:val="Hyperlink"/>
                <w:rFonts w:ascii="Times New Roman" w:eastAsia="Times New Roman" w:hAnsi="Times New Roman" w:cs="Times New Roman"/>
                <w:b/>
                <w:noProof/>
                <w:lang w:eastAsia="en-GB"/>
              </w:rPr>
              <w:t>3.3.</w:t>
            </w:r>
            <w:r>
              <w:rPr>
                <w:rFonts w:eastAsiaTheme="minorEastAsia"/>
                <w:noProof/>
                <w:lang w:val="fr-BE" w:eastAsia="fr-BE"/>
              </w:rPr>
              <w:tab/>
            </w:r>
            <w:r>
              <w:rPr>
                <w:rStyle w:val="Hyperlink"/>
                <w:rFonts w:ascii="Times New Roman" w:eastAsia="Times New Roman" w:hAnsi="Times New Roman" w:cs="Times New Roman"/>
                <w:b/>
                <w:noProof/>
                <w:lang w:eastAsia="en-GB"/>
              </w:rPr>
              <w:t>Priority Area III: ITS road safety and security applications</w:t>
            </w:r>
            <w:r>
              <w:rPr>
                <w:noProof/>
                <w:webHidden/>
              </w:rPr>
              <w:tab/>
            </w:r>
            <w:r>
              <w:rPr>
                <w:noProof/>
                <w:webHidden/>
              </w:rPr>
              <w:fldChar w:fldCharType="begin"/>
            </w:r>
            <w:r>
              <w:rPr>
                <w:noProof/>
                <w:webHidden/>
              </w:rPr>
              <w:instrText xml:space="preserve"> PAGEREF _Toc18589000 \h </w:instrText>
            </w:r>
            <w:r>
              <w:rPr>
                <w:noProof/>
                <w:webHidden/>
              </w:rPr>
            </w:r>
            <w:r>
              <w:rPr>
                <w:noProof/>
                <w:webHidden/>
              </w:rPr>
              <w:fldChar w:fldCharType="separate"/>
            </w:r>
            <w:r>
              <w:rPr>
                <w:noProof/>
                <w:webHidden/>
              </w:rPr>
              <w:t>11</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01" w:history="1">
            <w:r>
              <w:rPr>
                <w:rStyle w:val="Hyperlink"/>
                <w:rFonts w:ascii="Times New Roman" w:eastAsia="Times New Roman" w:hAnsi="Times New Roman" w:cs="Times New Roman"/>
                <w:b/>
                <w:noProof/>
                <w:lang w:eastAsia="en-GB"/>
              </w:rPr>
              <w:t>3.4.</w:t>
            </w:r>
            <w:r>
              <w:rPr>
                <w:rFonts w:eastAsiaTheme="minorEastAsia"/>
                <w:noProof/>
                <w:lang w:val="fr-BE" w:eastAsia="fr-BE"/>
              </w:rPr>
              <w:tab/>
            </w:r>
            <w:r>
              <w:rPr>
                <w:rStyle w:val="Hyperlink"/>
                <w:rFonts w:ascii="Times New Roman" w:eastAsia="Times New Roman" w:hAnsi="Times New Roman" w:cs="Times New Roman"/>
                <w:b/>
                <w:noProof/>
                <w:lang w:eastAsia="en-GB"/>
              </w:rPr>
              <w:t>Priority Area IV: Linking the vehicle with the transport infrastructure</w:t>
            </w:r>
            <w:r>
              <w:rPr>
                <w:noProof/>
                <w:webHidden/>
              </w:rPr>
              <w:tab/>
            </w:r>
            <w:r>
              <w:rPr>
                <w:noProof/>
                <w:webHidden/>
              </w:rPr>
              <w:fldChar w:fldCharType="begin"/>
            </w:r>
            <w:r>
              <w:rPr>
                <w:noProof/>
                <w:webHidden/>
              </w:rPr>
              <w:instrText xml:space="preserve"> PAGEREF _Toc18589001 \h </w:instrText>
            </w:r>
            <w:r>
              <w:rPr>
                <w:noProof/>
                <w:webHidden/>
              </w:rPr>
            </w:r>
            <w:r>
              <w:rPr>
                <w:noProof/>
                <w:webHidden/>
              </w:rPr>
              <w:fldChar w:fldCharType="separate"/>
            </w:r>
            <w:r>
              <w:rPr>
                <w:noProof/>
                <w:webHidden/>
              </w:rPr>
              <w:t>15</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9002" w:history="1">
            <w:r>
              <w:rPr>
                <w:rStyle w:val="Hyperlink"/>
                <w:rFonts w:ascii="Times New Roman" w:eastAsia="Times New Roman" w:hAnsi="Times New Roman" w:cs="Times New Roman"/>
                <w:b/>
                <w:smallCaps/>
                <w:noProof/>
                <w:lang w:eastAsia="en-GB"/>
              </w:rPr>
              <w:t>4.</w:t>
            </w:r>
            <w:r>
              <w:rPr>
                <w:rFonts w:eastAsiaTheme="minorEastAsia"/>
                <w:noProof/>
                <w:lang w:val="fr-BE" w:eastAsia="fr-BE"/>
              </w:rPr>
              <w:tab/>
            </w:r>
            <w:r>
              <w:rPr>
                <w:rStyle w:val="Hyperlink"/>
                <w:rFonts w:ascii="Times New Roman" w:eastAsia="Times New Roman" w:hAnsi="Times New Roman" w:cs="Times New Roman"/>
                <w:b/>
                <w:smallCaps/>
                <w:noProof/>
                <w:lang w:eastAsia="en-GB"/>
              </w:rPr>
              <w:t>Conclusion</w:t>
            </w:r>
            <w:r>
              <w:rPr>
                <w:noProof/>
                <w:webHidden/>
              </w:rPr>
              <w:tab/>
            </w:r>
            <w:r>
              <w:rPr>
                <w:noProof/>
                <w:webHidden/>
              </w:rPr>
              <w:fldChar w:fldCharType="begin"/>
            </w:r>
            <w:r>
              <w:rPr>
                <w:noProof/>
                <w:webHidden/>
              </w:rPr>
              <w:instrText xml:space="preserve"> PAGEREF _Toc18589002 \h </w:instrText>
            </w:r>
            <w:r>
              <w:rPr>
                <w:noProof/>
                <w:webHidden/>
              </w:rPr>
            </w:r>
            <w:r>
              <w:rPr>
                <w:noProof/>
                <w:webHidden/>
              </w:rPr>
              <w:fldChar w:fldCharType="separate"/>
            </w:r>
            <w:r>
              <w:rPr>
                <w:noProof/>
                <w:webHidden/>
              </w:rPr>
              <w:t>17</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9003" w:history="1">
            <w:r>
              <w:rPr>
                <w:rStyle w:val="Hyperlink"/>
                <w:rFonts w:ascii="Times New Roman" w:eastAsia="Times New Roman" w:hAnsi="Times New Roman" w:cs="Times New Roman"/>
                <w:b/>
                <w:smallCaps/>
                <w:noProof/>
                <w:lang w:eastAsia="en-GB"/>
              </w:rPr>
              <w:t>5.</w:t>
            </w:r>
            <w:r>
              <w:rPr>
                <w:rFonts w:eastAsiaTheme="minorEastAsia"/>
                <w:noProof/>
                <w:lang w:val="fr-BE" w:eastAsia="fr-BE"/>
              </w:rPr>
              <w:tab/>
            </w:r>
            <w:r>
              <w:rPr>
                <w:rStyle w:val="Hyperlink"/>
                <w:rFonts w:ascii="Times New Roman" w:eastAsia="Times New Roman" w:hAnsi="Times New Roman" w:cs="Times New Roman"/>
                <w:b/>
                <w:smallCaps/>
                <w:noProof/>
                <w:lang w:eastAsia="en-GB"/>
              </w:rPr>
              <w:t>Suggestions for next progress reports</w:t>
            </w:r>
            <w:r>
              <w:rPr>
                <w:noProof/>
                <w:webHidden/>
              </w:rPr>
              <w:tab/>
            </w:r>
            <w:r>
              <w:rPr>
                <w:noProof/>
                <w:webHidden/>
              </w:rPr>
              <w:fldChar w:fldCharType="begin"/>
            </w:r>
            <w:r>
              <w:rPr>
                <w:noProof/>
                <w:webHidden/>
              </w:rPr>
              <w:instrText xml:space="preserve"> PAGEREF _Toc18589003 \h </w:instrText>
            </w:r>
            <w:r>
              <w:rPr>
                <w:noProof/>
                <w:webHidden/>
              </w:rPr>
            </w:r>
            <w:r>
              <w:rPr>
                <w:noProof/>
                <w:webHidden/>
              </w:rPr>
              <w:fldChar w:fldCharType="separate"/>
            </w:r>
            <w:r>
              <w:rPr>
                <w:noProof/>
                <w:webHidden/>
              </w:rPr>
              <w:t>17</w:t>
            </w:r>
            <w:r>
              <w:rPr>
                <w:noProof/>
                <w:webHidden/>
              </w:rPr>
              <w:fldChar w:fldCharType="end"/>
            </w:r>
          </w:hyperlink>
        </w:p>
        <w:p>
          <w:pPr>
            <w:pStyle w:val="TOC1"/>
            <w:tabs>
              <w:tab w:val="right" w:leader="dot" w:pos="9062"/>
            </w:tabs>
            <w:rPr>
              <w:rFonts w:eastAsiaTheme="minorEastAsia"/>
              <w:noProof/>
              <w:lang w:val="fr-BE" w:eastAsia="fr-BE"/>
            </w:rPr>
          </w:pPr>
          <w:hyperlink w:anchor="_Toc18589004" w:history="1">
            <w:r>
              <w:rPr>
                <w:rStyle w:val="Hyperlink"/>
                <w:rFonts w:ascii="Times New Roman" w:eastAsia="Times New Roman" w:hAnsi="Times New Roman" w:cs="Times New Roman"/>
                <w:b/>
                <w:smallCaps/>
                <w:noProof/>
                <w:lang w:eastAsia="en-GB"/>
              </w:rPr>
              <w:t>B - Analysis of 2017 Reports on National Activities and Projects</w:t>
            </w:r>
            <w:r>
              <w:rPr>
                <w:noProof/>
                <w:webHidden/>
              </w:rPr>
              <w:tab/>
            </w:r>
            <w:r>
              <w:rPr>
                <w:noProof/>
                <w:webHidden/>
              </w:rPr>
              <w:fldChar w:fldCharType="begin"/>
            </w:r>
            <w:r>
              <w:rPr>
                <w:noProof/>
                <w:webHidden/>
              </w:rPr>
              <w:instrText xml:space="preserve"> PAGEREF _Toc18589004 \h </w:instrText>
            </w:r>
            <w:r>
              <w:rPr>
                <w:noProof/>
                <w:webHidden/>
              </w:rPr>
            </w:r>
            <w:r>
              <w:rPr>
                <w:noProof/>
                <w:webHidden/>
              </w:rPr>
              <w:fldChar w:fldCharType="separate"/>
            </w:r>
            <w:r>
              <w:rPr>
                <w:noProof/>
                <w:webHidden/>
              </w:rPr>
              <w:t>19</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9005" w:history="1">
            <w:r>
              <w:rPr>
                <w:rStyle w:val="Hyperlink"/>
                <w:rFonts w:ascii="Times New Roman" w:eastAsia="Times New Roman" w:hAnsi="Times New Roman" w:cs="Times New Roman"/>
                <w:b/>
                <w:smallCaps/>
                <w:noProof/>
                <w:lang w:eastAsia="en-GB"/>
              </w:rPr>
              <w:t>1.</w:t>
            </w:r>
            <w:r>
              <w:rPr>
                <w:rFonts w:eastAsiaTheme="minorEastAsia"/>
                <w:noProof/>
                <w:lang w:val="fr-BE" w:eastAsia="fr-BE"/>
              </w:rPr>
              <w:tab/>
            </w:r>
            <w:r>
              <w:rPr>
                <w:rStyle w:val="Hyperlink"/>
                <w:rFonts w:ascii="Times New Roman" w:eastAsia="Times New Roman" w:hAnsi="Times New Roman" w:cs="Times New Roman"/>
                <w:b/>
                <w:smallCaps/>
                <w:noProof/>
                <w:lang w:eastAsia="en-GB"/>
              </w:rPr>
              <w:t>Introduction</w:t>
            </w:r>
            <w:r>
              <w:rPr>
                <w:noProof/>
                <w:webHidden/>
              </w:rPr>
              <w:tab/>
            </w:r>
            <w:r>
              <w:rPr>
                <w:noProof/>
                <w:webHidden/>
              </w:rPr>
              <w:fldChar w:fldCharType="begin"/>
            </w:r>
            <w:r>
              <w:rPr>
                <w:noProof/>
                <w:webHidden/>
              </w:rPr>
              <w:instrText xml:space="preserve"> PAGEREF _Toc18589005 \h </w:instrText>
            </w:r>
            <w:r>
              <w:rPr>
                <w:noProof/>
                <w:webHidden/>
              </w:rPr>
            </w:r>
            <w:r>
              <w:rPr>
                <w:noProof/>
                <w:webHidden/>
              </w:rPr>
              <w:fldChar w:fldCharType="separate"/>
            </w:r>
            <w:r>
              <w:rPr>
                <w:noProof/>
                <w:webHidden/>
              </w:rPr>
              <w:t>19</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9006" w:history="1">
            <w:r>
              <w:rPr>
                <w:rStyle w:val="Hyperlink"/>
                <w:rFonts w:ascii="Times New Roman" w:eastAsia="Times New Roman" w:hAnsi="Times New Roman" w:cs="Times New Roman"/>
                <w:b/>
                <w:smallCaps/>
                <w:noProof/>
                <w:lang w:eastAsia="en-GB"/>
              </w:rPr>
              <w:t>2.</w:t>
            </w:r>
            <w:r>
              <w:rPr>
                <w:rFonts w:eastAsiaTheme="minorEastAsia"/>
                <w:noProof/>
                <w:lang w:val="fr-BE" w:eastAsia="fr-BE"/>
              </w:rPr>
              <w:tab/>
            </w:r>
            <w:r>
              <w:rPr>
                <w:rStyle w:val="Hyperlink"/>
                <w:rFonts w:ascii="Times New Roman" w:eastAsia="Times New Roman" w:hAnsi="Times New Roman" w:cs="Times New Roman"/>
                <w:b/>
                <w:smallCaps/>
                <w:noProof/>
                <w:lang w:eastAsia="en-GB"/>
              </w:rPr>
              <w:t>General observations</w:t>
            </w:r>
            <w:r>
              <w:rPr>
                <w:noProof/>
                <w:webHidden/>
              </w:rPr>
              <w:tab/>
            </w:r>
            <w:r>
              <w:rPr>
                <w:noProof/>
                <w:webHidden/>
              </w:rPr>
              <w:fldChar w:fldCharType="begin"/>
            </w:r>
            <w:r>
              <w:rPr>
                <w:noProof/>
                <w:webHidden/>
              </w:rPr>
              <w:instrText xml:space="preserve"> PAGEREF _Toc18589006 \h </w:instrText>
            </w:r>
            <w:r>
              <w:rPr>
                <w:noProof/>
                <w:webHidden/>
              </w:rPr>
            </w:r>
            <w:r>
              <w:rPr>
                <w:noProof/>
                <w:webHidden/>
              </w:rPr>
              <w:fldChar w:fldCharType="separate"/>
            </w:r>
            <w:r>
              <w:rPr>
                <w:noProof/>
                <w:webHidden/>
              </w:rPr>
              <w:t>19</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9007" w:history="1">
            <w:r>
              <w:rPr>
                <w:rStyle w:val="Hyperlink"/>
                <w:rFonts w:ascii="Times New Roman" w:eastAsia="Times New Roman" w:hAnsi="Times New Roman" w:cs="Times New Roman"/>
                <w:b/>
                <w:smallCaps/>
                <w:noProof/>
                <w:lang w:eastAsia="en-GB"/>
              </w:rPr>
              <w:t>3.</w:t>
            </w:r>
            <w:r>
              <w:rPr>
                <w:rFonts w:eastAsiaTheme="minorEastAsia"/>
                <w:noProof/>
                <w:lang w:val="fr-BE" w:eastAsia="fr-BE"/>
              </w:rPr>
              <w:tab/>
            </w:r>
            <w:r>
              <w:rPr>
                <w:rStyle w:val="Hyperlink"/>
                <w:rFonts w:ascii="Times New Roman" w:eastAsia="Times New Roman" w:hAnsi="Times New Roman" w:cs="Times New Roman"/>
                <w:b/>
                <w:smallCaps/>
                <w:noProof/>
                <w:lang w:eastAsia="en-GB"/>
              </w:rPr>
              <w:t>Detailed Analysis</w:t>
            </w:r>
            <w:r>
              <w:rPr>
                <w:noProof/>
                <w:webHidden/>
              </w:rPr>
              <w:tab/>
            </w:r>
            <w:r>
              <w:rPr>
                <w:noProof/>
                <w:webHidden/>
              </w:rPr>
              <w:fldChar w:fldCharType="begin"/>
            </w:r>
            <w:r>
              <w:rPr>
                <w:noProof/>
                <w:webHidden/>
              </w:rPr>
              <w:instrText xml:space="preserve"> PAGEREF _Toc18589007 \h </w:instrText>
            </w:r>
            <w:r>
              <w:rPr>
                <w:noProof/>
                <w:webHidden/>
              </w:rPr>
            </w:r>
            <w:r>
              <w:rPr>
                <w:noProof/>
                <w:webHidden/>
              </w:rPr>
              <w:fldChar w:fldCharType="separate"/>
            </w:r>
            <w:r>
              <w:rPr>
                <w:noProof/>
                <w:webHidden/>
              </w:rPr>
              <w:t>20</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08" w:history="1">
            <w:r>
              <w:rPr>
                <w:rStyle w:val="Hyperlink"/>
                <w:rFonts w:ascii="Times New Roman" w:eastAsia="Times New Roman" w:hAnsi="Times New Roman" w:cs="Times New Roman"/>
                <w:b/>
                <w:noProof/>
                <w:lang w:eastAsia="en-GB"/>
              </w:rPr>
              <w:t>3.1.</w:t>
            </w:r>
            <w:r>
              <w:rPr>
                <w:rFonts w:eastAsiaTheme="minorEastAsia"/>
                <w:noProof/>
                <w:lang w:val="fr-BE" w:eastAsia="fr-BE"/>
              </w:rPr>
              <w:tab/>
            </w:r>
            <w:r>
              <w:rPr>
                <w:rStyle w:val="Hyperlink"/>
                <w:rFonts w:ascii="Times New Roman" w:eastAsia="Times New Roman" w:hAnsi="Times New Roman" w:cs="Times New Roman"/>
                <w:b/>
                <w:noProof/>
                <w:lang w:eastAsia="en-GB"/>
              </w:rPr>
              <w:t>Priority area I: Optimal use of road, traffic and travel data</w:t>
            </w:r>
            <w:r>
              <w:rPr>
                <w:noProof/>
                <w:webHidden/>
              </w:rPr>
              <w:tab/>
            </w:r>
            <w:r>
              <w:rPr>
                <w:noProof/>
                <w:webHidden/>
              </w:rPr>
              <w:fldChar w:fldCharType="begin"/>
            </w:r>
            <w:r>
              <w:rPr>
                <w:noProof/>
                <w:webHidden/>
              </w:rPr>
              <w:instrText xml:space="preserve"> PAGEREF _Toc18589008 \h </w:instrText>
            </w:r>
            <w:r>
              <w:rPr>
                <w:noProof/>
                <w:webHidden/>
              </w:rPr>
            </w:r>
            <w:r>
              <w:rPr>
                <w:noProof/>
                <w:webHidden/>
              </w:rPr>
              <w:fldChar w:fldCharType="separate"/>
            </w:r>
            <w:r>
              <w:rPr>
                <w:noProof/>
                <w:webHidden/>
              </w:rPr>
              <w:t>22</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09" w:history="1">
            <w:r>
              <w:rPr>
                <w:rStyle w:val="Hyperlink"/>
                <w:rFonts w:ascii="Times New Roman" w:eastAsia="Times New Roman" w:hAnsi="Times New Roman" w:cs="Times New Roman"/>
                <w:b/>
                <w:noProof/>
                <w:lang w:eastAsia="en-GB"/>
              </w:rPr>
              <w:t>3.2.</w:t>
            </w:r>
            <w:r>
              <w:rPr>
                <w:rFonts w:eastAsiaTheme="minorEastAsia"/>
                <w:noProof/>
                <w:lang w:val="fr-BE" w:eastAsia="fr-BE"/>
              </w:rPr>
              <w:tab/>
            </w:r>
            <w:r>
              <w:rPr>
                <w:rStyle w:val="Hyperlink"/>
                <w:rFonts w:ascii="Times New Roman" w:eastAsia="Times New Roman" w:hAnsi="Times New Roman" w:cs="Times New Roman"/>
                <w:b/>
                <w:noProof/>
                <w:lang w:eastAsia="en-GB"/>
              </w:rPr>
              <w:t>Priority area II: Continuity of traffic and freight management ITS services</w:t>
            </w:r>
            <w:r>
              <w:rPr>
                <w:noProof/>
                <w:webHidden/>
              </w:rPr>
              <w:tab/>
            </w:r>
            <w:r>
              <w:rPr>
                <w:noProof/>
                <w:webHidden/>
              </w:rPr>
              <w:fldChar w:fldCharType="begin"/>
            </w:r>
            <w:r>
              <w:rPr>
                <w:noProof/>
                <w:webHidden/>
              </w:rPr>
              <w:instrText xml:space="preserve"> PAGEREF _Toc18589009 \h </w:instrText>
            </w:r>
            <w:r>
              <w:rPr>
                <w:noProof/>
                <w:webHidden/>
              </w:rPr>
            </w:r>
            <w:r>
              <w:rPr>
                <w:noProof/>
                <w:webHidden/>
              </w:rPr>
              <w:fldChar w:fldCharType="separate"/>
            </w:r>
            <w:r>
              <w:rPr>
                <w:noProof/>
                <w:webHidden/>
              </w:rPr>
              <w:t>27</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10" w:history="1">
            <w:r>
              <w:rPr>
                <w:rStyle w:val="Hyperlink"/>
                <w:rFonts w:ascii="Times New Roman" w:eastAsia="Times New Roman" w:hAnsi="Times New Roman" w:cs="Times New Roman"/>
                <w:b/>
                <w:noProof/>
                <w:lang w:eastAsia="en-GB"/>
              </w:rPr>
              <w:t>3.3.</w:t>
            </w:r>
            <w:r>
              <w:rPr>
                <w:rFonts w:eastAsiaTheme="minorEastAsia"/>
                <w:noProof/>
                <w:lang w:val="fr-BE" w:eastAsia="fr-BE"/>
              </w:rPr>
              <w:tab/>
            </w:r>
            <w:r>
              <w:rPr>
                <w:rStyle w:val="Hyperlink"/>
                <w:rFonts w:ascii="Times New Roman" w:eastAsia="Times New Roman" w:hAnsi="Times New Roman" w:cs="Times New Roman"/>
                <w:b/>
                <w:noProof/>
                <w:lang w:eastAsia="en-GB"/>
              </w:rPr>
              <w:t>Priority area III: ITS road safety and security applications</w:t>
            </w:r>
            <w:r>
              <w:rPr>
                <w:noProof/>
                <w:webHidden/>
              </w:rPr>
              <w:tab/>
            </w:r>
            <w:r>
              <w:rPr>
                <w:noProof/>
                <w:webHidden/>
              </w:rPr>
              <w:fldChar w:fldCharType="begin"/>
            </w:r>
            <w:r>
              <w:rPr>
                <w:noProof/>
                <w:webHidden/>
              </w:rPr>
              <w:instrText xml:space="preserve"> PAGEREF _Toc18589010 \h </w:instrText>
            </w:r>
            <w:r>
              <w:rPr>
                <w:noProof/>
                <w:webHidden/>
              </w:rPr>
            </w:r>
            <w:r>
              <w:rPr>
                <w:noProof/>
                <w:webHidden/>
              </w:rPr>
              <w:fldChar w:fldCharType="separate"/>
            </w:r>
            <w:r>
              <w:rPr>
                <w:noProof/>
                <w:webHidden/>
              </w:rPr>
              <w:t>29</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11" w:history="1">
            <w:r>
              <w:rPr>
                <w:rStyle w:val="Hyperlink"/>
                <w:rFonts w:ascii="Times New Roman" w:eastAsia="Times New Roman" w:hAnsi="Times New Roman" w:cs="Times New Roman"/>
                <w:b/>
                <w:noProof/>
                <w:lang w:eastAsia="en-GB"/>
              </w:rPr>
              <w:t>3.4.</w:t>
            </w:r>
            <w:r>
              <w:rPr>
                <w:rFonts w:eastAsiaTheme="minorEastAsia"/>
                <w:noProof/>
                <w:lang w:val="fr-BE" w:eastAsia="fr-BE"/>
              </w:rPr>
              <w:tab/>
            </w:r>
            <w:r>
              <w:rPr>
                <w:rStyle w:val="Hyperlink"/>
                <w:rFonts w:ascii="Times New Roman" w:eastAsia="Times New Roman" w:hAnsi="Times New Roman" w:cs="Times New Roman"/>
                <w:b/>
                <w:noProof/>
                <w:lang w:eastAsia="en-GB"/>
              </w:rPr>
              <w:t>Priority area IV: Linking the vehicle with the transport infrastructure</w:t>
            </w:r>
            <w:r>
              <w:rPr>
                <w:noProof/>
                <w:webHidden/>
              </w:rPr>
              <w:tab/>
            </w:r>
            <w:r>
              <w:rPr>
                <w:noProof/>
                <w:webHidden/>
              </w:rPr>
              <w:fldChar w:fldCharType="begin"/>
            </w:r>
            <w:r>
              <w:rPr>
                <w:noProof/>
                <w:webHidden/>
              </w:rPr>
              <w:instrText xml:space="preserve"> PAGEREF _Toc18589011 \h </w:instrText>
            </w:r>
            <w:r>
              <w:rPr>
                <w:noProof/>
                <w:webHidden/>
              </w:rPr>
            </w:r>
            <w:r>
              <w:rPr>
                <w:noProof/>
                <w:webHidden/>
              </w:rPr>
              <w:fldChar w:fldCharType="separate"/>
            </w:r>
            <w:r>
              <w:rPr>
                <w:noProof/>
                <w:webHidden/>
              </w:rPr>
              <w:t>32</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12" w:history="1">
            <w:r>
              <w:rPr>
                <w:rStyle w:val="Hyperlink"/>
                <w:rFonts w:ascii="Times New Roman" w:eastAsia="Times New Roman" w:hAnsi="Times New Roman" w:cs="Times New Roman"/>
                <w:b/>
                <w:noProof/>
                <w:lang w:eastAsia="en-GB"/>
              </w:rPr>
              <w:t>3.5.</w:t>
            </w:r>
            <w:r>
              <w:rPr>
                <w:rFonts w:eastAsiaTheme="minorEastAsia"/>
                <w:noProof/>
                <w:lang w:val="fr-BE" w:eastAsia="fr-BE"/>
              </w:rPr>
              <w:tab/>
            </w:r>
            <w:r>
              <w:rPr>
                <w:rStyle w:val="Hyperlink"/>
                <w:rFonts w:ascii="Times New Roman" w:eastAsia="Times New Roman" w:hAnsi="Times New Roman" w:cs="Times New Roman"/>
                <w:b/>
                <w:noProof/>
                <w:lang w:eastAsia="en-GB"/>
              </w:rPr>
              <w:t>Other initiatives / highlights</w:t>
            </w:r>
            <w:r>
              <w:rPr>
                <w:noProof/>
                <w:webHidden/>
              </w:rPr>
              <w:tab/>
            </w:r>
            <w:r>
              <w:rPr>
                <w:noProof/>
                <w:webHidden/>
              </w:rPr>
              <w:fldChar w:fldCharType="begin"/>
            </w:r>
            <w:r>
              <w:rPr>
                <w:noProof/>
                <w:webHidden/>
              </w:rPr>
              <w:instrText xml:space="preserve"> PAGEREF _Toc18589012 \h </w:instrText>
            </w:r>
            <w:r>
              <w:rPr>
                <w:noProof/>
                <w:webHidden/>
              </w:rPr>
            </w:r>
            <w:r>
              <w:rPr>
                <w:noProof/>
                <w:webHidden/>
              </w:rPr>
              <w:fldChar w:fldCharType="separate"/>
            </w:r>
            <w:r>
              <w:rPr>
                <w:noProof/>
                <w:webHidden/>
              </w:rPr>
              <w:t>33</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9013" w:history="1">
            <w:r>
              <w:rPr>
                <w:rStyle w:val="Hyperlink"/>
                <w:rFonts w:ascii="Times New Roman" w:eastAsia="Times New Roman" w:hAnsi="Times New Roman" w:cs="Times New Roman"/>
                <w:b/>
                <w:smallCaps/>
                <w:noProof/>
                <w:lang w:eastAsia="en-GB"/>
              </w:rPr>
              <w:t>4.</w:t>
            </w:r>
            <w:r>
              <w:rPr>
                <w:rFonts w:eastAsiaTheme="minorEastAsia"/>
                <w:noProof/>
                <w:lang w:val="fr-BE" w:eastAsia="fr-BE"/>
              </w:rPr>
              <w:tab/>
            </w:r>
            <w:r>
              <w:rPr>
                <w:rStyle w:val="Hyperlink"/>
                <w:rFonts w:ascii="Times New Roman" w:eastAsia="Times New Roman" w:hAnsi="Times New Roman" w:cs="Times New Roman"/>
                <w:b/>
                <w:smallCaps/>
                <w:noProof/>
                <w:lang w:eastAsia="en-GB"/>
              </w:rPr>
              <w:t>Key Performance Indicators (KPIs)</w:t>
            </w:r>
            <w:r>
              <w:rPr>
                <w:noProof/>
                <w:webHidden/>
              </w:rPr>
              <w:tab/>
            </w:r>
            <w:r>
              <w:rPr>
                <w:noProof/>
                <w:webHidden/>
              </w:rPr>
              <w:fldChar w:fldCharType="begin"/>
            </w:r>
            <w:r>
              <w:rPr>
                <w:noProof/>
                <w:webHidden/>
              </w:rPr>
              <w:instrText xml:space="preserve"> PAGEREF _Toc18589013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14" w:history="1">
            <w:r>
              <w:rPr>
                <w:rStyle w:val="Hyperlink"/>
                <w:rFonts w:ascii="Times New Roman" w:eastAsia="Times New Roman" w:hAnsi="Times New Roman" w:cs="Times New Roman"/>
                <w:b/>
                <w:noProof/>
                <w:lang w:eastAsia="en-GB"/>
              </w:rPr>
              <w:t>4.1.</w:t>
            </w:r>
            <w:r>
              <w:rPr>
                <w:rFonts w:eastAsiaTheme="minorEastAsia"/>
                <w:noProof/>
                <w:lang w:val="fr-BE" w:eastAsia="fr-BE"/>
              </w:rPr>
              <w:tab/>
            </w:r>
            <w:r>
              <w:rPr>
                <w:rStyle w:val="Hyperlink"/>
                <w:rFonts w:ascii="Times New Roman" w:eastAsia="Times New Roman" w:hAnsi="Times New Roman" w:cs="Times New Roman"/>
                <w:b/>
                <w:noProof/>
                <w:lang w:eastAsia="en-GB"/>
              </w:rPr>
              <w:t>Deployment KPIs</w:t>
            </w:r>
            <w:r>
              <w:rPr>
                <w:noProof/>
                <w:webHidden/>
              </w:rPr>
              <w:tab/>
            </w:r>
            <w:r>
              <w:rPr>
                <w:noProof/>
                <w:webHidden/>
              </w:rPr>
              <w:fldChar w:fldCharType="begin"/>
            </w:r>
            <w:r>
              <w:rPr>
                <w:noProof/>
                <w:webHidden/>
              </w:rPr>
              <w:instrText xml:space="preserve"> PAGEREF _Toc18589014 \h </w:instrText>
            </w:r>
            <w:r>
              <w:rPr>
                <w:noProof/>
                <w:webHidden/>
              </w:rPr>
            </w:r>
            <w:r>
              <w:rPr>
                <w:noProof/>
                <w:webHidden/>
              </w:rPr>
              <w:fldChar w:fldCharType="separate"/>
            </w:r>
            <w:r>
              <w:rPr>
                <w:noProof/>
                <w:webHidden/>
              </w:rPr>
              <w:t>35</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15" w:history="1">
            <w:r>
              <w:rPr>
                <w:rStyle w:val="Hyperlink"/>
                <w:rFonts w:ascii="Times New Roman" w:eastAsia="Times New Roman" w:hAnsi="Times New Roman" w:cs="Times New Roman"/>
                <w:b/>
                <w:noProof/>
                <w:lang w:eastAsia="en-GB"/>
              </w:rPr>
              <w:t>4.2.</w:t>
            </w:r>
            <w:r>
              <w:rPr>
                <w:rFonts w:eastAsiaTheme="minorEastAsia"/>
                <w:noProof/>
                <w:lang w:val="fr-BE" w:eastAsia="fr-BE"/>
              </w:rPr>
              <w:tab/>
            </w:r>
            <w:r>
              <w:rPr>
                <w:rStyle w:val="Hyperlink"/>
                <w:rFonts w:ascii="Times New Roman" w:eastAsia="Times New Roman" w:hAnsi="Times New Roman" w:cs="Times New Roman"/>
                <w:b/>
                <w:noProof/>
                <w:lang w:eastAsia="en-GB"/>
              </w:rPr>
              <w:t>Benefit KPIs</w:t>
            </w:r>
            <w:r>
              <w:rPr>
                <w:noProof/>
                <w:webHidden/>
              </w:rPr>
              <w:tab/>
            </w:r>
            <w:r>
              <w:rPr>
                <w:noProof/>
                <w:webHidden/>
              </w:rPr>
              <w:fldChar w:fldCharType="begin"/>
            </w:r>
            <w:r>
              <w:rPr>
                <w:noProof/>
                <w:webHidden/>
              </w:rPr>
              <w:instrText xml:space="preserve"> PAGEREF _Toc18589015 \h </w:instrText>
            </w:r>
            <w:r>
              <w:rPr>
                <w:noProof/>
                <w:webHidden/>
              </w:rPr>
            </w:r>
            <w:r>
              <w:rPr>
                <w:noProof/>
                <w:webHidden/>
              </w:rPr>
              <w:fldChar w:fldCharType="separate"/>
            </w:r>
            <w:r>
              <w:rPr>
                <w:noProof/>
                <w:webHidden/>
              </w:rPr>
              <w:t>37</w:t>
            </w:r>
            <w:r>
              <w:rPr>
                <w:noProof/>
                <w:webHidden/>
              </w:rPr>
              <w:fldChar w:fldCharType="end"/>
            </w:r>
          </w:hyperlink>
        </w:p>
        <w:p>
          <w:pPr>
            <w:pStyle w:val="TOC2"/>
            <w:tabs>
              <w:tab w:val="left" w:pos="880"/>
              <w:tab w:val="right" w:leader="dot" w:pos="9062"/>
            </w:tabs>
            <w:rPr>
              <w:rFonts w:eastAsiaTheme="minorEastAsia"/>
              <w:noProof/>
              <w:lang w:val="fr-BE" w:eastAsia="fr-BE"/>
            </w:rPr>
          </w:pPr>
          <w:hyperlink w:anchor="_Toc18589016" w:history="1">
            <w:r>
              <w:rPr>
                <w:rStyle w:val="Hyperlink"/>
                <w:rFonts w:ascii="Times New Roman" w:eastAsia="Times New Roman" w:hAnsi="Times New Roman" w:cs="Times New Roman"/>
                <w:b/>
                <w:noProof/>
                <w:lang w:eastAsia="en-GB"/>
              </w:rPr>
              <w:t>4.3.</w:t>
            </w:r>
            <w:r>
              <w:rPr>
                <w:rFonts w:eastAsiaTheme="minorEastAsia"/>
                <w:noProof/>
                <w:lang w:val="fr-BE" w:eastAsia="fr-BE"/>
              </w:rPr>
              <w:tab/>
            </w:r>
            <w:r>
              <w:rPr>
                <w:rStyle w:val="Hyperlink"/>
                <w:rFonts w:ascii="Times New Roman" w:eastAsia="Times New Roman" w:hAnsi="Times New Roman" w:cs="Times New Roman"/>
                <w:b/>
                <w:noProof/>
                <w:lang w:eastAsia="en-GB"/>
              </w:rPr>
              <w:t>Financial KPIs</w:t>
            </w:r>
            <w:r>
              <w:rPr>
                <w:noProof/>
                <w:webHidden/>
              </w:rPr>
              <w:tab/>
            </w:r>
            <w:r>
              <w:rPr>
                <w:noProof/>
                <w:webHidden/>
              </w:rPr>
              <w:fldChar w:fldCharType="begin"/>
            </w:r>
            <w:r>
              <w:rPr>
                <w:noProof/>
                <w:webHidden/>
              </w:rPr>
              <w:instrText xml:space="preserve"> PAGEREF _Toc18589016 \h </w:instrText>
            </w:r>
            <w:r>
              <w:rPr>
                <w:noProof/>
                <w:webHidden/>
              </w:rPr>
            </w:r>
            <w:r>
              <w:rPr>
                <w:noProof/>
                <w:webHidden/>
              </w:rPr>
              <w:fldChar w:fldCharType="separate"/>
            </w:r>
            <w:r>
              <w:rPr>
                <w:noProof/>
                <w:webHidden/>
              </w:rPr>
              <w:t>38</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9017" w:history="1">
            <w:r>
              <w:rPr>
                <w:rStyle w:val="Hyperlink"/>
                <w:rFonts w:ascii="Times New Roman" w:eastAsia="Times New Roman" w:hAnsi="Times New Roman" w:cs="Times New Roman"/>
                <w:b/>
                <w:smallCaps/>
                <w:noProof/>
                <w:lang w:eastAsia="en-GB"/>
              </w:rPr>
              <w:t>5.</w:t>
            </w:r>
            <w:r>
              <w:rPr>
                <w:rFonts w:eastAsiaTheme="minorEastAsia"/>
                <w:noProof/>
                <w:lang w:val="fr-BE" w:eastAsia="fr-BE"/>
              </w:rPr>
              <w:tab/>
            </w:r>
            <w:r>
              <w:rPr>
                <w:rStyle w:val="Hyperlink"/>
                <w:rFonts w:ascii="Times New Roman" w:eastAsia="Times New Roman" w:hAnsi="Times New Roman" w:cs="Times New Roman"/>
                <w:b/>
                <w:smallCaps/>
                <w:noProof/>
                <w:lang w:eastAsia="en-GB"/>
              </w:rPr>
              <w:t>Conclusion</w:t>
            </w:r>
            <w:r>
              <w:rPr>
                <w:noProof/>
                <w:webHidden/>
              </w:rPr>
              <w:tab/>
            </w:r>
            <w:r>
              <w:rPr>
                <w:noProof/>
                <w:webHidden/>
              </w:rPr>
              <w:fldChar w:fldCharType="begin"/>
            </w:r>
            <w:r>
              <w:rPr>
                <w:noProof/>
                <w:webHidden/>
              </w:rPr>
              <w:instrText xml:space="preserve"> PAGEREF _Toc18589017 \h </w:instrText>
            </w:r>
            <w:r>
              <w:rPr>
                <w:noProof/>
                <w:webHidden/>
              </w:rPr>
            </w:r>
            <w:r>
              <w:rPr>
                <w:noProof/>
                <w:webHidden/>
              </w:rPr>
              <w:fldChar w:fldCharType="separate"/>
            </w:r>
            <w:r>
              <w:rPr>
                <w:noProof/>
                <w:webHidden/>
              </w:rPr>
              <w:t>39</w:t>
            </w:r>
            <w:r>
              <w:rPr>
                <w:noProof/>
                <w:webHidden/>
              </w:rPr>
              <w:fldChar w:fldCharType="end"/>
            </w:r>
          </w:hyperlink>
        </w:p>
        <w:p>
          <w:pPr>
            <w:pStyle w:val="TOC1"/>
            <w:tabs>
              <w:tab w:val="left" w:pos="440"/>
              <w:tab w:val="right" w:leader="dot" w:pos="9062"/>
            </w:tabs>
            <w:rPr>
              <w:rFonts w:eastAsiaTheme="minorEastAsia"/>
              <w:noProof/>
              <w:lang w:val="fr-BE" w:eastAsia="fr-BE"/>
            </w:rPr>
          </w:pPr>
          <w:hyperlink w:anchor="_Toc18589018" w:history="1">
            <w:r>
              <w:rPr>
                <w:rStyle w:val="Hyperlink"/>
                <w:rFonts w:ascii="Times New Roman" w:eastAsia="Times New Roman" w:hAnsi="Times New Roman" w:cs="Times New Roman"/>
                <w:b/>
                <w:smallCaps/>
                <w:noProof/>
                <w:lang w:eastAsia="en-GB"/>
              </w:rPr>
              <w:t>6.</w:t>
            </w:r>
            <w:r>
              <w:rPr>
                <w:rFonts w:eastAsiaTheme="minorEastAsia"/>
                <w:noProof/>
                <w:lang w:val="fr-BE" w:eastAsia="fr-BE"/>
              </w:rPr>
              <w:tab/>
            </w:r>
            <w:r>
              <w:rPr>
                <w:rStyle w:val="Hyperlink"/>
                <w:rFonts w:ascii="Times New Roman" w:eastAsia="Times New Roman" w:hAnsi="Times New Roman" w:cs="Times New Roman"/>
                <w:b/>
                <w:smallCaps/>
                <w:noProof/>
                <w:lang w:eastAsia="en-GB"/>
              </w:rPr>
              <w:t>Suggestions for next progress reports</w:t>
            </w:r>
            <w:r>
              <w:rPr>
                <w:noProof/>
                <w:webHidden/>
              </w:rPr>
              <w:tab/>
            </w:r>
            <w:r>
              <w:rPr>
                <w:noProof/>
                <w:webHidden/>
              </w:rPr>
              <w:fldChar w:fldCharType="begin"/>
            </w:r>
            <w:r>
              <w:rPr>
                <w:noProof/>
                <w:webHidden/>
              </w:rPr>
              <w:instrText xml:space="preserve"> PAGEREF _Toc18589018 \h </w:instrText>
            </w:r>
            <w:r>
              <w:rPr>
                <w:noProof/>
                <w:webHidden/>
              </w:rPr>
            </w:r>
            <w:r>
              <w:rPr>
                <w:noProof/>
                <w:webHidden/>
              </w:rPr>
              <w:fldChar w:fldCharType="separate"/>
            </w:r>
            <w:r>
              <w:rPr>
                <w:noProof/>
                <w:webHidden/>
              </w:rPr>
              <w:t>41</w:t>
            </w:r>
            <w:r>
              <w:rPr>
                <w:noProof/>
                <w:webHidden/>
              </w:rPr>
              <w:fldChar w:fldCharType="end"/>
            </w:r>
          </w:hyperlink>
        </w:p>
        <w:p>
          <w:pPr>
            <w:rPr>
              <w:noProof/>
              <w:lang w:val="en-GB"/>
            </w:rPr>
          </w:pPr>
          <w:r>
            <w:rPr>
              <w:bCs/>
              <w:noProof/>
              <w:lang w:val="en-GB"/>
            </w:rPr>
            <w:fldChar w:fldCharType="end"/>
          </w:r>
        </w:p>
      </w:sdtContent>
    </w:sdt>
    <w:p>
      <w:pPr>
        <w:jc w:val="both"/>
        <w:rPr>
          <w:rFonts w:ascii="Times New Roman" w:hAnsi="Times New Roman" w:cs="Times New Roman"/>
          <w:noProof/>
          <w:sz w:val="24"/>
          <w:szCs w:val="24"/>
          <w:lang w:val="en-GB"/>
        </w:rPr>
      </w:pPr>
    </w:p>
    <w:p>
      <w:pPr>
        <w:keepNext/>
        <w:keepLines/>
        <w:spacing w:before="240" w:after="240" w:line="240" w:lineRule="auto"/>
        <w:jc w:val="both"/>
        <w:outlineLvl w:val="0"/>
        <w:rPr>
          <w:rFonts w:ascii="Times New Roman" w:eastAsia="Times New Roman" w:hAnsi="Times New Roman" w:cs="Times New Roman"/>
          <w:b/>
          <w:smallCaps/>
          <w:noProof/>
          <w:color w:val="000000"/>
          <w:sz w:val="24"/>
          <w:szCs w:val="24"/>
          <w:lang w:val="en-GB" w:eastAsia="en-GB"/>
        </w:rPr>
      </w:pPr>
      <w:bookmarkStart w:id="2" w:name="_Toc18588994"/>
      <w:bookmarkStart w:id="3" w:name="_Toc388340373"/>
      <w:bookmarkStart w:id="4" w:name="_Toc388340374"/>
      <w:bookmarkStart w:id="5" w:name="_Toc388340463"/>
      <w:bookmarkStart w:id="6" w:name="_Toc393463621"/>
      <w:r>
        <w:rPr>
          <w:rFonts w:ascii="Times New Roman" w:eastAsia="Times New Roman" w:hAnsi="Times New Roman" w:cs="Times New Roman"/>
          <w:b/>
          <w:smallCaps/>
          <w:noProof/>
          <w:color w:val="000000"/>
          <w:sz w:val="24"/>
          <w:szCs w:val="24"/>
          <w:lang w:val="en-GB" w:eastAsia="en-GB"/>
        </w:rPr>
        <w:t>A - Analysis of 2014 Reports on National Activities and Projects</w:t>
      </w:r>
      <w:bookmarkEnd w:id="2"/>
    </w:p>
    <w:p>
      <w:pPr>
        <w:keepNext/>
        <w:keepLines/>
        <w:numPr>
          <w:ilvl w:val="0"/>
          <w:numId w:val="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7" w:name="_Toc18588995"/>
      <w:r>
        <w:rPr>
          <w:rFonts w:ascii="Times New Roman" w:eastAsia="Times New Roman" w:hAnsi="Times New Roman" w:cs="Times New Roman"/>
          <w:b/>
          <w:smallCaps/>
          <w:noProof/>
          <w:color w:val="000000"/>
          <w:sz w:val="24"/>
          <w:szCs w:val="24"/>
          <w:lang w:val="en-GB" w:eastAsia="en-GB"/>
        </w:rPr>
        <w:t>Introduction</w:t>
      </w:r>
      <w:bookmarkEnd w:id="3"/>
      <w:bookmarkEnd w:id="4"/>
      <w:bookmarkEnd w:id="5"/>
      <w:bookmarkEnd w:id="6"/>
      <w:bookmarkEnd w:id="7"/>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present document summarises the analysis of the national progress reports of 2014</w:t>
      </w:r>
      <w:r>
        <w:rPr>
          <w:rFonts w:ascii="Times New Roman" w:eastAsia="Times New Roman" w:hAnsi="Times New Roman" w:cs="Times New Roman"/>
          <w:noProof/>
          <w:color w:val="000000"/>
          <w:sz w:val="24"/>
          <w:szCs w:val="24"/>
          <w:vertAlign w:val="superscript"/>
          <w:lang w:val="en-GB" w:eastAsia="en-GB"/>
        </w:rPr>
        <w:footnoteReference w:id="1"/>
      </w:r>
      <w:r>
        <w:rPr>
          <w:rFonts w:ascii="Times New Roman" w:eastAsia="Times New Roman" w:hAnsi="Times New Roman" w:cs="Times New Roman"/>
          <w:noProof/>
          <w:color w:val="000000"/>
          <w:sz w:val="24"/>
          <w:szCs w:val="24"/>
          <w:lang w:val="en-GB" w:eastAsia="en-GB"/>
        </w:rPr>
        <w:t>, provided by the Member States as per Article 17(3) of Directive 2010/40/EU</w:t>
      </w:r>
      <w:r>
        <w:rPr>
          <w:rFonts w:ascii="Times New Roman" w:eastAsia="Times New Roman" w:hAnsi="Times New Roman" w:cs="Times New Roman"/>
          <w:noProof/>
          <w:color w:val="000000"/>
          <w:sz w:val="24"/>
          <w:szCs w:val="24"/>
          <w:vertAlign w:val="superscript"/>
          <w:lang w:val="en-GB" w:eastAsia="en-GB"/>
        </w:rPr>
        <w:footnoteReference w:id="2"/>
      </w:r>
      <w:r>
        <w:rPr>
          <w:rFonts w:ascii="Times New Roman" w:eastAsia="Times New Roman" w:hAnsi="Times New Roman" w:cs="Times New Roman"/>
          <w:noProof/>
          <w:color w:val="000000"/>
          <w:sz w:val="24"/>
          <w:szCs w:val="24"/>
          <w:lang w:val="en-GB" w:eastAsia="en-GB"/>
        </w:rPr>
        <w:t xml:space="preserve">.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guidelines for reporting, adopted as Commission Implementing Decision of 13.7.2011</w:t>
      </w:r>
      <w:r>
        <w:rPr>
          <w:rFonts w:ascii="Times New Roman" w:eastAsia="Times New Roman" w:hAnsi="Times New Roman" w:cs="Times New Roman"/>
          <w:noProof/>
          <w:color w:val="000000"/>
          <w:sz w:val="24"/>
          <w:szCs w:val="24"/>
          <w:vertAlign w:val="superscript"/>
          <w:lang w:val="en-GB" w:eastAsia="en-GB"/>
        </w:rPr>
        <w:footnoteReference w:id="3"/>
      </w:r>
      <w:r>
        <w:rPr>
          <w:rFonts w:ascii="Times New Roman" w:eastAsia="Times New Roman" w:hAnsi="Times New Roman" w:cs="Times New Roman"/>
          <w:noProof/>
          <w:color w:val="000000"/>
          <w:sz w:val="24"/>
          <w:szCs w:val="24"/>
          <w:lang w:val="en-GB" w:eastAsia="en-GB"/>
        </w:rPr>
        <w:t xml:space="preserve"> indicate that "The reports to be provided under Article 17(3) of Directive 2010/40/EU, hereinafter referred as ‘the progress reports’, should follow the same structure as the initial report and should highlight the progress made since the previous report."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This analysis takes also into account reports received in 2014 and 2015 regarding the implementation of the already adopted specifications for the priority actions of the ITS Directive and the reports provided under the eCall Decision No 585/2014/EU.</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This summary constitutes an overview of these national reports, based solely on their content and on the Commission’s understanding of these reports. It includes examples and highlights on the implementation of the different specifications adopted under the ITS Directive. Further specific analysis of the implementation of the related Regulations and of the eCall Decision may be carried out as necessary.</w:t>
      </w:r>
    </w:p>
    <w:p>
      <w:pPr>
        <w:keepNext/>
        <w:keepLines/>
        <w:numPr>
          <w:ilvl w:val="0"/>
          <w:numId w:val="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8" w:name="_Toc18588996"/>
      <w:r>
        <w:rPr>
          <w:rFonts w:ascii="Times New Roman" w:eastAsia="Times New Roman" w:hAnsi="Times New Roman" w:cs="Times New Roman"/>
          <w:b/>
          <w:smallCaps/>
          <w:noProof/>
          <w:color w:val="000000"/>
          <w:sz w:val="24"/>
          <w:szCs w:val="24"/>
          <w:lang w:val="en-GB" w:eastAsia="en-GB"/>
        </w:rPr>
        <w:t>General observations</w:t>
      </w:r>
      <w:bookmarkEnd w:id="8"/>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Twenty-nine national progress reports have been received (28 Member States and Norway</w:t>
      </w:r>
      <w:r>
        <w:rPr>
          <w:rFonts w:ascii="Times New Roman" w:eastAsia="Times New Roman" w:hAnsi="Times New Roman" w:cs="Times New Roman"/>
          <w:noProof/>
          <w:color w:val="000000"/>
          <w:sz w:val="24"/>
          <w:szCs w:val="24"/>
          <w:vertAlign w:val="superscript"/>
          <w:lang w:val="en-GB" w:eastAsia="en-GB"/>
        </w:rPr>
        <w:footnoteReference w:id="4"/>
      </w:r>
      <w:r>
        <w:rPr>
          <w:rFonts w:ascii="Times New Roman" w:eastAsia="Times New Roman" w:hAnsi="Times New Roman" w:cs="Times New Roman"/>
          <w:noProof/>
          <w:color w:val="000000"/>
          <w:sz w:val="24"/>
          <w:szCs w:val="24"/>
          <w:lang w:val="en-GB" w:eastAsia="en-GB"/>
        </w:rPr>
        <w:t>). Approximately half of them did meet the deadline of the 27 August 2014. Reception of the remaining reports spanned until September 2015, therefore this analysis gives a picture of a relatively wide period.</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Many reports provided some figures on past and future investments in ITS research and deployment, or on equipment and operating costs, or on the number of equipment or on project costs. Several reports mentioned extensive figures and/or detailed maps (e.g. Czech Republic, Germany, Hungary, Poland, United Kingdom), sometimes only at project level, and in the absence of a general framework for those figures, it was however not always easy to interpret and compare them or to see the evolution since 2011. In this respect, as already stated for the 2011 reports, the availability of comparable performance indicators and percentages would have facilitated a benchmarking and monitoring of ITS deployment across Europe.</w:t>
      </w:r>
    </w:p>
    <w:p>
      <w:pPr>
        <w:keepNext/>
        <w:keepLines/>
        <w:numPr>
          <w:ilvl w:val="0"/>
          <w:numId w:val="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9" w:name="_Toc18588997"/>
      <w:r>
        <w:rPr>
          <w:rFonts w:ascii="Times New Roman" w:eastAsia="Times New Roman" w:hAnsi="Times New Roman" w:cs="Times New Roman"/>
          <w:b/>
          <w:smallCaps/>
          <w:noProof/>
          <w:color w:val="000000"/>
          <w:sz w:val="24"/>
          <w:szCs w:val="24"/>
          <w:lang w:val="en-GB" w:eastAsia="en-GB"/>
        </w:rPr>
        <w:t>Detailed Analysis</w:t>
      </w:r>
      <w:bookmarkEnd w:id="9"/>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general the national reports provided a good overview of the Member States’ (best) practices. In comparison to the situation reported in 2011, the analysis shows a general progress in all four priority areas. Unsurprisingly, all of the Member States that had already taken action in the development and deployment of ITS prior to the adoption of the ITS Directive have continued to be very active and advanced. Other countries having reported less activity in 2011 reported in general more activities in the 2014 reports.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analysis of the national reports was structured along the four priority areas of the ITS Directive. The level or intensity of activity in each of the four priority areas was assessed on the basis of the information contained in the reports with a detailed comparison of the progress reported in 2011. This assessment resulted in the development of 8 European colour coded maps reflecting the Member States’ level of activity in each priority area in 2011 and 2014, based on the following codes and definitions: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drawing>
          <wp:anchor distT="0" distB="0" distL="114300" distR="114300" simplePos="0" relativeHeight="251654144" behindDoc="1" locked="0" layoutInCell="1" allowOverlap="1">
            <wp:simplePos x="0" y="0"/>
            <wp:positionH relativeFrom="column">
              <wp:posOffset>2055495</wp:posOffset>
            </wp:positionH>
            <wp:positionV relativeFrom="paragraph">
              <wp:posOffset>25400</wp:posOffset>
            </wp:positionV>
            <wp:extent cx="2070735" cy="551815"/>
            <wp:effectExtent l="0" t="0" r="5715" b="635"/>
            <wp:wrapThrough wrapText="bothSides">
              <wp:wrapPolygon edited="0">
                <wp:start x="0" y="0"/>
                <wp:lineTo x="397" y="19388"/>
                <wp:lineTo x="10134" y="20879"/>
                <wp:lineTo x="11128" y="20879"/>
                <wp:lineTo x="12916" y="19388"/>
                <wp:lineTo x="12916" y="15659"/>
                <wp:lineTo x="21262" y="11931"/>
                <wp:lineTo x="21461" y="4474"/>
                <wp:lineTo x="1967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70735" cy="55181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noProof/>
          <w:color w:val="000000"/>
          <w:sz w:val="24"/>
          <w:szCs w:val="24"/>
          <w:lang w:val="en-GB" w:eastAsia="en-GB"/>
        </w:rPr>
        <w:drawing>
          <wp:inline distT="0" distB="0" distL="0" distR="0">
            <wp:extent cx="1903838" cy="742208"/>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04246" cy="742367"/>
                    </a:xfrm>
                    <a:prstGeom prst="rect">
                      <a:avLst/>
                    </a:prstGeom>
                    <a:noFill/>
                  </pic:spPr>
                </pic:pic>
              </a:graphicData>
            </a:graphic>
          </wp:inline>
        </w:drawing>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These maps have the objective to highlight general trends in terms of level of activity and evolution thereof from 2011 to 2014 for each priority area of the ITS Directive rather than trying to reflect very accurately the detailed situation in each individual Member State.</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Across the four priority areas it can be assessed that progress has been made in all areas in comparison to 2011 with a consolidation of Member States’ activities in priority areas I and II, a catching up in area III and emerging activities in several Member States for priority area IV.</w:t>
      </w:r>
    </w:p>
    <w:p>
      <w:pPr>
        <w:keepNext/>
        <w:keepLines/>
        <w:numPr>
          <w:ilvl w:val="1"/>
          <w:numId w:val="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10" w:name="_Toc18588998"/>
      <w:r>
        <w:rPr>
          <w:rFonts w:ascii="Times New Roman" w:eastAsia="Times New Roman" w:hAnsi="Times New Roman" w:cs="Times New Roman"/>
          <w:b/>
          <w:noProof/>
          <w:color w:val="000000"/>
          <w:sz w:val="24"/>
          <w:szCs w:val="24"/>
          <w:lang w:val="en-GB" w:eastAsia="en-GB"/>
        </w:rPr>
        <w:t>Priority area I: Optimal use of road, traffic and travel data</w:t>
      </w:r>
      <w:bookmarkEnd w:id="10"/>
    </w:p>
    <w:p>
      <w:pPr>
        <w:spacing w:after="240" w:line="240"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stipulated in Annex I of the ITS Directive, priority area I is specifically focused upon the availability, accessibility and exchange of public and private road, travel and traffic data used for multimodal travel information, real-time traffic information services and digital maps.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Activities in </w:t>
      </w:r>
      <w:r>
        <w:rPr>
          <w:rFonts w:ascii="Times New Roman" w:eastAsia="Times New Roman" w:hAnsi="Times New Roman" w:cs="Times New Roman"/>
          <w:b/>
          <w:noProof/>
          <w:color w:val="000000"/>
          <w:sz w:val="24"/>
          <w:szCs w:val="24"/>
          <w:lang w:val="en-GB" w:eastAsia="en-GB"/>
        </w:rPr>
        <w:t xml:space="preserve">priority area I </w:t>
      </w:r>
      <w:r>
        <w:rPr>
          <w:rFonts w:ascii="Times New Roman" w:eastAsia="Times New Roman" w:hAnsi="Times New Roman" w:cs="Times New Roman"/>
          <w:noProof/>
          <w:color w:val="000000"/>
          <w:sz w:val="24"/>
          <w:szCs w:val="24"/>
          <w:lang w:val="en-GB" w:eastAsia="en-GB"/>
        </w:rPr>
        <w:t>are the most documented in the reports, as illustrated in figure 1. Most of the provided examples relate to the development of national journey planning services which exist in a number of Member States. In most cases, the inclusion of dynamic data is still limited. Reports include information regarding national operations, only limited examples of cross-border services in Europe have been reported. A number of Member States have reported activities regarding Open Data but highlighted this is still limited for fare and ticketing data. Progress is also noted in several Member States with regards to the development and uptake of DATEX II for road and traffic data. Examples of interesting initiatives (not exhaustive, in alphabetic order) and evolution since 2011 are listed hereafter.</w:t>
      </w:r>
    </w:p>
    <w:p>
      <w:pPr>
        <w:spacing w:after="240" w:line="276" w:lineRule="auto"/>
        <w:ind w:left="-240"/>
        <w:jc w:val="center"/>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object w:dxaOrig="9409" w:dyaOrig="3756">
          <v:shape id="_x0000_i1026" type="#_x0000_t75" style="width:470.7pt;height:186.8pt" o:ole="">
            <v:imagedata r:id="rId17" o:title=""/>
          </v:shape>
          <o:OLEObject Type="Embed" ProgID="Word.Document.12" ShapeID="_x0000_i1026" DrawAspect="Content" ObjectID="_1632036759" r:id="rId18">
            <o:FieldCodes>\s</o:FieldCodes>
          </o:OLEObject>
        </w:object>
      </w:r>
      <w:r>
        <w:rPr>
          <w:rFonts w:ascii="Times New Roman" w:eastAsia="Times New Roman" w:hAnsi="Times New Roman" w:cs="Times New Roman"/>
          <w:b/>
          <w:noProof/>
          <w:color w:val="000000"/>
          <w:sz w:val="24"/>
          <w:szCs w:val="24"/>
          <w:lang w:val="en-GB" w:eastAsia="en-GB"/>
        </w:rPr>
        <w:t>Figure 1 : Priority Area I – Evolution 2011-2014</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In </w:t>
      </w:r>
      <w:r>
        <w:rPr>
          <w:rFonts w:ascii="Times New Roman" w:eastAsia="Times New Roman" w:hAnsi="Times New Roman" w:cs="Times New Roman"/>
          <w:b/>
          <w:noProof/>
          <w:color w:val="000000"/>
          <w:sz w:val="24"/>
          <w:szCs w:val="24"/>
          <w:lang w:val="en-GB" w:eastAsia="en-GB"/>
        </w:rPr>
        <w:t xml:space="preserve">Austria, </w:t>
      </w:r>
      <w:r>
        <w:rPr>
          <w:rFonts w:ascii="Times New Roman" w:eastAsia="Times New Roman" w:hAnsi="Times New Roman" w:cs="Times New Roman"/>
          <w:noProof/>
          <w:color w:val="000000"/>
          <w:sz w:val="24"/>
          <w:szCs w:val="24"/>
          <w:highlight w:val="white"/>
          <w:lang w:val="en-GB" w:eastAsia="en-GB"/>
        </w:rPr>
        <w:t>a number of activities have been undertaken including integrating traffic information displayed in route planners (ASFINAG, ÖAMTC, VOR, etc.), providing information to to travellers on trains position, number of trains in service and the next stops of a given train (ÖBB Zugradar), provision of journey planners including public transport, cycling, walking and motorised individual traffic (AnachB) as well as providing ‘on trip’ information (including traffic information) and digital maps (Basemap Austria)</w:t>
      </w:r>
      <w:r>
        <w:rPr>
          <w:rFonts w:ascii="Times New Roman" w:eastAsia="Times New Roman" w:hAnsi="Times New Roman" w:cs="Times New Roman"/>
          <w:noProof/>
          <w:color w:val="000000"/>
          <w:sz w:val="24"/>
          <w:szCs w:val="24"/>
          <w:lang w:val="en-GB" w:eastAsia="en-GB"/>
        </w:rPr>
        <w:t xml:space="preserve">.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In </w:t>
      </w:r>
      <w:r>
        <w:rPr>
          <w:rFonts w:ascii="Times New Roman" w:eastAsia="Times New Roman" w:hAnsi="Times New Roman" w:cs="Times New Roman"/>
          <w:b/>
          <w:noProof/>
          <w:color w:val="000000"/>
          <w:sz w:val="24"/>
          <w:szCs w:val="24"/>
          <w:lang w:val="en-GB" w:eastAsia="en-GB"/>
        </w:rPr>
        <w:t>Belgium</w:t>
      </w:r>
      <w:r>
        <w:rPr>
          <w:rFonts w:ascii="Times New Roman" w:eastAsia="Times New Roman" w:hAnsi="Times New Roman" w:cs="Times New Roman"/>
          <w:noProof/>
          <w:color w:val="000000"/>
          <w:sz w:val="24"/>
          <w:szCs w:val="24"/>
          <w:lang w:val="en-GB" w:eastAsia="en-GB"/>
        </w:rPr>
        <w:t>, public transport providers share schedules and real-time data to optimise waiting times and connections. Real-Time travel times will be available for the road network by 2017.</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In </w:t>
      </w:r>
      <w:r>
        <w:rPr>
          <w:rFonts w:ascii="Times New Roman" w:eastAsia="Times New Roman" w:hAnsi="Times New Roman" w:cs="Times New Roman"/>
          <w:b/>
          <w:noProof/>
          <w:color w:val="000000"/>
          <w:sz w:val="24"/>
          <w:szCs w:val="24"/>
          <w:lang w:val="en-GB" w:eastAsia="en-GB"/>
        </w:rPr>
        <w:t xml:space="preserve">Cyprus, </w:t>
      </w:r>
      <w:r>
        <w:rPr>
          <w:rFonts w:ascii="Times New Roman" w:eastAsia="Times New Roman" w:hAnsi="Times New Roman" w:cs="Times New Roman"/>
          <w:noProof/>
          <w:color w:val="000000"/>
          <w:sz w:val="24"/>
          <w:szCs w:val="24"/>
          <w:lang w:val="en-GB" w:eastAsia="en-GB"/>
        </w:rPr>
        <w:t>a</w:t>
      </w:r>
      <w:r>
        <w:rPr>
          <w:rFonts w:ascii="Times New Roman" w:eastAsia="Times New Roman" w:hAnsi="Times New Roman" w:cs="Times New Roman"/>
          <w:noProof/>
          <w:color w:val="000000"/>
          <w:sz w:val="24"/>
          <w:szCs w:val="24"/>
          <w:highlight w:val="white"/>
          <w:lang w:val="en-GB" w:eastAsia="en-GB"/>
        </w:rPr>
        <w:t xml:space="preserve"> real-time traffic information service was developed that is provided freely to the public via the website </w:t>
      </w:r>
      <w:hyperlink r:id="rId19" w:history="1">
        <w:r>
          <w:rPr>
            <w:rFonts w:ascii="Times New Roman" w:eastAsia="Times New Roman" w:hAnsi="Times New Roman" w:cs="Times New Roman"/>
            <w:noProof/>
            <w:color w:val="0000FF"/>
            <w:sz w:val="24"/>
            <w:szCs w:val="24"/>
            <w:highlight w:val="white"/>
            <w:u w:val="single"/>
            <w:lang w:val="en-GB" w:eastAsia="en-GB"/>
          </w:rPr>
          <w:t>www.traffic4cyprus.org.cy</w:t>
        </w:r>
      </w:hyperlink>
      <w:r>
        <w:rPr>
          <w:rFonts w:ascii="Times New Roman" w:eastAsia="Times New Roman" w:hAnsi="Times New Roman" w:cs="Times New Roman"/>
          <w:noProof/>
          <w:color w:val="000000"/>
          <w:sz w:val="24"/>
          <w:szCs w:val="24"/>
          <w:highlight w:val="white"/>
          <w:lang w:val="en-GB" w:eastAsia="en-GB"/>
        </w:rPr>
        <w:t>.</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In </w:t>
      </w:r>
      <w:r>
        <w:rPr>
          <w:rFonts w:ascii="Times New Roman" w:eastAsia="Times New Roman" w:hAnsi="Times New Roman" w:cs="Times New Roman"/>
          <w:b/>
          <w:noProof/>
          <w:color w:val="000000"/>
          <w:sz w:val="24"/>
          <w:szCs w:val="24"/>
          <w:lang w:val="en-GB" w:eastAsia="en-GB"/>
        </w:rPr>
        <w:t>Czech Republic</w:t>
      </w:r>
      <w:r>
        <w:rPr>
          <w:rFonts w:ascii="Times New Roman" w:eastAsia="Times New Roman" w:hAnsi="Times New Roman" w:cs="Times New Roman"/>
          <w:noProof/>
          <w:color w:val="000000"/>
          <w:sz w:val="24"/>
          <w:szCs w:val="24"/>
          <w:lang w:val="en-GB" w:eastAsia="en-GB"/>
        </w:rPr>
        <w:t>, several detailed maps showing the deployment of different ITS services at national level (traffic information, CCTV, dynamic traffic control, road weather systems, VMS, weight-in-motion etc.) are available on the Czech Space Portal</w:t>
      </w:r>
      <w:r>
        <w:rPr>
          <w:rFonts w:ascii="Times New Roman" w:eastAsia="Times New Roman" w:hAnsi="Times New Roman" w:cs="Times New Roman"/>
          <w:noProof/>
          <w:color w:val="000000"/>
          <w:sz w:val="24"/>
          <w:szCs w:val="24"/>
          <w:vertAlign w:val="superscript"/>
          <w:lang w:val="en-GB" w:eastAsia="en-GB"/>
        </w:rPr>
        <w:footnoteReference w:id="5"/>
      </w:r>
      <w:r>
        <w:rPr>
          <w:rFonts w:ascii="Times New Roman" w:eastAsia="Times New Roman" w:hAnsi="Times New Roman" w:cs="Times New Roman"/>
          <w:noProof/>
          <w:color w:val="000000"/>
          <w:sz w:val="24"/>
          <w:szCs w:val="24"/>
          <w:lang w:val="en-GB" w:eastAsia="en-GB"/>
        </w:rPr>
        <w:t>. Czech Republic also reports extensive lists for deployments of road related ITS infrastructure and, under the construction of a new eRDIS content management system, an automatic voice traffic information system has been tested, for motorways and expressways, to provide, by 2015, traffic news via all channels of distribution using ITS.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In </w:t>
      </w:r>
      <w:r>
        <w:rPr>
          <w:rFonts w:ascii="Times New Roman" w:eastAsia="Times New Roman" w:hAnsi="Times New Roman" w:cs="Times New Roman"/>
          <w:b/>
          <w:noProof/>
          <w:color w:val="000000"/>
          <w:sz w:val="24"/>
          <w:szCs w:val="24"/>
          <w:highlight w:val="white"/>
          <w:lang w:val="en-GB" w:eastAsia="en-GB"/>
        </w:rPr>
        <w:t xml:space="preserve">Denmark, </w:t>
      </w:r>
      <w:r>
        <w:rPr>
          <w:rFonts w:ascii="Times New Roman" w:eastAsia="Times New Roman" w:hAnsi="Times New Roman" w:cs="Times New Roman"/>
          <w:noProof/>
          <w:color w:val="000000"/>
          <w:sz w:val="24"/>
          <w:szCs w:val="24"/>
          <w:highlight w:val="white"/>
          <w:lang w:val="en-GB" w:eastAsia="en-GB"/>
        </w:rPr>
        <w:t xml:space="preserve">a new traffic information ITS systems has been deployed along many key motorways. A traffic and travel information service, Travikinfo, is available. </w:t>
      </w:r>
    </w:p>
    <w:p>
      <w:pPr>
        <w:spacing w:after="120" w:line="276" w:lineRule="auto"/>
        <w:jc w:val="both"/>
        <w:rPr>
          <w:rFonts w:ascii="Times New Roman" w:eastAsia="Times New Roman" w:hAnsi="Times New Roman" w:cs="Times New Roman"/>
          <w:noProof/>
          <w:color w:val="000000"/>
          <w:sz w:val="24"/>
          <w:szCs w:val="24"/>
          <w:highlight w:val="white"/>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Estonia,</w:t>
      </w:r>
      <w:r>
        <w:rPr>
          <w:rFonts w:ascii="Times New Roman" w:eastAsia="Times New Roman" w:hAnsi="Times New Roman" w:cs="Times New Roman"/>
          <w:noProof/>
          <w:color w:val="000000"/>
          <w:sz w:val="24"/>
          <w:szCs w:val="24"/>
          <w:highlight w:val="white"/>
          <w:lang w:val="en-GB" w:eastAsia="en-GB"/>
        </w:rPr>
        <w:t xml:space="preserve"> a national road registry has been developed and the road information centre has been upgraded to handle dynamic traffic signs. The nationwide travel planner has been upgraded supported by a Utris database which offers public transport travel information. Public transport stops are being upgraded with real time information.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Finland, </w:t>
      </w:r>
      <w:r>
        <w:rPr>
          <w:rFonts w:ascii="Times New Roman" w:eastAsia="Times New Roman" w:hAnsi="Times New Roman" w:cs="Times New Roman"/>
          <w:noProof/>
          <w:color w:val="000000"/>
          <w:sz w:val="24"/>
          <w:szCs w:val="24"/>
          <w:highlight w:val="white"/>
          <w:lang w:val="en-GB" w:eastAsia="en-GB"/>
        </w:rPr>
        <w:t>a new service called "sujuva" was deployed in 2014 that produces real-time traffic information that covers 5600 km of roads and the information is based on anonymous positioning through mobile devices. The data is available via digitraffic.fi. A new service called liikennetilanne.fi (traffic situation) combines information collected from traffic onto one map base. The service was deployed in the beginning of 2014 with internet and mobile applications. The service offers information on disruptions of road traffic, on road works, weather and road conditions, traffic flows, camera pictures and weight limitations caused by frost heave.</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France, </w:t>
      </w:r>
      <w:r>
        <w:rPr>
          <w:rFonts w:ascii="Times New Roman" w:eastAsia="Times New Roman" w:hAnsi="Times New Roman" w:cs="Times New Roman"/>
          <w:noProof/>
          <w:color w:val="000000"/>
          <w:sz w:val="24"/>
          <w:szCs w:val="24"/>
          <w:highlight w:val="white"/>
          <w:lang w:val="en-GB" w:eastAsia="en-GB"/>
        </w:rPr>
        <w:t>the "Tipi" information system will be the unique access point for the road operators’ data on the whole national network providing data in DATEX II. France will also set up a national access point listing all service providers and the characteristics of their data (content, geographical coverage, access conditions).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drawing>
          <wp:anchor distT="0" distB="0" distL="114300" distR="114300" simplePos="0" relativeHeight="251658240" behindDoc="0" locked="0" layoutInCell="1" allowOverlap="1">
            <wp:simplePos x="0" y="0"/>
            <wp:positionH relativeFrom="column">
              <wp:posOffset>1437640</wp:posOffset>
            </wp:positionH>
            <wp:positionV relativeFrom="paragraph">
              <wp:posOffset>399671</wp:posOffset>
            </wp:positionV>
            <wp:extent cx="782320" cy="704850"/>
            <wp:effectExtent l="0" t="0" r="0" b="0"/>
            <wp:wrapNone/>
            <wp:docPr id="450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1"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2320" cy="704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eastAsia="Times New Roman" w:hAnsi="Times New Roman" w:cs="Times New Roman"/>
          <w:noProof/>
          <w:color w:val="000000"/>
          <w:sz w:val="24"/>
          <w:szCs w:val="24"/>
          <w:lang w:val="en-GB" w:eastAsia="en-GB"/>
        </w:rPr>
        <w:drawing>
          <wp:anchor distT="0" distB="0" distL="114300" distR="114300" simplePos="0" relativeHeight="251656192" behindDoc="0" locked="0" layoutInCell="1" allowOverlap="0">
            <wp:simplePos x="0" y="0"/>
            <wp:positionH relativeFrom="column">
              <wp:posOffset>-23479</wp:posOffset>
            </wp:positionH>
            <wp:positionV relativeFrom="paragraph">
              <wp:posOffset>394220</wp:posOffset>
            </wp:positionV>
            <wp:extent cx="708025" cy="685800"/>
            <wp:effectExtent l="0" t="0" r="0" b="0"/>
            <wp:wrapNone/>
            <wp:docPr id="4506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2"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802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Times New Roman" w:eastAsia="Times New Roman" w:hAnsi="Times New Roman" w:cs="Times New Roman"/>
          <w:noProof/>
          <w:color w:val="000000"/>
          <w:sz w:val="24"/>
          <w:szCs w:val="24"/>
          <w:lang w:val="en-GB" w:eastAsia="en-GB"/>
        </w:rPr>
        <w:t>The coverage of regional Multimodal Information Systems was almost completed between 2011 and 2014.</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mc:AlternateContent>
          <mc:Choice Requires="wps">
            <w:drawing>
              <wp:anchor distT="0" distB="0" distL="114300" distR="114300" simplePos="0" relativeHeight="251662336" behindDoc="0" locked="0" layoutInCell="1" allowOverlap="1">
                <wp:simplePos x="0" y="0"/>
                <wp:positionH relativeFrom="column">
                  <wp:posOffset>2219531</wp:posOffset>
                </wp:positionH>
                <wp:positionV relativeFrom="paragraph">
                  <wp:posOffset>129927</wp:posOffset>
                </wp:positionV>
                <wp:extent cx="421574" cy="249382"/>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4" cy="249382"/>
                        </a:xfrm>
                        <a:prstGeom prst="rect">
                          <a:avLst/>
                        </a:prstGeom>
                        <a:solidFill>
                          <a:srgbClr val="FFFFFF">
                            <a:alpha val="0"/>
                          </a:srgbClr>
                        </a:solidFill>
                        <a:ln w="9525">
                          <a:solidFill>
                            <a:srgbClr val="000000">
                              <a:alpha val="0"/>
                            </a:srgbClr>
                          </a:solidFill>
                          <a:miter lim="800000"/>
                          <a:headEnd/>
                          <a:tailEnd/>
                        </a:ln>
                      </wps:spPr>
                      <wps:txbx>
                        <w:txbxContent>
                          <w:p>
                            <w:pPr>
                              <w:rPr>
                                <w:rFonts w:cs="Calibri"/>
                                <w:b/>
                                <w:sz w:val="16"/>
                                <w:szCs w:val="16"/>
                              </w:rPr>
                            </w:pPr>
                            <w:r>
                              <w:rPr>
                                <w:rFonts w:cs="Calibri"/>
                                <w:b/>
                                <w:sz w:val="16"/>
                                <w:szCs w:val="16"/>
                              </w:rPr>
                              <w:t>2014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4.75pt;margin-top:10.25pt;width:33.2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">
                <v:fill opacity="0"/>
                <v:stroke opacity="0"/>
                <v:textbox>
                  <w:txbxContent>
                    <w:p>
                      <w:pPr>
                        <w:rPr>
                          <w:rFonts w:cs="Calibri"/>
                          <w:b/>
                          <w:sz w:val="16"/>
                          <w:szCs w:val="16"/>
                        </w:rPr>
                      </w:pPr>
                      <w:r>
                        <w:rPr>
                          <w:rFonts w:cs="Calibri"/>
                          <w:b/>
                          <w:sz w:val="16"/>
                          <w:szCs w:val="16"/>
                        </w:rPr>
                        <w:t>2014</w:t>
                      </w:r>
                    </w:p>
                  </w:txbxContent>
                </v:textbox>
              </v:shape>
            </w:pict>
          </mc:Fallback>
        </mc:AlternateContent>
      </w:r>
      <w:r>
        <w:rPr>
          <w:rFonts w:ascii="Times New Roman" w:eastAsia="Times New Roman" w:hAnsi="Times New Roman" w:cs="Times New Roman"/>
          <w:noProof/>
          <w:color w:val="000000"/>
          <w:sz w:val="24"/>
          <w:szCs w:val="24"/>
          <w:lang w:val="en-GB" w:eastAsia="en-GB"/>
        </w:rPr>
        <mc:AlternateContent>
          <mc:Choice Requires="wps">
            <w:drawing>
              <wp:anchor distT="0" distB="0" distL="114300" distR="114300" simplePos="0" relativeHeight="251660288" behindDoc="0" locked="0" layoutInCell="1" allowOverlap="1">
                <wp:simplePos x="0" y="0"/>
                <wp:positionH relativeFrom="column">
                  <wp:posOffset>684489</wp:posOffset>
                </wp:positionH>
                <wp:positionV relativeFrom="paragraph">
                  <wp:posOffset>131659</wp:posOffset>
                </wp:positionV>
                <wp:extent cx="421574" cy="249382"/>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574" cy="249382"/>
                        </a:xfrm>
                        <a:prstGeom prst="rect">
                          <a:avLst/>
                        </a:prstGeom>
                        <a:solidFill>
                          <a:srgbClr val="FFFFFF">
                            <a:alpha val="0"/>
                          </a:srgbClr>
                        </a:solidFill>
                        <a:ln w="9525">
                          <a:solidFill>
                            <a:srgbClr val="000000">
                              <a:alpha val="0"/>
                            </a:srgbClr>
                          </a:solidFill>
                          <a:miter lim="800000"/>
                          <a:headEnd/>
                          <a:tailEnd/>
                        </a:ln>
                      </wps:spPr>
                      <wps:txbx>
                        <w:txbxContent>
                          <w:p>
                            <w:pPr>
                              <w:rPr>
                                <w:rFonts w:cs="Calibri"/>
                                <w:b/>
                                <w:sz w:val="16"/>
                                <w:szCs w:val="16"/>
                              </w:rPr>
                            </w:pPr>
                            <w:r>
                              <w:rPr>
                                <w:rFonts w:cs="Calibri"/>
                                <w:b/>
                                <w:sz w:val="16"/>
                                <w:szCs w:val="16"/>
                              </w:rPr>
                              <w:t>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53.9pt;margin-top:10.35pt;width:33.2pt;height:19.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">
                <v:fill opacity="0"/>
                <v:stroke opacity="0"/>
                <v:textbox>
                  <w:txbxContent>
                    <w:p>
                      <w:pPr>
                        <w:rPr>
                          <w:rFonts w:cs="Calibri"/>
                          <w:b/>
                          <w:sz w:val="16"/>
                          <w:szCs w:val="16"/>
                        </w:rPr>
                      </w:pPr>
                      <w:r>
                        <w:rPr>
                          <w:rFonts w:cs="Calibri"/>
                          <w:b/>
                          <w:sz w:val="16"/>
                          <w:szCs w:val="16"/>
                        </w:rPr>
                        <w:t>2011</w:t>
                      </w:r>
                    </w:p>
                  </w:txbxContent>
                </v:textbox>
              </v:shape>
            </w:pict>
          </mc:Fallback>
        </mc:AlternateContent>
      </w:r>
    </w:p>
    <w:p>
      <w:pPr>
        <w:spacing w:after="120" w:line="276" w:lineRule="auto"/>
        <w:jc w:val="both"/>
        <w:rPr>
          <w:rFonts w:ascii="Times New Roman" w:eastAsia="Times New Roman" w:hAnsi="Times New Roman" w:cs="Times New Roman"/>
          <w:noProof/>
          <w:color w:val="000000"/>
          <w:sz w:val="24"/>
          <w:szCs w:val="24"/>
          <w:lang w:val="en-GB" w:eastAsia="en-GB"/>
        </w:rPr>
      </w:pPr>
    </w:p>
    <w:p>
      <w:pPr>
        <w:spacing w:after="120" w:line="276" w:lineRule="auto"/>
        <w:jc w:val="both"/>
        <w:rPr>
          <w:rFonts w:ascii="Times New Roman" w:eastAsia="Times New Roman" w:hAnsi="Times New Roman" w:cs="Times New Roman"/>
          <w:noProof/>
          <w:color w:val="000000"/>
          <w:sz w:val="24"/>
          <w:szCs w:val="24"/>
          <w:lang w:val="en-GB" w:eastAsia="en-GB"/>
        </w:rPr>
      </w:pP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Germany, </w:t>
      </w:r>
      <w:r>
        <w:rPr>
          <w:rFonts w:ascii="Times New Roman" w:eastAsia="Times New Roman" w:hAnsi="Times New Roman" w:cs="Times New Roman"/>
          <w:noProof/>
          <w:color w:val="000000"/>
          <w:sz w:val="24"/>
          <w:szCs w:val="24"/>
          <w:highlight w:val="white"/>
          <w:lang w:val="en-GB" w:eastAsia="en-GB"/>
        </w:rPr>
        <w:t xml:space="preserve">a mobility data marketplace has been established and foreseen as the single point of access for Germany in terms of the delegated regulations for b), c) and e). Guidelines have been established for the area-wide collection of traffic related data and events: The guidelines are expected to be finalised beginning of 2015, implementation until end of 2015. A quality management system for the collection and processing of data for ITS services has been established.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Hungary, </w:t>
      </w:r>
      <w:r>
        <w:rPr>
          <w:rFonts w:ascii="Times New Roman" w:eastAsia="Times New Roman" w:hAnsi="Times New Roman" w:cs="Times New Roman"/>
          <w:noProof/>
          <w:color w:val="000000"/>
          <w:sz w:val="24"/>
          <w:szCs w:val="24"/>
          <w:highlight w:val="white"/>
          <w:lang w:val="en-GB" w:eastAsia="en-GB"/>
        </w:rPr>
        <w:t xml:space="preserve">the uptake of DATEX II for real-time traffic information systems is well documented.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Ireland,</w:t>
      </w:r>
      <w:r>
        <w:rPr>
          <w:rFonts w:ascii="Times New Roman" w:eastAsia="Times New Roman" w:hAnsi="Times New Roman" w:cs="Times New Roman"/>
          <w:noProof/>
          <w:color w:val="000000"/>
          <w:sz w:val="24"/>
          <w:szCs w:val="24"/>
          <w:highlight w:val="white"/>
          <w:lang w:val="en-GB" w:eastAsia="en-GB"/>
        </w:rPr>
        <w:t xml:space="preserve"> a cross-border intermodal journey planner covering both the Republic of Ireland and Northern Ireland is available on line at </w:t>
      </w:r>
      <w:hyperlink r:id="rId22" w:history="1">
        <w:r>
          <w:rPr>
            <w:rFonts w:ascii="Times New Roman" w:eastAsia="Times New Roman" w:hAnsi="Times New Roman" w:cs="Times New Roman"/>
            <w:noProof/>
            <w:color w:val="0000FF"/>
            <w:sz w:val="24"/>
            <w:szCs w:val="24"/>
            <w:highlight w:val="white"/>
            <w:u w:val="single"/>
            <w:lang w:val="en-GB" w:eastAsia="en-GB"/>
          </w:rPr>
          <w:t>www.transportforireland.ie</w:t>
        </w:r>
      </w:hyperlink>
      <w:r>
        <w:rPr>
          <w:rFonts w:ascii="Times New Roman" w:eastAsia="Times New Roman" w:hAnsi="Times New Roman" w:cs="Times New Roman"/>
          <w:noProof/>
          <w:color w:val="000000"/>
          <w:sz w:val="24"/>
          <w:szCs w:val="24"/>
          <w:highlight w:val="white"/>
          <w:lang w:val="en-GB" w:eastAsia="en-GB"/>
        </w:rPr>
        <w:t xml:space="preserve">. It includes information on arrivals and departures in real time, fares, taxis and a cycle planner, as well as a dynamic map of all public transport services in Ireland. In terms of Real Time Passenger Information (RTPI), the system continues to be developed throughout the country, with signs operational in the Greater Dublin Area and other larger cities. </w:t>
      </w:r>
    </w:p>
    <w:p>
      <w:pPr>
        <w:spacing w:after="120" w:line="276" w:lineRule="auto"/>
        <w:jc w:val="both"/>
        <w:rPr>
          <w:rFonts w:ascii="Times New Roman" w:eastAsia="Times New Roman" w:hAnsi="Times New Roman" w:cs="Times New Roman"/>
          <w:noProof/>
          <w:color w:val="000000"/>
          <w:sz w:val="24"/>
          <w:szCs w:val="24"/>
          <w:highlight w:val="white"/>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Italy,</w:t>
      </w:r>
      <w:r>
        <w:rPr>
          <w:rFonts w:ascii="Times New Roman" w:eastAsia="Times New Roman" w:hAnsi="Times New Roman" w:cs="Times New Roman"/>
          <w:noProof/>
          <w:color w:val="000000"/>
          <w:sz w:val="24"/>
          <w:szCs w:val="24"/>
          <w:highlight w:val="white"/>
          <w:lang w:val="en-GB" w:eastAsia="en-GB"/>
        </w:rPr>
        <w:t xml:space="preserve"> a database relating to traffic and mobility data and a public Institution Index of information on infrastructures and traffic (IPIT) has been established.</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Latvia,</w:t>
      </w:r>
      <w:r>
        <w:rPr>
          <w:rFonts w:ascii="Times New Roman" w:eastAsia="Times New Roman" w:hAnsi="Times New Roman" w:cs="Times New Roman"/>
          <w:noProof/>
          <w:color w:val="000000"/>
          <w:sz w:val="24"/>
          <w:szCs w:val="24"/>
          <w:highlight w:val="white"/>
          <w:lang w:val="en-GB" w:eastAsia="en-GB"/>
        </w:rPr>
        <w:t xml:space="preserve"> a traffic information service (ww.lvceli.lv) has been established.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Lithuania, </w:t>
      </w:r>
      <w:r>
        <w:rPr>
          <w:rFonts w:ascii="Times New Roman" w:eastAsia="Times New Roman" w:hAnsi="Times New Roman" w:cs="Times New Roman"/>
          <w:noProof/>
          <w:color w:val="000000"/>
          <w:sz w:val="24"/>
          <w:szCs w:val="24"/>
          <w:highlight w:val="white"/>
          <w:lang w:val="en-GB" w:eastAsia="en-GB"/>
        </w:rPr>
        <w:t>a multimodal public transport journey planning database system (VINTRA) has been established and has been adapted to integrate RTTI requirements.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the Netherlands, </w:t>
      </w:r>
      <w:r>
        <w:rPr>
          <w:rFonts w:ascii="Times New Roman" w:eastAsia="Times New Roman" w:hAnsi="Times New Roman" w:cs="Times New Roman"/>
          <w:noProof/>
          <w:color w:val="000000"/>
          <w:sz w:val="24"/>
          <w:szCs w:val="24"/>
          <w:highlight w:val="white"/>
          <w:lang w:val="en-GB" w:eastAsia="en-GB"/>
        </w:rPr>
        <w:t xml:space="preserve">data on traffic (including parking) and on public transport are made available through the national data warehouse (NDW) for motorways/highways/urban-through-route traffic information, the national data project for public transport (NDOV), and through regional initiatives such as (cities) Open Parking Data, </w:t>
      </w:r>
      <w:r>
        <w:rPr>
          <w:rFonts w:ascii="Times New Roman" w:eastAsia="Times New Roman" w:hAnsi="Times New Roman" w:cs="Times New Roman"/>
          <w:noProof/>
          <w:color w:val="000000"/>
          <w:sz w:val="24"/>
          <w:szCs w:val="24"/>
          <w:lang w:val="en-GB" w:eastAsia="en-GB"/>
        </w:rPr>
        <w:t xml:space="preserve">or Open Data FWD. </w:t>
      </w:r>
      <w:r>
        <w:rPr>
          <w:rFonts w:ascii="Times New Roman" w:eastAsia="Times New Roman" w:hAnsi="Times New Roman" w:cs="Times New Roman"/>
          <w:noProof/>
          <w:color w:val="000000"/>
          <w:sz w:val="24"/>
          <w:szCs w:val="24"/>
          <w:highlight w:val="white"/>
          <w:lang w:val="en-GB" w:eastAsia="en-GB"/>
        </w:rPr>
        <w:t xml:space="preserve">The MMRI project related to multimodal travel information has stimulated 5 journey planners providing real-time information. For standardisation, platforms such as MOGIN (discussion platform on MObility and Geo Information in Netherlands), BISON (open platform on national information standards for public transport travel info), DVM Management Exchange (open platform on open standard for dynamic traffic management) are used.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Norway, </w:t>
      </w:r>
      <w:r>
        <w:rPr>
          <w:rFonts w:ascii="Times New Roman" w:eastAsia="Times New Roman" w:hAnsi="Times New Roman" w:cs="Times New Roman"/>
          <w:noProof/>
          <w:color w:val="000000"/>
          <w:sz w:val="24"/>
          <w:szCs w:val="24"/>
          <w:highlight w:val="white"/>
          <w:lang w:val="en-GB" w:eastAsia="en-GB"/>
        </w:rPr>
        <w:t xml:space="preserve">the development of a new system to integrate interfaces for traffic operators in TMC is being planned. The NPRA operates an existing traffic information service which includes traffic safety information. A national public transport schedule database, including a register of stops has been established. A timetable for a country-wide travel planning for all types of scheduled public transport is being planned. A road weather information system (Vegvear) has been implemented and is under continuous development. In February 2014 the NPRA started using DATEX II as the standard exchange format for RTTI.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Portugal,</w:t>
      </w:r>
      <w:r>
        <w:rPr>
          <w:rFonts w:ascii="Times New Roman" w:eastAsia="Times New Roman" w:hAnsi="Times New Roman" w:cs="Times New Roman"/>
          <w:noProof/>
          <w:color w:val="000000"/>
          <w:sz w:val="24"/>
          <w:szCs w:val="24"/>
          <w:highlight w:val="white"/>
          <w:lang w:val="en-GB" w:eastAsia="en-GB"/>
        </w:rPr>
        <w:t xml:space="preserve"> a National Data Warehouse with a web platform based on EU standards (Alert-C, RDS-TMC, DATEX II) is currently being established. Multimodal travel information on public passenger transport is established with 3 websites in operation at national level and the metropolitan area of Lisbon.</w:t>
      </w:r>
    </w:p>
    <w:p>
      <w:pPr>
        <w:spacing w:after="120" w:line="276" w:lineRule="auto"/>
        <w:jc w:val="both"/>
        <w:rPr>
          <w:rFonts w:ascii="Times New Roman" w:eastAsia="Times New Roman" w:hAnsi="Times New Roman" w:cs="Times New Roman"/>
          <w:noProof/>
          <w:color w:val="000000"/>
          <w:sz w:val="24"/>
          <w:szCs w:val="24"/>
          <w:highlight w:val="white"/>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Slovakia,</w:t>
      </w:r>
      <w:r>
        <w:rPr>
          <w:rFonts w:ascii="Times New Roman" w:eastAsia="Times New Roman" w:hAnsi="Times New Roman" w:cs="Times New Roman"/>
          <w:noProof/>
          <w:color w:val="000000"/>
          <w:sz w:val="24"/>
          <w:szCs w:val="24"/>
          <w:highlight w:val="white"/>
          <w:lang w:val="en-GB" w:eastAsia="en-GB"/>
        </w:rPr>
        <w:t xml:space="preserve"> a central technical register of road data shall be provided by the Ministry of Transport, Construction and Regional Development and operated by the Road Administration through the Road Databank. A Traffic Reporting Service Information System (TRS IS) has also been established.</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Spain</w:t>
      </w:r>
      <w:r>
        <w:rPr>
          <w:rFonts w:ascii="Times New Roman" w:eastAsia="Times New Roman" w:hAnsi="Times New Roman" w:cs="Times New Roman"/>
          <w:noProof/>
          <w:color w:val="000000"/>
          <w:sz w:val="24"/>
          <w:szCs w:val="24"/>
          <w:highlight w:val="white"/>
          <w:lang w:val="en-GB" w:eastAsia="en-GB"/>
        </w:rPr>
        <w:t xml:space="preserve">, </w:t>
      </w:r>
      <w:r>
        <w:rPr>
          <w:rFonts w:ascii="Times New Roman" w:eastAsia="Times New Roman" w:hAnsi="Times New Roman" w:cs="Times New Roman"/>
          <w:noProof/>
          <w:color w:val="000000"/>
          <w:sz w:val="24"/>
          <w:szCs w:val="24"/>
          <w:lang w:val="en-GB" w:eastAsia="en-GB"/>
        </w:rPr>
        <w:t>Seasonal Traffic Management linked to the summer crossing of foreign vehicles.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Sweden, </w:t>
      </w:r>
      <w:r>
        <w:rPr>
          <w:rFonts w:ascii="Times New Roman" w:eastAsia="Times New Roman" w:hAnsi="Times New Roman" w:cs="Times New Roman"/>
          <w:noProof/>
          <w:color w:val="000000"/>
          <w:sz w:val="24"/>
          <w:szCs w:val="24"/>
          <w:highlight w:val="white"/>
          <w:lang w:val="en-GB" w:eastAsia="en-GB"/>
        </w:rPr>
        <w:t xml:space="preserve">a RDT database for traffic regulations and rules has been established. It is connected to a digital map of the Swedish National Road Database. </w:t>
      </w:r>
      <w:r>
        <w:rPr>
          <w:rFonts w:ascii="Times New Roman" w:eastAsia="Times New Roman" w:hAnsi="Times New Roman" w:cs="Times New Roman"/>
          <w:noProof/>
          <w:color w:val="000000"/>
          <w:sz w:val="24"/>
          <w:szCs w:val="24"/>
          <w:lang w:val="en-GB" w:eastAsia="en-GB"/>
        </w:rPr>
        <w:t>A technical platform (oppnadata.se) for publishing open data has been developed.</w:t>
      </w:r>
    </w:p>
    <w:p>
      <w:pPr>
        <w:spacing w:after="120" w:line="276" w:lineRule="auto"/>
        <w:jc w:val="both"/>
        <w:rPr>
          <w:rFonts w:ascii="Times New Roman" w:eastAsia="Times New Roman" w:hAnsi="Times New Roman" w:cs="Times New Roman"/>
          <w:noProof/>
          <w:color w:val="000000"/>
          <w:sz w:val="24"/>
          <w:szCs w:val="24"/>
          <w:highlight w:val="white"/>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w:t>
      </w:r>
      <w:r>
        <w:rPr>
          <w:rFonts w:ascii="Times New Roman" w:eastAsia="Times New Roman" w:hAnsi="Times New Roman" w:cs="Times New Roman"/>
          <w:noProof/>
          <w:color w:val="000000"/>
          <w:sz w:val="24"/>
          <w:szCs w:val="24"/>
          <w:highlight w:val="white"/>
          <w:lang w:val="en-GB" w:eastAsia="en-GB"/>
        </w:rPr>
        <w:t>the</w:t>
      </w:r>
      <w:r>
        <w:rPr>
          <w:rFonts w:ascii="Times New Roman" w:eastAsia="Times New Roman" w:hAnsi="Times New Roman" w:cs="Times New Roman"/>
          <w:b/>
          <w:noProof/>
          <w:color w:val="000000"/>
          <w:sz w:val="24"/>
          <w:szCs w:val="24"/>
          <w:highlight w:val="white"/>
          <w:lang w:val="en-GB" w:eastAsia="en-GB"/>
        </w:rPr>
        <w:t xml:space="preserve"> UK, </w:t>
      </w:r>
      <w:r>
        <w:rPr>
          <w:rFonts w:ascii="Times New Roman" w:eastAsia="Times New Roman" w:hAnsi="Times New Roman" w:cs="Times New Roman"/>
          <w:noProof/>
          <w:color w:val="000000"/>
          <w:sz w:val="24"/>
          <w:szCs w:val="24"/>
          <w:highlight w:val="white"/>
          <w:lang w:val="en-GB" w:eastAsia="en-GB"/>
        </w:rPr>
        <w:t xml:space="preserve">many transport datasets have been published (NaPTAN i.e. 350000 transport access nodes in GB, rail timetables, roadworks data covering 90% of England, bus timetables in GB PRM data, next buses API and in the future rail real-time information from the national rail Darwin API etc.). </w:t>
      </w:r>
      <w:r>
        <w:rPr>
          <w:rFonts w:ascii="Times New Roman" w:eastAsia="Times New Roman" w:hAnsi="Times New Roman" w:cs="Times New Roman"/>
          <w:noProof/>
          <w:color w:val="000000"/>
          <w:sz w:val="24"/>
          <w:szCs w:val="24"/>
          <w:lang w:val="en-GB" w:eastAsia="en-GB"/>
        </w:rPr>
        <w:t xml:space="preserve">The metadata search and discover facility that is part of data.gov.uk and which is already used for the INSPIRE datasets should be used for the datasets made available under the ITS Directive priority actions. </w:t>
      </w:r>
      <w:r>
        <w:rPr>
          <w:rFonts w:ascii="Times New Roman" w:eastAsia="Times New Roman" w:hAnsi="Times New Roman" w:cs="Times New Roman"/>
          <w:noProof/>
          <w:color w:val="000000"/>
          <w:sz w:val="24"/>
          <w:szCs w:val="24"/>
          <w:highlight w:val="white"/>
          <w:lang w:val="en-GB" w:eastAsia="en-GB"/>
        </w:rPr>
        <w:t xml:space="preserve">Strong regional activities (Scotland, Northern Ireland, Wales) on RTTI and travel information /journey times delivering through VMS, web, apps, RSS feeds, twitter, internet radio service.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An interesting evolution took place in UK in September 2014, stemming from the new accessibility </w:t>
      </w:r>
      <w:r>
        <w:rPr>
          <w:rFonts w:ascii="Times New Roman" w:eastAsia="Times New Roman" w:hAnsi="Times New Roman" w:cs="Times New Roman"/>
          <w:noProof/>
          <w:color w:val="000000"/>
          <w:sz w:val="24"/>
          <w:szCs w:val="24"/>
          <w:lang w:val="en-GB" w:eastAsia="en-GB"/>
        </w:rPr>
        <w:t>of transport datasets: as the Open Data Strategy for Transport was very successful and triggered many new apps, the state-funded Transport Direct was stopped, private services based on these datasets being judged henceforth sufficient.</w:t>
      </w:r>
    </w:p>
    <w:p>
      <w:pPr>
        <w:spacing w:after="0" w:line="240" w:lineRule="auto"/>
        <w:rPr>
          <w:rFonts w:ascii="Times New Roman" w:hAnsi="Times New Roman" w:cs="Times New Roman"/>
          <w:noProof/>
          <w:sz w:val="24"/>
          <w:szCs w:val="24"/>
          <w:lang w:val="en-GB" w:eastAsia="en-GB"/>
        </w:rPr>
      </w:pPr>
      <w:r>
        <w:rPr>
          <w:rFonts w:ascii="Times New Roman" w:eastAsia="Times New Roman" w:hAnsi="Times New Roman" w:cs="Times New Roman"/>
          <w:b/>
          <w:noProof/>
          <w:color w:val="000000"/>
          <w:sz w:val="24"/>
          <w:szCs w:val="24"/>
          <w:lang w:val="en-GB" w:eastAsia="en-GB"/>
        </w:rPr>
        <w:t>Preparation of specifications pertaining to priority actions referred to in point (a) ) of Article 3 of the ITS Directive</w:t>
      </w:r>
      <w:r>
        <w:rPr>
          <w:noProof/>
          <w:vertAlign w:val="superscript"/>
          <w:lang w:val="en-GB"/>
        </w:rPr>
        <w:footnoteReference w:id="6"/>
      </w:r>
      <w:r>
        <w:rPr>
          <w:rFonts w:ascii="Times New Roman" w:hAnsi="Times New Roman" w:cs="Times New Roman"/>
          <w:noProof/>
          <w:sz w:val="24"/>
          <w:szCs w:val="24"/>
          <w:lang w:val="en-GB" w:eastAsia="en-GB"/>
        </w:rPr>
        <w:t xml:space="preserve">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When the national reports were submitted in 2014 it was clear that a lot of preparatory work for this priority action has been achieved with many examples of practical projects or institutional frameworks used at national level that are addressing some of the challenges to be overcome in this priority area, including opening up access to travel data, developing local and national journey planning services.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At the time of writing, the technical specifications are currently being developed with experts nominated by Member States and it is known that further advancements have been made including activities related to national data standardisation and the provision of linking national and regional travel information services.</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Highlights on the implementation of specifications (b)</w:t>
      </w:r>
      <w:r>
        <w:rPr>
          <w:rFonts w:ascii="Times New Roman" w:eastAsia="Times New Roman" w:hAnsi="Times New Roman" w:cs="Times New Roman"/>
          <w:b/>
          <w:noProof/>
          <w:color w:val="000000"/>
          <w:sz w:val="24"/>
          <w:szCs w:val="24"/>
          <w:vertAlign w:val="superscript"/>
          <w:lang w:val="en-GB" w:eastAsia="en-GB"/>
        </w:rPr>
        <w:footnoteReference w:id="7"/>
      </w:r>
      <w:r>
        <w:rPr>
          <w:rFonts w:ascii="Times New Roman" w:eastAsia="Times New Roman" w:hAnsi="Times New Roman" w:cs="Times New Roman"/>
          <w:b/>
          <w:noProof/>
          <w:color w:val="000000"/>
          <w:sz w:val="24"/>
          <w:szCs w:val="24"/>
          <w:lang w:val="en-GB" w:eastAsia="en-GB"/>
        </w:rPr>
        <w:t>: the provision of EU-wide real-time traffic information services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Member State National reports show implementation procedures, for the provision of real-time traffic information, already being addressed, although differently in shape and pace across Europe.</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Two of the most developed approaches branch from the Netherlands and Germany. Both the Mobility Data Market Place in Germany or the Netherlands National Data Warehouse provide interfaces to integrate and re-use different types of data, making it then available for e.g. radio broadcasters, navigation systems and app-developers.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2013, Real time traffic data became available as open data in the Netherlands National Data Warehouse database, followed by the status data, in 2014, which describes the current traffic situations.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The United Kingdom proposes to use the existing Government metadata search and discovering facility, a repository hosting data in native directories and allowing for comprehensive search capability, available to the whole UK public sector as well as to private organisations that wish to register their metadata for access by third parties.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Sweden and Austria show increasingly interest on the topic of access to data, seen as an enabler for the development of new applications, e.g. taking into account the UK example. Sweden has created a platform for Open Data. Smart phone App UNTERWEGS in Austria provide on trip information, including traffic information while driving and the ÖAMTC Smartphone App provides information on Park&amp;Ride facilities, public car parks (prices, opening hours and number of available parking lots) and traffic situation.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More classical approaches, based on their National Traffic Management/Control Centers, are then presented across several Member States for the provision of RTTI on the main road corridors, along motorways, such as the Czech Republic, Lithuania, Poland, Greece or Spain.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Under the concept for "a Connected Island to provide better urban and inter-urban connectivity" Malta presented a 2 phase project, MODUS, to be implemented in selected road sections, nationwide and across all modes of land transport and road users. It includes the definition of procedures for the provision of EU-wide real time traffic and travel information services, addressing notably the provision of traffic information services by the private sector and the provision of traffic regulation data by the transport authorities.</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Highlights on the implementation of specifications (c)</w:t>
      </w:r>
      <w:r>
        <w:rPr>
          <w:rFonts w:ascii="Times New Roman" w:eastAsia="Times New Roman" w:hAnsi="Times New Roman" w:cs="Times New Roman"/>
          <w:b/>
          <w:noProof/>
          <w:color w:val="000000"/>
          <w:sz w:val="24"/>
          <w:szCs w:val="24"/>
          <w:vertAlign w:val="superscript"/>
          <w:lang w:val="en-GB" w:eastAsia="en-GB"/>
        </w:rPr>
        <w:footnoteReference w:id="8"/>
      </w:r>
      <w:r>
        <w:rPr>
          <w:rFonts w:ascii="Times New Roman" w:eastAsia="Times New Roman" w:hAnsi="Times New Roman" w:cs="Times New Roman"/>
          <w:b/>
          <w:noProof/>
          <w:color w:val="000000"/>
          <w:sz w:val="24"/>
          <w:szCs w:val="24"/>
          <w:lang w:val="en-GB" w:eastAsia="en-GB"/>
        </w:rPr>
        <w:t>: data and procedures for the provision, where possible, of road safety related minimum universal traffic information free of charge to users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21 Member States presented reports specifically addressing the implementation of priority (c), while 4 other Members States referenced it their national reports under the ITS Directive.</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Initial feedback reflects Member States' broader acknowledgment and understanding of the specifications implementation principles, allowing for some ruling flexibility, which leads on to a variety of approaches.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Regarding the designated national body for the assessment of compliance, Finland and Sweden plan to designate self-governing National related Transport Agencies, while the majority of the other Member States recognise those competences to fall within the Ministry of Transport, often (Czech Republic, Denmark, France, Norway or Spain) within departments different from the ones actually providing the information within the overarching Ministry of Transport, as to ensure independence and impartiality.</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An interesting example comes from the Republic of Croatia stating to be following a consultation with the neighbouring Member States, for the possibility of appointing a joint body.</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So far, 17 Member States have already designated their National Body, or plan to do so shortly.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As far as national access points are concerned, there seems to be an understanding across several Member States (e.g. France, Hungary, Italy, Lithuania) to reuse the organization in charged with Traffic Management.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Also accordingly to point 2 in Article 10 of the Delegated Regulation No 886/2013, Member States are asked to provide reports on the progress of the specification implementation.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this respect, most Member States already show evidence to provide DATEX II compliant information on a full list of road safety-related events or conditions at the designated national access, or via DATEX II nodes, both in public and/or private road operators, therefore able to exchange the data they collect and making it available.</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an example between two neighbouring countries, Spain, via its national body, DGT, uses DATEX II as the standard format for exchange of traffic management information, while in Portugal, despite no national body was yet assigned, all the 16 private road concessioners use DATEX II nodes for exchange data in compliance with EU Regulation.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Finally, Member States show little progress on the assessment of compliance with requirements, due most probably to the still very early stage of implementation.</w:t>
      </w:r>
    </w:p>
    <w:p>
      <w:pPr>
        <w:keepNext/>
        <w:keepLines/>
        <w:numPr>
          <w:ilvl w:val="1"/>
          <w:numId w:val="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11" w:name="_Toc18588999"/>
      <w:r>
        <w:rPr>
          <w:rFonts w:ascii="Times New Roman" w:eastAsia="Times New Roman" w:hAnsi="Times New Roman" w:cs="Times New Roman"/>
          <w:b/>
          <w:noProof/>
          <w:color w:val="000000"/>
          <w:sz w:val="24"/>
          <w:szCs w:val="24"/>
          <w:lang w:val="en-GB" w:eastAsia="en-GB"/>
        </w:rPr>
        <w:t>Priority Area II: Continuity of traffic and freight management ITS services</w:t>
      </w:r>
      <w:bookmarkEnd w:id="11"/>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stipulated in Annex I of the ITS Directive, priority area II is specifically focused upon the provisions to support traffic and freight management services including traffic information/management control centres, ITS framework architecture, tracking and tracing of freight, integrated multimodal ticketing.</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Some reports provide interesting elements with respect to </w:t>
      </w:r>
      <w:r>
        <w:rPr>
          <w:rFonts w:ascii="Times New Roman" w:eastAsia="Times New Roman" w:hAnsi="Times New Roman" w:cs="Times New Roman"/>
          <w:b/>
          <w:noProof/>
          <w:color w:val="000000"/>
          <w:sz w:val="24"/>
          <w:szCs w:val="24"/>
          <w:lang w:val="en-GB" w:eastAsia="en-GB"/>
        </w:rPr>
        <w:t xml:space="preserve">priority area II </w:t>
      </w:r>
      <w:r>
        <w:rPr>
          <w:rFonts w:ascii="Times New Roman" w:eastAsia="Times New Roman" w:hAnsi="Times New Roman" w:cs="Times New Roman"/>
          <w:noProof/>
          <w:color w:val="000000"/>
          <w:sz w:val="24"/>
          <w:szCs w:val="24"/>
          <w:lang w:val="en-GB" w:eastAsia="en-GB"/>
        </w:rPr>
        <w:t>such as work undertaken on the setting up national traffic management control centres and also urban control centres. Regarding ticketing, some efforts have been made by Member States in the field but as efforts in priority area 1 have shown, most of the efforts are concerned with information and planning. Reporting on activities regarding ITS application for freight is limited. Examples of interesting initiatives (not exhaustive, in alphabetic order) are listed hereafter.</w:t>
      </w:r>
    </w:p>
    <w:p>
      <w:pPr>
        <w:spacing w:after="120" w:line="276" w:lineRule="auto"/>
        <w:ind w:left="-240"/>
        <w:jc w:val="center"/>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object w:dxaOrig="9411" w:dyaOrig="3756">
          <v:shape id="_x0000_i1027" type="#_x0000_t75" style="width:469.35pt;height:186.8pt" o:ole="">
            <v:imagedata r:id="rId23" o:title=""/>
          </v:shape>
          <o:OLEObject Type="Embed" ProgID="Word.Document.12" ShapeID="_x0000_i1027" DrawAspect="Content" ObjectID="_1632036760" r:id="rId24">
            <o:FieldCodes>\s</o:FieldCodes>
          </o:OLEObject>
        </w:object>
      </w:r>
      <w:r>
        <w:rPr>
          <w:rFonts w:ascii="Times New Roman" w:eastAsia="Times New Roman" w:hAnsi="Times New Roman" w:cs="Times New Roman"/>
          <w:b/>
          <w:noProof/>
          <w:color w:val="000000"/>
          <w:sz w:val="24"/>
          <w:szCs w:val="24"/>
          <w:lang w:val="en-GB" w:eastAsia="en-GB"/>
        </w:rPr>
        <w:t>Figure 2 : Priority Area II – Evolution 2011-2014</w:t>
      </w:r>
    </w:p>
    <w:p>
      <w:pPr>
        <w:spacing w:after="0" w:line="276" w:lineRule="auto"/>
        <w:jc w:val="both"/>
        <w:rPr>
          <w:rFonts w:ascii="Times New Roman" w:eastAsia="Times New Roman" w:hAnsi="Times New Roman" w:cs="Times New Roman"/>
          <w:b/>
          <w:noProof/>
          <w:color w:val="000000"/>
          <w:sz w:val="24"/>
          <w:szCs w:val="24"/>
          <w:lang w:val="en-GB" w:eastAsia="en-GB"/>
        </w:rPr>
      </w:pP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Belgium, </w:t>
      </w:r>
      <w:r>
        <w:rPr>
          <w:rFonts w:ascii="Times New Roman" w:eastAsia="Times New Roman" w:hAnsi="Times New Roman" w:cs="Times New Roman"/>
          <w:noProof/>
          <w:color w:val="000000"/>
          <w:sz w:val="24"/>
          <w:szCs w:val="24"/>
          <w:lang w:val="en-GB" w:eastAsia="en-GB"/>
        </w:rPr>
        <w:t>a nation-wide integrated ticketing system for public transport and rail has been established (MOBIB).</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 xml:space="preserve">Czech Republic </w:t>
      </w:r>
      <w:r>
        <w:rPr>
          <w:rFonts w:ascii="Times New Roman" w:eastAsia="Times New Roman" w:hAnsi="Times New Roman" w:cs="Times New Roman"/>
          <w:noProof/>
          <w:color w:val="000000"/>
          <w:sz w:val="24"/>
          <w:szCs w:val="24"/>
          <w:lang w:val="en-GB" w:eastAsia="en-GB"/>
        </w:rPr>
        <w:t>has</w:t>
      </w:r>
      <w:r>
        <w:rPr>
          <w:rFonts w:ascii="Times New Roman" w:eastAsia="Times New Roman" w:hAnsi="Times New Roman" w:cs="Times New Roman"/>
          <w:b/>
          <w:noProof/>
          <w:color w:val="000000"/>
          <w:sz w:val="24"/>
          <w:szCs w:val="24"/>
          <w:lang w:val="en-GB" w:eastAsia="en-GB"/>
        </w:rPr>
        <w:t xml:space="preserve"> </w:t>
      </w:r>
      <w:r>
        <w:rPr>
          <w:rFonts w:ascii="Times New Roman" w:eastAsia="Times New Roman" w:hAnsi="Times New Roman" w:cs="Times New Roman"/>
          <w:noProof/>
          <w:color w:val="000000"/>
          <w:sz w:val="24"/>
          <w:szCs w:val="24"/>
          <w:highlight w:val="white"/>
          <w:lang w:val="en-GB" w:eastAsia="en-GB"/>
        </w:rPr>
        <w:t>deployed an extensive amount of road related ITS infrastructure along core motorways in the country including emergency stations, rotating cameras, looping on-road sensors for permanent automatic traffic counts, roadside weather stations, variable message signs and electronic security systems in bridges.</w:t>
      </w:r>
      <w:r>
        <w:rPr>
          <w:rFonts w:ascii="Times New Roman" w:eastAsia="Times New Roman" w:hAnsi="Times New Roman" w:cs="Times New Roman"/>
          <w:noProof/>
          <w:color w:val="000000"/>
          <w:sz w:val="24"/>
          <w:szCs w:val="24"/>
          <w:lang w:val="en-GB" w:eastAsia="en-GB"/>
        </w:rPr>
        <w:t xml:space="preserve"> Participation in the POSSE project is reported, fostering the use of open specifications and standards for traffic management (together with German OCA, and English UTMC), and a project on enhancing the use of parking capacity for HGV on motorways using predictive models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France</w:t>
      </w:r>
      <w:r>
        <w:rPr>
          <w:rFonts w:ascii="Times New Roman" w:eastAsia="Times New Roman" w:hAnsi="Times New Roman" w:cs="Times New Roman"/>
          <w:noProof/>
          <w:color w:val="000000"/>
          <w:sz w:val="24"/>
          <w:szCs w:val="24"/>
          <w:lang w:val="en-GB" w:eastAsia="en-GB"/>
        </w:rPr>
        <w:t>, a blueprint for dedicated lanes for buses (and possibly other modes like car-sharing, taxis or electric vehicles) has been developed on the national road network in the Ile-de-France region.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Germany,</w:t>
      </w:r>
      <w:r>
        <w:rPr>
          <w:rFonts w:ascii="Times New Roman" w:eastAsia="Times New Roman" w:hAnsi="Times New Roman" w:cs="Times New Roman"/>
          <w:noProof/>
          <w:color w:val="000000"/>
          <w:sz w:val="24"/>
          <w:szCs w:val="24"/>
          <w:highlight w:val="white"/>
          <w:lang w:val="en-GB" w:eastAsia="en-GB"/>
        </w:rPr>
        <w:t xml:space="preserve"> an ITS framework architecture for public transport has been established and recommendations have been elaborated for four identified areas: 1) quality management for information logistics in public transport, 2) passenger information in public transport; 3) incident management in public transport and link to individual transport; 4) electronic, multimodal and interoperable ticketing system for public transport.</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Greece, </w:t>
      </w:r>
      <w:r>
        <w:rPr>
          <w:rFonts w:ascii="Times New Roman" w:eastAsia="Times New Roman" w:hAnsi="Times New Roman" w:cs="Times New Roman"/>
          <w:noProof/>
          <w:color w:val="000000"/>
          <w:sz w:val="24"/>
          <w:szCs w:val="24"/>
          <w:highlight w:val="white"/>
          <w:lang w:val="en-GB" w:eastAsia="en-GB"/>
        </w:rPr>
        <w:t xml:space="preserve">the Athens Traffic Management Center (TMC) is operational and controls the use of use of variable message signs and interventions in the signal control strategies.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Ireland,</w:t>
      </w:r>
      <w:r>
        <w:rPr>
          <w:rFonts w:ascii="Times New Roman" w:eastAsia="Times New Roman" w:hAnsi="Times New Roman" w:cs="Times New Roman"/>
          <w:noProof/>
          <w:color w:val="000000"/>
          <w:sz w:val="24"/>
          <w:szCs w:val="24"/>
          <w:highlight w:val="white"/>
          <w:lang w:val="en-GB" w:eastAsia="en-GB"/>
        </w:rPr>
        <w:t xml:space="preserve"> an Integrated Smart Card Ticketing known as Leap Card is expanding rapidly with over a half of a million sold of which nearly 100.000 are student tickets. The service has been expanded to Cork on a pilot basis and will soon be available in Galway, with further cities in the horizon. NTA is in the process of procuring a supplier for the required Near Field Communications interface to support the use of mobile phones to read Leap Cards and top them up.</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Lithuania, </w:t>
      </w:r>
      <w:r>
        <w:rPr>
          <w:rFonts w:ascii="Times New Roman" w:eastAsia="Times New Roman" w:hAnsi="Times New Roman" w:cs="Times New Roman"/>
          <w:noProof/>
          <w:color w:val="000000"/>
          <w:sz w:val="24"/>
          <w:szCs w:val="24"/>
          <w:lang w:val="en-GB" w:eastAsia="en-GB"/>
        </w:rPr>
        <w:t xml:space="preserve">activities such as automated traffic light management systems, electric queue management systems are under operation and a </w:t>
      </w:r>
      <w:r>
        <w:rPr>
          <w:rFonts w:ascii="Times New Roman" w:eastAsia="Times New Roman" w:hAnsi="Times New Roman" w:cs="Times New Roman"/>
          <w:noProof/>
          <w:color w:val="000000"/>
          <w:sz w:val="24"/>
          <w:szCs w:val="24"/>
          <w:highlight w:val="white"/>
          <w:lang w:val="en-GB" w:eastAsia="en-GB"/>
        </w:rPr>
        <w:t xml:space="preserve">Traffic control and enforcement system based on Automatic Number Plate Recognition (ANPR) cameras is under preparation.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Malta, </w:t>
      </w:r>
      <w:r>
        <w:rPr>
          <w:rFonts w:ascii="Times New Roman" w:eastAsia="Times New Roman" w:hAnsi="Times New Roman" w:cs="Times New Roman"/>
          <w:noProof/>
          <w:color w:val="000000"/>
          <w:sz w:val="24"/>
          <w:szCs w:val="24"/>
          <w:lang w:val="en-GB" w:eastAsia="en-GB"/>
        </w:rPr>
        <w:t>the</w:t>
      </w:r>
      <w:r>
        <w:rPr>
          <w:rFonts w:ascii="Times New Roman" w:eastAsia="Times New Roman" w:hAnsi="Times New Roman" w:cs="Times New Roman"/>
          <w:b/>
          <w:noProof/>
          <w:color w:val="000000"/>
          <w:sz w:val="24"/>
          <w:szCs w:val="24"/>
          <w:lang w:val="en-GB" w:eastAsia="en-GB"/>
        </w:rPr>
        <w:t xml:space="preserve"> </w:t>
      </w:r>
      <w:r>
        <w:rPr>
          <w:rFonts w:ascii="Times New Roman" w:eastAsia="Times New Roman" w:hAnsi="Times New Roman" w:cs="Times New Roman"/>
          <w:noProof/>
          <w:color w:val="000000"/>
          <w:sz w:val="24"/>
          <w:szCs w:val="24"/>
          <w:highlight w:val="white"/>
          <w:lang w:val="en-GB" w:eastAsia="en-GB"/>
        </w:rPr>
        <w:t xml:space="preserve">definition of an ITS framework architecture for urban transport mobility, including an integrated approach for travel planning, transport demand, traffic management, emergency management, road pricing, and the use of parking and public transport facilities is currently being elaborated.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Poland, </w:t>
      </w:r>
      <w:r>
        <w:rPr>
          <w:rFonts w:ascii="Times New Roman" w:eastAsia="Times New Roman" w:hAnsi="Times New Roman" w:cs="Times New Roman"/>
          <w:noProof/>
          <w:color w:val="000000"/>
          <w:sz w:val="24"/>
          <w:szCs w:val="24"/>
          <w:lang w:val="en-GB" w:eastAsia="en-GB"/>
        </w:rPr>
        <w:t>the National Traffic Management System (NTMS – KSZR) project involves the use of intelligent transport systems in the area of traffic management on national roads.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Spain, </w:t>
      </w:r>
      <w:r>
        <w:rPr>
          <w:rFonts w:ascii="Times New Roman" w:eastAsia="Times New Roman" w:hAnsi="Times New Roman" w:cs="Times New Roman"/>
          <w:noProof/>
          <w:color w:val="000000"/>
          <w:sz w:val="24"/>
          <w:szCs w:val="24"/>
          <w:highlight w:val="white"/>
          <w:lang w:val="en-GB" w:eastAsia="en-GB"/>
        </w:rPr>
        <w:t>Traffic Management Centres have been set up.</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Slovakia,</w:t>
      </w:r>
      <w:r>
        <w:rPr>
          <w:rFonts w:ascii="Times New Roman" w:eastAsia="Times New Roman" w:hAnsi="Times New Roman" w:cs="Times New Roman"/>
          <w:noProof/>
          <w:color w:val="000000"/>
          <w:sz w:val="24"/>
          <w:szCs w:val="24"/>
          <w:highlight w:val="white"/>
          <w:lang w:val="en-GB" w:eastAsia="en-GB"/>
        </w:rPr>
        <w:t xml:space="preserve"> telematic systems on motorways and expressways and ITS in regional and larger towns in Slovakia have been established to support the removal of road infrastructure collision points through the use of intelligent transport systems; structural solutions giving preference to public transport vehicles (reserved lanes, preference at crossroads etc.) and technical solutions in support of traffic flow and safety (monitoring systems, intelligent crossroads systems, variable traffic signs etc.).</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Sweden, </w:t>
      </w:r>
      <w:r>
        <w:rPr>
          <w:rFonts w:ascii="Times New Roman" w:eastAsia="Times New Roman" w:hAnsi="Times New Roman" w:cs="Times New Roman"/>
          <w:noProof/>
          <w:color w:val="000000"/>
          <w:sz w:val="24"/>
          <w:szCs w:val="24"/>
          <w:highlight w:val="white"/>
          <w:lang w:val="en-GB" w:eastAsia="en-GB"/>
        </w:rPr>
        <w:t xml:space="preserve">activities and deployment of dynamic lane management and incident management, and variable speed limits in urban areas, and traffic management plans in vicinity of big cities are documented.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w:t>
      </w:r>
      <w:r>
        <w:rPr>
          <w:rFonts w:ascii="Times New Roman" w:eastAsia="Times New Roman" w:hAnsi="Times New Roman" w:cs="Times New Roman"/>
          <w:noProof/>
          <w:color w:val="000000"/>
          <w:sz w:val="24"/>
          <w:szCs w:val="24"/>
          <w:lang w:val="en-GB" w:eastAsia="en-GB"/>
        </w:rPr>
        <w:t>the</w:t>
      </w:r>
      <w:r>
        <w:rPr>
          <w:rFonts w:ascii="Times New Roman" w:eastAsia="Times New Roman" w:hAnsi="Times New Roman" w:cs="Times New Roman"/>
          <w:b/>
          <w:noProof/>
          <w:color w:val="000000"/>
          <w:sz w:val="24"/>
          <w:szCs w:val="24"/>
          <w:lang w:val="en-GB" w:eastAsia="en-GB"/>
        </w:rPr>
        <w:t xml:space="preserve"> UK, </w:t>
      </w:r>
      <w:r>
        <w:rPr>
          <w:rFonts w:ascii="Times New Roman" w:eastAsia="Times New Roman" w:hAnsi="Times New Roman" w:cs="Times New Roman"/>
          <w:noProof/>
          <w:color w:val="000000"/>
          <w:sz w:val="24"/>
          <w:szCs w:val="24"/>
          <w:lang w:val="en-GB" w:eastAsia="en-GB"/>
        </w:rPr>
        <w:t xml:space="preserve">it is documented that there are </w:t>
      </w:r>
      <w:r>
        <w:rPr>
          <w:rFonts w:ascii="Times New Roman" w:eastAsia="Times New Roman" w:hAnsi="Times New Roman" w:cs="Times New Roman"/>
          <w:noProof/>
          <w:color w:val="000000"/>
          <w:sz w:val="24"/>
          <w:szCs w:val="24"/>
          <w:highlight w:val="white"/>
          <w:lang w:val="en-GB" w:eastAsia="en-GB"/>
        </w:rPr>
        <w:t>3000 VMS on the highways. Motorway Incident Detection and Automated Signalling (MIDAS) solution has been shown to reduce rear end accidents by around 7% and this has resulted in a 13% reduction in serious injuries related to such incidents. The UK is also very active in the field of ‘Smart Motorways’ utilising data collection and traffic management technologies to make better use of existing road space, reduce congestion and add capacity, by using variable speed limits, dynamic use of the hard shoulder as a running lane at busy times, and on newer schemes, permanent conversion of the hard shoulder to a running lane.</w:t>
      </w:r>
    </w:p>
    <w:p>
      <w:pPr>
        <w:keepNext/>
        <w:keepLines/>
        <w:numPr>
          <w:ilvl w:val="1"/>
          <w:numId w:val="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12" w:name="_Toc18589000"/>
      <w:r>
        <w:rPr>
          <w:rFonts w:ascii="Times New Roman" w:eastAsia="Times New Roman" w:hAnsi="Times New Roman" w:cs="Times New Roman"/>
          <w:b/>
          <w:noProof/>
          <w:color w:val="000000"/>
          <w:sz w:val="24"/>
          <w:szCs w:val="24"/>
          <w:lang w:val="en-GB" w:eastAsia="en-GB"/>
        </w:rPr>
        <w:t>Priority Area III: ITS road safety and security applications</w:t>
      </w:r>
      <w:bookmarkEnd w:id="12"/>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stipulated in Annex I of the ITS Directive, priority area III is focused upon activities related to eCall and the data exchange between vehicles and emergency call response centres, safety of Human-Machine-Interface, use of nomadic devices, security of in-vehicle communications, measures to improve the safety and comfort of vulnerable road users for all relevant ITS applications, advanced driver support information systems and the availability and exchange of truck parking information and reservation data.</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The vast majority of Member States report activity for </w:t>
      </w:r>
      <w:r>
        <w:rPr>
          <w:rFonts w:ascii="Times New Roman" w:eastAsia="Times New Roman" w:hAnsi="Times New Roman" w:cs="Times New Roman"/>
          <w:b/>
          <w:noProof/>
          <w:color w:val="000000"/>
          <w:sz w:val="24"/>
          <w:szCs w:val="24"/>
          <w:lang w:val="en-GB" w:eastAsia="en-GB"/>
        </w:rPr>
        <w:t>priority area III</w:t>
      </w:r>
      <w:r>
        <w:rPr>
          <w:rFonts w:ascii="Times New Roman" w:eastAsia="Times New Roman" w:hAnsi="Times New Roman" w:cs="Times New Roman"/>
          <w:noProof/>
          <w:color w:val="000000"/>
          <w:sz w:val="24"/>
          <w:szCs w:val="24"/>
          <w:lang w:val="en-GB" w:eastAsia="en-GB"/>
        </w:rPr>
        <w:t>, and many focused on the (preparation of) deployment of eCall and to a lesser extent services for safe and secure parking for trucks and other commercial vehicles. Most reports mention only the provision of information and far less activity is reported on the reservation of parking places. Some reports mention bicycle parking while others install alcohol-locks (voluntarily or mandatory) and enforcement systems such as weight-in-motion. Examples of interesting initiatives are listed hereafter.</w:t>
      </w:r>
    </w:p>
    <w:p>
      <w:pPr>
        <w:spacing w:after="120" w:line="276" w:lineRule="auto"/>
        <w:ind w:left="-240"/>
        <w:jc w:val="center"/>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object w:dxaOrig="9411" w:dyaOrig="3756">
          <v:shape id="_x0000_i1028" type="#_x0000_t75" style="width:469.35pt;height:186.8pt" o:ole="">
            <v:imagedata r:id="rId25" o:title=""/>
          </v:shape>
          <o:OLEObject Type="Embed" ProgID="Word.Document.12" ShapeID="_x0000_i1028" DrawAspect="Content" ObjectID="_1632036761" r:id="rId26">
            <o:FieldCodes>\s</o:FieldCodes>
          </o:OLEObject>
        </w:object>
      </w:r>
      <w:r>
        <w:rPr>
          <w:rFonts w:ascii="Times New Roman" w:eastAsia="Times New Roman" w:hAnsi="Times New Roman" w:cs="Times New Roman"/>
          <w:b/>
          <w:noProof/>
          <w:color w:val="000000"/>
          <w:sz w:val="24"/>
          <w:szCs w:val="24"/>
          <w:lang w:val="en-GB" w:eastAsia="en-GB"/>
        </w:rPr>
        <w:t>Figure 3 : Priority Area III – Evolution 2011-2014</w:t>
      </w:r>
    </w:p>
    <w:p>
      <w:pPr>
        <w:spacing w:after="120" w:line="276" w:lineRule="auto"/>
        <w:jc w:val="center"/>
        <w:rPr>
          <w:rFonts w:ascii="Times New Roman" w:eastAsia="Times New Roman" w:hAnsi="Times New Roman" w:cs="Times New Roman"/>
          <w:noProof/>
          <w:color w:val="000000"/>
          <w:sz w:val="24"/>
          <w:szCs w:val="24"/>
          <w:lang w:val="en-GB" w:eastAsia="en-GB"/>
        </w:rPr>
      </w:pP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Belgium</w:t>
      </w:r>
      <w:r>
        <w:rPr>
          <w:rFonts w:ascii="Times New Roman" w:eastAsia="Times New Roman" w:hAnsi="Times New Roman" w:cs="Times New Roman"/>
          <w:noProof/>
          <w:color w:val="000000"/>
          <w:sz w:val="24"/>
          <w:szCs w:val="24"/>
          <w:highlight w:val="white"/>
          <w:lang w:val="en-GB" w:eastAsia="en-GB"/>
        </w:rPr>
        <w:t xml:space="preserve"> has conducted first eCall field tests in 2013/2014.</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w:t>
      </w:r>
      <w:r>
        <w:rPr>
          <w:rFonts w:ascii="Times New Roman" w:eastAsia="Times New Roman" w:hAnsi="Times New Roman" w:cs="Times New Roman"/>
          <w:b/>
          <w:noProof/>
          <w:color w:val="000000"/>
          <w:sz w:val="24"/>
          <w:szCs w:val="24"/>
          <w:lang w:val="en-GB" w:eastAsia="en-GB"/>
        </w:rPr>
        <w:t xml:space="preserve"> </w:t>
      </w:r>
      <w:r>
        <w:rPr>
          <w:rFonts w:ascii="Times New Roman" w:eastAsia="Times New Roman" w:hAnsi="Times New Roman" w:cs="Times New Roman"/>
          <w:b/>
          <w:noProof/>
          <w:color w:val="000000"/>
          <w:sz w:val="24"/>
          <w:szCs w:val="24"/>
          <w:highlight w:val="white"/>
          <w:lang w:val="en-GB" w:eastAsia="en-GB"/>
        </w:rPr>
        <w:t xml:space="preserve">Bulgaria, </w:t>
      </w:r>
      <w:r>
        <w:rPr>
          <w:rFonts w:ascii="Times New Roman" w:eastAsia="Times New Roman" w:hAnsi="Times New Roman" w:cs="Times New Roman"/>
          <w:noProof/>
          <w:color w:val="000000"/>
          <w:sz w:val="24"/>
          <w:szCs w:val="24"/>
          <w:highlight w:val="white"/>
          <w:lang w:val="en-GB" w:eastAsia="en-GB"/>
        </w:rPr>
        <w:t>the interoperability of the 112 eCall centre in Sofia with Belgium, Croatia and Romania has been tested successfully.</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Croatia, </w:t>
      </w:r>
      <w:r>
        <w:rPr>
          <w:rFonts w:ascii="Times New Roman" w:eastAsia="Times New Roman" w:hAnsi="Times New Roman" w:cs="Times New Roman"/>
          <w:noProof/>
          <w:color w:val="000000"/>
          <w:sz w:val="24"/>
          <w:szCs w:val="24"/>
          <w:highlight w:val="white"/>
          <w:lang w:val="en-GB" w:eastAsia="en-GB"/>
        </w:rPr>
        <w:t>establishment of the eCall system and information services for safe and secure parking for trucks and commercial vehicles and the corresponding reservations system.</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w:t>
      </w:r>
      <w:r>
        <w:rPr>
          <w:rFonts w:ascii="Times New Roman" w:eastAsia="Times New Roman" w:hAnsi="Times New Roman" w:cs="Times New Roman"/>
          <w:b/>
          <w:noProof/>
          <w:color w:val="000000"/>
          <w:sz w:val="24"/>
          <w:szCs w:val="24"/>
          <w:highlight w:val="white"/>
          <w:lang w:val="en-GB" w:eastAsia="en-GB"/>
        </w:rPr>
        <w:t xml:space="preserve"> Denmark, </w:t>
      </w:r>
      <w:r>
        <w:rPr>
          <w:rFonts w:ascii="Times New Roman" w:eastAsia="Times New Roman" w:hAnsi="Times New Roman" w:cs="Times New Roman"/>
          <w:noProof/>
          <w:color w:val="000000"/>
          <w:sz w:val="24"/>
          <w:szCs w:val="24"/>
          <w:highlight w:val="white"/>
          <w:lang w:val="en-GB" w:eastAsia="en-GB"/>
        </w:rPr>
        <w:t>traffic information (traffic density, present and predicted travel time, average speed) and management systems (variable message signs used for warnings and speed harmonisation) are present on ever more roads.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Estonia</w:t>
      </w:r>
      <w:r>
        <w:rPr>
          <w:rFonts w:ascii="Times New Roman" w:eastAsia="Times New Roman" w:hAnsi="Times New Roman" w:cs="Times New Roman"/>
          <w:noProof/>
          <w:color w:val="000000"/>
          <w:sz w:val="24"/>
          <w:szCs w:val="24"/>
          <w:highlight w:val="white"/>
          <w:lang w:val="en-GB" w:eastAsia="en-GB"/>
        </w:rPr>
        <w:t xml:space="preserve"> plans automated traffic surveillance and accident management system upgrades. Initiatives to share private parking lots and secure bicycle parking, bike sharing and charging electric bicycles.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Finland </w:t>
      </w:r>
      <w:r>
        <w:rPr>
          <w:rFonts w:ascii="Times New Roman" w:eastAsia="Times New Roman" w:hAnsi="Times New Roman" w:cs="Times New Roman"/>
          <w:noProof/>
          <w:color w:val="000000"/>
          <w:sz w:val="24"/>
          <w:szCs w:val="24"/>
          <w:highlight w:val="white"/>
          <w:lang w:val="en-GB" w:eastAsia="en-GB"/>
        </w:rPr>
        <w:t>participated in the HeERO 1 project for testing eCall. The NOSCIFEL programme exchanges secured information on goods transport and logistics.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In </w:t>
      </w:r>
      <w:r>
        <w:rPr>
          <w:rFonts w:ascii="Times New Roman" w:eastAsia="Times New Roman" w:hAnsi="Times New Roman" w:cs="Times New Roman"/>
          <w:b/>
          <w:noProof/>
          <w:color w:val="000000"/>
          <w:sz w:val="24"/>
          <w:szCs w:val="24"/>
          <w:highlight w:val="white"/>
          <w:lang w:val="en-GB" w:eastAsia="en-GB"/>
        </w:rPr>
        <w:t xml:space="preserve">France, </w:t>
      </w:r>
      <w:r>
        <w:rPr>
          <w:rFonts w:ascii="Times New Roman" w:eastAsia="Times New Roman" w:hAnsi="Times New Roman" w:cs="Times New Roman"/>
          <w:noProof/>
          <w:color w:val="000000"/>
          <w:sz w:val="24"/>
          <w:szCs w:val="24"/>
          <w:highlight w:val="white"/>
          <w:lang w:val="en-GB" w:eastAsia="en-GB"/>
        </w:rPr>
        <w:t>the provision of information services for safe and secure parking places for trucks and commercial vehicles is envisaged for the whole national road network.</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Germany </w:t>
      </w:r>
      <w:r>
        <w:rPr>
          <w:rFonts w:ascii="Times New Roman" w:eastAsia="Times New Roman" w:hAnsi="Times New Roman" w:cs="Times New Roman"/>
          <w:noProof/>
          <w:color w:val="000000"/>
          <w:sz w:val="24"/>
          <w:szCs w:val="24"/>
          <w:highlight w:val="white"/>
          <w:lang w:val="en-GB" w:eastAsia="en-GB"/>
        </w:rPr>
        <w:t>invested 175Mio € in traffic management systems and is progressing with eCall deployment. Up to 200km of roads will be equipped with Truck parking guidance systems.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Greece </w:t>
      </w:r>
      <w:r>
        <w:rPr>
          <w:rFonts w:ascii="Times New Roman" w:eastAsia="Times New Roman" w:hAnsi="Times New Roman" w:cs="Times New Roman"/>
          <w:noProof/>
          <w:color w:val="000000"/>
          <w:sz w:val="24"/>
          <w:szCs w:val="24"/>
          <w:highlight w:val="white"/>
          <w:lang w:val="en-GB" w:eastAsia="en-GB"/>
        </w:rPr>
        <w:t>plans actions on the provision of information of road safety related information to motorists and the deployment of the eCall system is underway.</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Hungary</w:t>
      </w:r>
      <w:r>
        <w:rPr>
          <w:rFonts w:ascii="Times New Roman" w:eastAsia="Times New Roman" w:hAnsi="Times New Roman" w:cs="Times New Roman"/>
          <w:noProof/>
          <w:color w:val="000000"/>
          <w:sz w:val="24"/>
          <w:szCs w:val="24"/>
          <w:highlight w:val="white"/>
          <w:lang w:val="en-GB" w:eastAsia="en-GB"/>
        </w:rPr>
        <w:t xml:space="preserve"> reports work on Static &amp; Real-Time Information Services for parking systems on </w:t>
      </w:r>
      <w:r>
        <w:rPr>
          <w:rFonts w:ascii="Times New Roman" w:eastAsia="Times New Roman" w:hAnsi="Times New Roman" w:cs="Times New Roman"/>
          <w:noProof/>
          <w:color w:val="000000"/>
          <w:sz w:val="24"/>
          <w:szCs w:val="24"/>
          <w:lang w:val="en-GB" w:eastAsia="en-GB"/>
        </w:rPr>
        <w:t>Trans-European Transport Networks (</w:t>
      </w:r>
      <w:r>
        <w:rPr>
          <w:rFonts w:ascii="Times New Roman" w:eastAsia="Times New Roman" w:hAnsi="Times New Roman" w:cs="Times New Roman"/>
          <w:noProof/>
          <w:color w:val="000000"/>
          <w:sz w:val="24"/>
          <w:szCs w:val="24"/>
          <w:highlight w:val="white"/>
          <w:lang w:val="en-GB" w:eastAsia="en-GB"/>
        </w:rPr>
        <w:t>TEN-T) corridors and the build-up of eCall base infrastructure.</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Italy</w:t>
      </w:r>
      <w:r>
        <w:rPr>
          <w:rFonts w:ascii="Times New Roman" w:eastAsia="Times New Roman" w:hAnsi="Times New Roman" w:cs="Times New Roman"/>
          <w:noProof/>
          <w:color w:val="000000"/>
          <w:sz w:val="24"/>
          <w:szCs w:val="24"/>
          <w:highlight w:val="white"/>
          <w:lang w:val="en-GB" w:eastAsia="en-GB"/>
        </w:rPr>
        <w:t xml:space="preserve"> is developing the national eCall system and ITS systems for the management and monitoring of dangerous goods.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Latvia </w:t>
      </w:r>
      <w:r>
        <w:rPr>
          <w:rFonts w:ascii="Times New Roman" w:eastAsia="Times New Roman" w:hAnsi="Times New Roman" w:cs="Times New Roman"/>
          <w:noProof/>
          <w:color w:val="000000"/>
          <w:sz w:val="24"/>
          <w:szCs w:val="24"/>
          <w:highlight w:val="white"/>
          <w:lang w:val="en-GB" w:eastAsia="en-GB"/>
        </w:rPr>
        <w:t>considers the implementation eCall as a high national priority.</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Lithuania </w:t>
      </w:r>
      <w:r>
        <w:rPr>
          <w:rFonts w:ascii="Times New Roman" w:eastAsia="Times New Roman" w:hAnsi="Times New Roman" w:cs="Times New Roman"/>
          <w:noProof/>
          <w:color w:val="000000"/>
          <w:sz w:val="24"/>
          <w:szCs w:val="24"/>
          <w:highlight w:val="white"/>
          <w:lang w:val="en-GB" w:eastAsia="en-GB"/>
        </w:rPr>
        <w:t>worked on technical specifications for final eCall installation.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Luxemburg </w:t>
      </w:r>
      <w:r>
        <w:rPr>
          <w:rFonts w:ascii="Times New Roman" w:eastAsia="Times New Roman" w:hAnsi="Times New Roman" w:cs="Times New Roman"/>
          <w:noProof/>
          <w:color w:val="000000"/>
          <w:sz w:val="24"/>
          <w:szCs w:val="24"/>
          <w:highlight w:val="white"/>
          <w:lang w:val="en-GB" w:eastAsia="en-GB"/>
        </w:rPr>
        <w:t>plans a computerised system for one parking area.</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Malta </w:t>
      </w:r>
      <w:r>
        <w:rPr>
          <w:rFonts w:ascii="Times New Roman" w:eastAsia="Times New Roman" w:hAnsi="Times New Roman" w:cs="Times New Roman"/>
          <w:noProof/>
          <w:color w:val="000000"/>
          <w:sz w:val="24"/>
          <w:szCs w:val="24"/>
          <w:highlight w:val="white"/>
          <w:lang w:val="en-GB" w:eastAsia="en-GB"/>
        </w:rPr>
        <w:t>observes guidelines for parking services.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The </w:t>
      </w:r>
      <w:r>
        <w:rPr>
          <w:rFonts w:ascii="Times New Roman" w:eastAsia="Times New Roman" w:hAnsi="Times New Roman" w:cs="Times New Roman"/>
          <w:b/>
          <w:noProof/>
          <w:color w:val="000000"/>
          <w:sz w:val="24"/>
          <w:szCs w:val="24"/>
          <w:highlight w:val="white"/>
          <w:lang w:val="en-GB" w:eastAsia="en-GB"/>
        </w:rPr>
        <w:t xml:space="preserve">Netherlands </w:t>
      </w:r>
      <w:r>
        <w:rPr>
          <w:rFonts w:ascii="Times New Roman" w:eastAsia="Times New Roman" w:hAnsi="Times New Roman" w:cs="Times New Roman"/>
          <w:noProof/>
          <w:color w:val="000000"/>
          <w:sz w:val="24"/>
          <w:szCs w:val="24"/>
          <w:highlight w:val="white"/>
          <w:lang w:val="en-GB" w:eastAsia="en-GB"/>
        </w:rPr>
        <w:t>completed HeERO 1 harmonised eCall pilot project. Weight-in-motion, AOS (anti-accident), Secure Lane (camera tracking) and DRIPS (dynamic route information panel) systems reported large benefits for society.</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Norway </w:t>
      </w:r>
      <w:r>
        <w:rPr>
          <w:rFonts w:ascii="Times New Roman" w:eastAsia="Times New Roman" w:hAnsi="Times New Roman" w:cs="Times New Roman"/>
          <w:noProof/>
          <w:color w:val="000000"/>
          <w:sz w:val="24"/>
          <w:szCs w:val="24"/>
          <w:highlight w:val="white"/>
          <w:lang w:val="en-GB" w:eastAsia="en-GB"/>
        </w:rPr>
        <w:t>plans to deploy the pan-European eCall service as of 1 January 2017 and 32 new rest places are to be built in 2014-2023.</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In </w:t>
      </w:r>
      <w:r>
        <w:rPr>
          <w:rFonts w:ascii="Times New Roman" w:eastAsia="Times New Roman" w:hAnsi="Times New Roman" w:cs="Times New Roman"/>
          <w:b/>
          <w:noProof/>
          <w:color w:val="000000"/>
          <w:sz w:val="24"/>
          <w:szCs w:val="24"/>
          <w:highlight w:val="white"/>
          <w:lang w:val="en-GB" w:eastAsia="en-GB"/>
        </w:rPr>
        <w:t>Poland,</w:t>
      </w:r>
      <w:r>
        <w:rPr>
          <w:rFonts w:ascii="Times New Roman" w:eastAsia="Times New Roman" w:hAnsi="Times New Roman" w:cs="Times New Roman"/>
          <w:noProof/>
          <w:color w:val="000000"/>
          <w:sz w:val="24"/>
          <w:szCs w:val="24"/>
          <w:highlight w:val="white"/>
          <w:lang w:val="en-GB" w:eastAsia="en-GB"/>
        </w:rPr>
        <w:t xml:space="preserve"> 17 centres of rescue information started dealing with all 112 calls - both 'classical' and eCall. </w:t>
      </w:r>
      <w:r>
        <w:rPr>
          <w:rFonts w:ascii="Times New Roman" w:eastAsia="Times New Roman" w:hAnsi="Times New Roman" w:cs="Times New Roman"/>
          <w:noProof/>
          <w:color w:val="000000"/>
          <w:sz w:val="24"/>
          <w:szCs w:val="24"/>
          <w:lang w:val="en-GB" w:eastAsia="en-GB"/>
        </w:rPr>
        <w:t>On-going installation of a central enforcement system – including speed cameras, weigh in motion, red light violation, etc.</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Portugal </w:t>
      </w:r>
      <w:r>
        <w:rPr>
          <w:rFonts w:ascii="Times New Roman" w:eastAsia="Times New Roman" w:hAnsi="Times New Roman" w:cs="Times New Roman"/>
          <w:noProof/>
          <w:color w:val="000000"/>
          <w:sz w:val="24"/>
          <w:szCs w:val="24"/>
          <w:highlight w:val="white"/>
          <w:lang w:val="en-GB" w:eastAsia="en-GB"/>
        </w:rPr>
        <w:t>established</w:t>
      </w:r>
      <w:r>
        <w:rPr>
          <w:rFonts w:ascii="Times New Roman" w:eastAsia="Times New Roman" w:hAnsi="Times New Roman" w:cs="Times New Roman"/>
          <w:noProof/>
          <w:color w:val="000000"/>
          <w:sz w:val="24"/>
          <w:szCs w:val="24"/>
          <w:lang w:val="en-GB" w:eastAsia="en-GB"/>
        </w:rPr>
        <w:t xml:space="preserve"> the legally binding requirements to engage the national stakeholders and set up a platform to implement eCall</w:t>
      </w:r>
      <w:r>
        <w:rPr>
          <w:rFonts w:ascii="Times New Roman" w:eastAsia="Times New Roman" w:hAnsi="Times New Roman" w:cs="Times New Roman"/>
          <w:noProof/>
          <w:color w:val="000000"/>
          <w:sz w:val="24"/>
          <w:szCs w:val="24"/>
          <w:highlight w:val="white"/>
          <w:lang w:val="en-GB" w:eastAsia="en-GB"/>
        </w:rPr>
        <w:t>.</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Romania </w:t>
      </w:r>
      <w:r>
        <w:rPr>
          <w:rFonts w:ascii="Times New Roman" w:eastAsia="Times New Roman" w:hAnsi="Times New Roman" w:cs="Times New Roman"/>
          <w:noProof/>
          <w:color w:val="000000"/>
          <w:sz w:val="24"/>
          <w:szCs w:val="24"/>
          <w:highlight w:val="white"/>
          <w:lang w:val="en-GB" w:eastAsia="en-GB"/>
        </w:rPr>
        <w:t>participated in HeERO (Harmonised eCall European Pilot) and is installing video surveillance systems, focused on urban areas.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Slovakia </w:t>
      </w:r>
      <w:r>
        <w:rPr>
          <w:rFonts w:ascii="Times New Roman" w:eastAsia="Times New Roman" w:hAnsi="Times New Roman" w:cs="Times New Roman"/>
          <w:noProof/>
          <w:color w:val="000000"/>
          <w:sz w:val="24"/>
          <w:szCs w:val="24"/>
          <w:highlight w:val="white"/>
          <w:lang w:val="en-GB" w:eastAsia="en-GB"/>
        </w:rPr>
        <w:t>focuses on precise positioning of transport incidents and redesigning accident black spots.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Slovenia</w:t>
      </w:r>
      <w:r>
        <w:rPr>
          <w:rFonts w:ascii="Times New Roman" w:eastAsia="Times New Roman" w:hAnsi="Times New Roman" w:cs="Times New Roman"/>
          <w:noProof/>
          <w:color w:val="000000"/>
          <w:sz w:val="24"/>
          <w:szCs w:val="24"/>
          <w:highlight w:val="white"/>
          <w:lang w:val="en-GB" w:eastAsia="en-GB"/>
        </w:rPr>
        <w:t xml:space="preserve"> implemented eCall on motorways, integrated into existing traffic information system and studies future possible functionalities (e.g. video calls planned, prototypes for automatic language recognition). Some (free of charge) public parking places are secured with video surveillance.</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Spain </w:t>
      </w:r>
      <w:r>
        <w:rPr>
          <w:rFonts w:ascii="Times New Roman" w:eastAsia="Times New Roman" w:hAnsi="Times New Roman" w:cs="Times New Roman"/>
          <w:noProof/>
          <w:color w:val="000000"/>
          <w:sz w:val="24"/>
          <w:szCs w:val="24"/>
          <w:highlight w:val="white"/>
          <w:lang w:val="en-GB" w:eastAsia="en-GB"/>
        </w:rPr>
        <w:t>was</w:t>
      </w:r>
      <w:r>
        <w:rPr>
          <w:rFonts w:ascii="Times New Roman" w:eastAsia="Times New Roman" w:hAnsi="Times New Roman" w:cs="Times New Roman"/>
          <w:b/>
          <w:noProof/>
          <w:color w:val="000000"/>
          <w:sz w:val="24"/>
          <w:szCs w:val="24"/>
          <w:highlight w:val="white"/>
          <w:lang w:val="en-GB" w:eastAsia="en-GB"/>
        </w:rPr>
        <w:t xml:space="preserve"> </w:t>
      </w:r>
      <w:r>
        <w:rPr>
          <w:rFonts w:ascii="Times New Roman" w:eastAsia="Times New Roman" w:hAnsi="Times New Roman" w:cs="Times New Roman"/>
          <w:noProof/>
          <w:color w:val="000000"/>
          <w:sz w:val="24"/>
          <w:szCs w:val="24"/>
          <w:highlight w:val="white"/>
          <w:lang w:val="en-GB" w:eastAsia="en-GB"/>
        </w:rPr>
        <w:t>involved in the project HeERO2 testing the harmonised European eCall system.</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The DGT is working on the establishment of a common set of minimum requirements for the provision of Intelligent Safe and Secure Truck Parking Information via VMS and web/apps.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In </w:t>
      </w:r>
      <w:r>
        <w:rPr>
          <w:rFonts w:ascii="Times New Roman" w:eastAsia="Times New Roman" w:hAnsi="Times New Roman" w:cs="Times New Roman"/>
          <w:b/>
          <w:noProof/>
          <w:color w:val="000000"/>
          <w:sz w:val="24"/>
          <w:szCs w:val="24"/>
          <w:highlight w:val="white"/>
          <w:lang w:val="en-GB" w:eastAsia="en-GB"/>
        </w:rPr>
        <w:t xml:space="preserve">Sweden, </w:t>
      </w:r>
      <w:r>
        <w:rPr>
          <w:rFonts w:ascii="Times New Roman" w:eastAsia="Times New Roman" w:hAnsi="Times New Roman" w:cs="Times New Roman"/>
          <w:noProof/>
          <w:color w:val="000000"/>
          <w:sz w:val="24"/>
          <w:szCs w:val="24"/>
          <w:highlight w:val="white"/>
          <w:lang w:val="en-GB" w:eastAsia="en-GB"/>
        </w:rPr>
        <w:t>since 2012, alco-locks are used as part of penalty and treatment for people convicted for drunk driving. It is also voluntarily implemented in some commercial fleets.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Sweden led an Impact Assessment proving the positive socio-economic effects of eCall.</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Sweden has set up a project for introducing the specification on secure truck parking, but does not foresee to provide truck parking on commercial basis nor reservation services.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UK </w:t>
      </w:r>
      <w:r>
        <w:rPr>
          <w:rFonts w:ascii="Times New Roman" w:eastAsia="Times New Roman" w:hAnsi="Times New Roman" w:cs="Times New Roman"/>
          <w:noProof/>
          <w:color w:val="000000"/>
          <w:sz w:val="24"/>
          <w:szCs w:val="24"/>
          <w:highlight w:val="white"/>
          <w:lang w:val="en-GB" w:eastAsia="en-GB"/>
        </w:rPr>
        <w:t>invested in enforcement (speed cameras, 3D scanners, Weigh in Motion (WIM) and Automatic Number Plate Recognition) and in Scotland PSAP1 is almost 112 eCall ready.</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In 2013 TfL published Safe Streets for London: speed cameras along the A13, pedestrian countdown timers, digital speed limit map, ITS trial on London buses planned in 2015, trials on collision detection, blind spot technology to be fitted on HGVs.</w:t>
      </w:r>
    </w:p>
    <w:p>
      <w:pPr>
        <w:spacing w:after="24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Highlights on the deployment of 112 eCall in the PSAPs (Public Safety Answering Points)</w:t>
      </w:r>
      <w:r>
        <w:rPr>
          <w:rFonts w:ascii="Times New Roman" w:eastAsia="Times New Roman" w:hAnsi="Times New Roman" w:cs="Times New Roman"/>
          <w:b/>
          <w:noProof/>
          <w:color w:val="000000"/>
          <w:sz w:val="24"/>
          <w:szCs w:val="24"/>
          <w:vertAlign w:val="superscript"/>
          <w:lang w:val="en-GB" w:eastAsia="en-GB"/>
        </w:rPr>
        <w:footnoteReference w:id="9"/>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Based on the reports of the ITS Directive, which almost all mentioned the need to implement eCall, and on the reports due under article 3 of Decision No 585/2014/EU (unfortunately only 11 reports received by the end of February 2016), the following picture can be drawn, as shown in figure 4:</w:t>
      </w:r>
    </w:p>
    <w:p>
      <w:pPr>
        <w:numPr>
          <w:ilvl w:val="0"/>
          <w:numId w:val="3"/>
        </w:numPr>
        <w:spacing w:after="240" w:line="276" w:lineRule="auto"/>
        <w:contextualSpacing/>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Five Member States are technically ready at PSAP level: Czech Republic, Croatia, Lithuania, Romania, Slovenia. Some activities may still be necessary regarding in particular conformance testing.</w:t>
      </w:r>
    </w:p>
    <w:p>
      <w:pPr>
        <w:numPr>
          <w:ilvl w:val="0"/>
          <w:numId w:val="3"/>
        </w:numPr>
        <w:spacing w:after="240" w:line="276" w:lineRule="auto"/>
        <w:contextualSpacing/>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Twelve Member States participate also currently in the two 2014 CEF projects I-HeERO</w:t>
      </w:r>
      <w:r>
        <w:rPr>
          <w:rFonts w:ascii="Times New Roman" w:eastAsia="Times New Roman" w:hAnsi="Times New Roman" w:cs="Times New Roman"/>
          <w:noProof/>
          <w:color w:val="000000"/>
          <w:sz w:val="24"/>
          <w:szCs w:val="24"/>
          <w:vertAlign w:val="superscript"/>
          <w:lang w:val="en-GB" w:eastAsia="en-GB"/>
        </w:rPr>
        <w:footnoteReference w:id="10"/>
      </w:r>
      <w:r>
        <w:rPr>
          <w:rFonts w:ascii="Times New Roman" w:eastAsia="Times New Roman" w:hAnsi="Times New Roman" w:cs="Times New Roman"/>
          <w:noProof/>
          <w:color w:val="000000"/>
          <w:sz w:val="24"/>
          <w:szCs w:val="24"/>
          <w:lang w:val="en-GB" w:eastAsia="en-GB"/>
        </w:rPr>
        <w:t xml:space="preserve"> and eCall.at</w:t>
      </w:r>
      <w:r>
        <w:rPr>
          <w:rFonts w:ascii="Times New Roman" w:eastAsia="Times New Roman" w:hAnsi="Times New Roman" w:cs="Times New Roman"/>
          <w:noProof/>
          <w:color w:val="000000"/>
          <w:sz w:val="24"/>
          <w:szCs w:val="24"/>
          <w:vertAlign w:val="superscript"/>
          <w:lang w:val="en-GB" w:eastAsia="en-GB"/>
        </w:rPr>
        <w:footnoteReference w:id="11"/>
      </w:r>
      <w:r>
        <w:rPr>
          <w:rFonts w:ascii="Times New Roman" w:eastAsia="Times New Roman" w:hAnsi="Times New Roman" w:cs="Times New Roman"/>
          <w:noProof/>
          <w:color w:val="000000"/>
          <w:sz w:val="24"/>
          <w:szCs w:val="24"/>
          <w:lang w:val="en-GB" w:eastAsia="en-GB"/>
        </w:rPr>
        <w:t>.</w:t>
      </w:r>
    </w:p>
    <w:p>
      <w:pPr>
        <w:numPr>
          <w:ilvl w:val="0"/>
          <w:numId w:val="3"/>
        </w:numPr>
        <w:spacing w:after="240" w:line="276" w:lineRule="auto"/>
        <w:contextualSpacing/>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Several other Member States (Estonia, Denmark, France, Hungary, Netherlands, Latvia) indicated on-going work and timeline in accordance with the deadline.</w:t>
      </w:r>
    </w:p>
    <w:p>
      <w:pPr>
        <w:numPr>
          <w:ilvl w:val="0"/>
          <w:numId w:val="3"/>
        </w:numPr>
        <w:spacing w:after="240" w:line="276" w:lineRule="auto"/>
        <w:contextualSpacing/>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Other Member States (Hungary, Poland, Spain, Sweden), although showing sometimes a very high level of activity (in particular through participation in HeERO I or II pilots), did not give concrete information about the timeline for real implementation.</w:t>
      </w:r>
    </w:p>
    <w:p>
      <w:pPr>
        <w:numPr>
          <w:ilvl w:val="0"/>
          <w:numId w:val="3"/>
        </w:numPr>
        <w:spacing w:after="240" w:line="276" w:lineRule="auto"/>
        <w:contextualSpacing/>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Remaining Member States (Belgium, Malta, United Kingdom except for Scotland) did not report any information about concrete plans for implementation of eCall in their PSAPs.</w:t>
      </w:r>
    </w:p>
    <w:p>
      <w:pPr>
        <w:numPr>
          <w:ilvl w:val="0"/>
          <w:numId w:val="3"/>
        </w:numPr>
        <w:spacing w:after="240" w:line="276" w:lineRule="auto"/>
        <w:contextualSpacing/>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Thanks to the HeERO I and II pilots, and now with the I-HeERO and eCall.at CEF projects, 19 Member States benefited from EU funding for the implementation of the 112 eCall in their PSAPs.</w:t>
      </w:r>
    </w:p>
    <w:p>
      <w:pPr>
        <w:spacing w:after="120" w:line="276" w:lineRule="auto"/>
        <w:jc w:val="center"/>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drawing>
          <wp:inline distT="0" distB="0" distL="0" distR="0">
            <wp:extent cx="4322618" cy="3057386"/>
            <wp:effectExtent l="0" t="0" r="1905" b="0"/>
            <wp:docPr id="19" name="Picture 19" descr="G:\C\3\01 ITS - Intelligent Transport Systems\04 - Directive Implementation\National reports 2014 (Progress on 2011)\Analysis\maps\eCa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G:\C\3\01 ITS - Intelligent Transport Systems\04 - Directive Implementation\National reports 2014 (Progress on 2011)\Analysis\maps\eCall5.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26379" cy="3060046"/>
                    </a:xfrm>
                    <a:prstGeom prst="rect">
                      <a:avLst/>
                    </a:prstGeom>
                    <a:noFill/>
                    <a:ln>
                      <a:noFill/>
                    </a:ln>
                  </pic:spPr>
                </pic:pic>
              </a:graphicData>
            </a:graphic>
          </wp:inline>
        </w:drawing>
      </w:r>
    </w:p>
    <w:p>
      <w:pPr>
        <w:spacing w:after="120" w:line="276" w:lineRule="auto"/>
        <w:jc w:val="center"/>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Figure 4: Deployment of 112 eCall in PSAPs in 2015</w:t>
      </w:r>
    </w:p>
    <w:p>
      <w:pPr>
        <w:spacing w:after="120" w:line="276" w:lineRule="auto"/>
        <w:rPr>
          <w:rFonts w:ascii="Times New Roman" w:eastAsia="Times New Roman" w:hAnsi="Times New Roman" w:cs="Times New Roman"/>
          <w:noProof/>
          <w:color w:val="000000"/>
          <w:sz w:val="24"/>
          <w:szCs w:val="24"/>
          <w:lang w:val="en-GB" w:eastAsia="en-GB"/>
        </w:rPr>
      </w:pP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Things are of course moving fast in this domain, as the deadline set in the eCall Decision comes nearer, and as this figure is based on data sometimes already ancient, the situation may have improved at the date of publication of this analysis. The information received until now shows a rather general commitment of the Member States towards the deployment of eCall in the PSAPs, but of course does not give yet a full picture of their future compliance with the deadline of 1</w:t>
      </w:r>
      <w:r>
        <w:rPr>
          <w:rFonts w:ascii="Times New Roman" w:eastAsia="Times New Roman" w:hAnsi="Times New Roman" w:cs="Times New Roman"/>
          <w:noProof/>
          <w:color w:val="000000"/>
          <w:sz w:val="24"/>
          <w:szCs w:val="24"/>
          <w:vertAlign w:val="superscript"/>
          <w:lang w:val="en-GB" w:eastAsia="en-GB"/>
        </w:rPr>
        <w:t>st</w:t>
      </w:r>
      <w:r>
        <w:rPr>
          <w:rFonts w:ascii="Times New Roman" w:eastAsia="Times New Roman" w:hAnsi="Times New Roman" w:cs="Times New Roman"/>
          <w:noProof/>
          <w:color w:val="000000"/>
          <w:sz w:val="24"/>
          <w:szCs w:val="24"/>
          <w:lang w:val="en-GB" w:eastAsia="en-GB"/>
        </w:rPr>
        <w:t xml:space="preserve"> October 2017.</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Highlights on the implementation of specifications (e)</w:t>
      </w:r>
      <w:r>
        <w:rPr>
          <w:rFonts w:ascii="Times New Roman" w:eastAsia="Times New Roman" w:hAnsi="Times New Roman" w:cs="Times New Roman"/>
          <w:b/>
          <w:noProof/>
          <w:color w:val="000000"/>
          <w:sz w:val="24"/>
          <w:szCs w:val="24"/>
          <w:vertAlign w:val="superscript"/>
          <w:lang w:val="en-GB" w:eastAsia="en-GB"/>
        </w:rPr>
        <w:footnoteReference w:id="12"/>
      </w:r>
      <w:r>
        <w:rPr>
          <w:rFonts w:ascii="Times New Roman" w:eastAsia="Times New Roman" w:hAnsi="Times New Roman" w:cs="Times New Roman"/>
          <w:b/>
          <w:noProof/>
          <w:color w:val="000000"/>
          <w:sz w:val="24"/>
          <w:szCs w:val="24"/>
          <w:lang w:val="en-GB" w:eastAsia="en-GB"/>
        </w:rPr>
        <w:t>: provision of information services for safe and secure parking places for trucks and commercial vehicles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Member States’ reports on these activities show steadily development across Europe.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German MDM Mobility data marketplace shall become the point of access of truck parking information. Until end of 2015 up to 200km of segments were reported to be equipment with Truck parking guidance systems.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Spain is working on the establishment of a common set of minimum requirements for the provision of Intelligent Safe and Secure Truck Parking Information via VMS and web based applications.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Sweden has set up a study for introducing the specification on secure truck parking. Sweden wants to make the best use of European initiatives on ITP - Intelligent Tuck Parking, but does not foresee to provide truck parking on a commercial basis nor reservation services. </w:t>
      </w:r>
    </w:p>
    <w:p>
      <w:pPr>
        <w:spacing w:after="120" w:line="276" w:lineRule="auto"/>
        <w:jc w:val="both"/>
        <w:rPr>
          <w:rFonts w:ascii="Times New Roman" w:eastAsia="Times New Roman" w:hAnsi="Times New Roman" w:cs="Times New Roman"/>
          <w:i/>
          <w:noProof/>
          <w:color w:val="000000"/>
          <w:sz w:val="24"/>
          <w:szCs w:val="24"/>
          <w:lang w:val="en-GB" w:eastAsia="en-GB"/>
        </w:rPr>
      </w:pPr>
      <w:r>
        <w:rPr>
          <w:rFonts w:ascii="Times New Roman" w:eastAsia="Times New Roman" w:hAnsi="Times New Roman" w:cs="Times New Roman"/>
          <w:i/>
          <w:noProof/>
          <w:color w:val="000000"/>
          <w:sz w:val="24"/>
          <w:szCs w:val="24"/>
          <w:lang w:val="en-GB" w:eastAsia="en-GB"/>
        </w:rPr>
        <w:t>Note: the European Commission is managing a European Access Point for Truck Parking Data to enable continuity of services. The European Access Point for Truck Parking aims to provide access to static safe &amp; secure truck parking data in DATEX II format. Already in March 2016, three Member States (Austria, Germany and Netherlands) have provided and published DATEX II truck parking data on the European Access Point.</w:t>
      </w:r>
    </w:p>
    <w:p>
      <w:pPr>
        <w:keepNext/>
        <w:keepLines/>
        <w:numPr>
          <w:ilvl w:val="1"/>
          <w:numId w:val="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13" w:name="_Toc18589001"/>
      <w:r>
        <w:rPr>
          <w:rFonts w:ascii="Times New Roman" w:eastAsia="Times New Roman" w:hAnsi="Times New Roman" w:cs="Times New Roman"/>
          <w:b/>
          <w:noProof/>
          <w:color w:val="000000"/>
          <w:sz w:val="24"/>
          <w:szCs w:val="24"/>
          <w:lang w:val="en-GB" w:eastAsia="en-GB"/>
        </w:rPr>
        <w:t>Priority Area IV: Linking the vehicle with the transport infrastructure</w:t>
      </w:r>
      <w:bookmarkEnd w:id="13"/>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stipulated in Annex I of the ITS Directive, priority area IV is focused upon ITS applications on open in-vehicle platforms and the development and implementation of cooperative systems including vehicle to vehicle, vehicle to infrastructure and infrastructure to infrastructure communication.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Overall less activity is reported in </w:t>
      </w:r>
      <w:r>
        <w:rPr>
          <w:rFonts w:ascii="Times New Roman" w:eastAsia="Times New Roman" w:hAnsi="Times New Roman" w:cs="Times New Roman"/>
          <w:b/>
          <w:noProof/>
          <w:color w:val="000000"/>
          <w:sz w:val="24"/>
          <w:szCs w:val="24"/>
          <w:lang w:val="en-GB" w:eastAsia="en-GB"/>
        </w:rPr>
        <w:t xml:space="preserve">priority area IV </w:t>
      </w:r>
      <w:r>
        <w:rPr>
          <w:rFonts w:ascii="Times New Roman" w:eastAsia="Times New Roman" w:hAnsi="Times New Roman" w:cs="Times New Roman"/>
          <w:noProof/>
          <w:color w:val="000000"/>
          <w:sz w:val="24"/>
          <w:szCs w:val="24"/>
          <w:lang w:val="en-GB" w:eastAsia="en-GB"/>
        </w:rPr>
        <w:t xml:space="preserve">than in other areas, though considerably more than in 2011. Some Member States are far more active, notably those that are involved in large C-ITS pilot deployment activities, where others are apparently waiting till the effectiveness and efficiency have been proved on such much larger scales. Others report increased interoperability or digitisation of tolling systems and some mention the EETS directive. Finally </w:t>
      </w:r>
      <w:r>
        <w:rPr>
          <w:rFonts w:ascii="Times New Roman" w:eastAsia="Times New Roman" w:hAnsi="Times New Roman" w:cs="Times New Roman"/>
          <w:noProof/>
          <w:color w:val="000000"/>
          <w:sz w:val="24"/>
          <w:szCs w:val="24"/>
          <w:highlight w:val="white"/>
          <w:lang w:val="en-GB" w:eastAsia="en-GB"/>
        </w:rPr>
        <w:t>some</w:t>
      </w:r>
      <w:r>
        <w:rPr>
          <w:rFonts w:ascii="Times New Roman" w:eastAsia="Times New Roman" w:hAnsi="Times New Roman" w:cs="Times New Roman"/>
          <w:noProof/>
          <w:color w:val="000000"/>
          <w:sz w:val="24"/>
          <w:szCs w:val="24"/>
          <w:lang w:val="en-GB" w:eastAsia="en-GB"/>
        </w:rPr>
        <w:t xml:space="preserve"> Member States report testing activities in automation, which also has an impact on infrastructure. Examples of interesting initiatives are listed hereafter.</w:t>
      </w:r>
    </w:p>
    <w:p>
      <w:pPr>
        <w:keepNext/>
        <w:spacing w:after="240" w:line="276" w:lineRule="auto"/>
        <w:ind w:left="-240"/>
        <w:jc w:val="center"/>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object w:dxaOrig="9411" w:dyaOrig="3756">
          <v:shape id="_x0000_i1029" type="#_x0000_t75" style="width:469.35pt;height:186.8pt" o:ole="">
            <v:imagedata r:id="rId28" o:title=""/>
          </v:shape>
          <o:OLEObject Type="Embed" ProgID="Word.Document.12" ShapeID="_x0000_i1029" DrawAspect="Content" ObjectID="_1632036762" r:id="rId29">
            <o:FieldCodes>\s</o:FieldCodes>
          </o:OLEObject>
        </w:object>
      </w:r>
      <w:r>
        <w:rPr>
          <w:rFonts w:ascii="Times New Roman" w:eastAsia="Times New Roman" w:hAnsi="Times New Roman" w:cs="Times New Roman"/>
          <w:b/>
          <w:noProof/>
          <w:color w:val="000000"/>
          <w:sz w:val="24"/>
          <w:szCs w:val="24"/>
          <w:lang w:val="en-GB" w:eastAsia="en-GB"/>
        </w:rPr>
        <w:t>Figure 5 : Priority Area IV – Evolution 2011-2014</w:t>
      </w:r>
    </w:p>
    <w:p>
      <w:pPr>
        <w:spacing w:after="0" w:line="276" w:lineRule="auto"/>
        <w:jc w:val="both"/>
        <w:rPr>
          <w:rFonts w:ascii="Times New Roman" w:eastAsia="Times New Roman" w:hAnsi="Times New Roman" w:cs="Times New Roman"/>
          <w:noProof/>
          <w:color w:val="000000"/>
          <w:sz w:val="24"/>
          <w:szCs w:val="24"/>
          <w:lang w:val="en-GB" w:eastAsia="en-GB"/>
        </w:rPr>
      </w:pP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Austria</w:t>
      </w:r>
      <w:r>
        <w:rPr>
          <w:rFonts w:ascii="Times New Roman" w:eastAsia="Times New Roman" w:hAnsi="Times New Roman" w:cs="Times New Roman"/>
          <w:noProof/>
          <w:color w:val="000000"/>
          <w:sz w:val="24"/>
          <w:szCs w:val="24"/>
          <w:highlight w:val="white"/>
          <w:lang w:val="en-GB" w:eastAsia="en-GB"/>
        </w:rPr>
        <w:t xml:space="preserve"> is very active in the field of cooperative services and systems with demonstration activities in Greater Vienna and participation in the C-ITS Corridor Rotterdam-Frankfurt-Vienna.</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Croatia</w:t>
      </w:r>
      <w:r>
        <w:rPr>
          <w:rFonts w:ascii="Times New Roman" w:eastAsia="Times New Roman" w:hAnsi="Times New Roman" w:cs="Times New Roman"/>
          <w:noProof/>
          <w:color w:val="000000"/>
          <w:sz w:val="24"/>
          <w:szCs w:val="24"/>
          <w:highlight w:val="white"/>
          <w:lang w:val="en-GB" w:eastAsia="en-GB"/>
        </w:rPr>
        <w:t xml:space="preserve"> launched the national programme for monitoring of cooperative systems in road traffic in the European Union.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Czech Republic</w:t>
      </w:r>
      <w:r>
        <w:rPr>
          <w:rFonts w:ascii="Times New Roman" w:eastAsia="Times New Roman" w:hAnsi="Times New Roman" w:cs="Times New Roman"/>
          <w:noProof/>
          <w:color w:val="000000"/>
          <w:sz w:val="24"/>
          <w:szCs w:val="24"/>
          <w:lang w:val="en-GB" w:eastAsia="en-GB"/>
        </w:rPr>
        <w:t xml:space="preserve"> has completed a project regarding increasing road safety by the use of cooperative systems, looking into questions of design and implementation of V2V and V2I.</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Estonia</w:t>
      </w:r>
      <w:r>
        <w:rPr>
          <w:rFonts w:ascii="Times New Roman" w:eastAsia="Times New Roman" w:hAnsi="Times New Roman" w:cs="Times New Roman"/>
          <w:noProof/>
          <w:color w:val="000000"/>
          <w:sz w:val="24"/>
          <w:szCs w:val="24"/>
          <w:highlight w:val="white"/>
          <w:lang w:val="en-GB" w:eastAsia="en-GB"/>
        </w:rPr>
        <w:t xml:space="preserve"> intends to implement dynamic traffic regulation with adjustable speed limits.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France</w:t>
      </w:r>
      <w:r>
        <w:rPr>
          <w:rFonts w:ascii="Times New Roman" w:eastAsia="Times New Roman" w:hAnsi="Times New Roman" w:cs="Times New Roman"/>
          <w:noProof/>
          <w:color w:val="000000"/>
          <w:sz w:val="24"/>
          <w:szCs w:val="24"/>
          <w:highlight w:val="white"/>
          <w:lang w:val="en-GB" w:eastAsia="en-GB"/>
        </w:rPr>
        <w:t xml:space="preserve"> supports standards on (real-time) connectivity of vehicles (New ISO Work Item Proposal N3401 "Extended vehicle Methodology") and is also very active in testing of C-ITS systems, SCORE@F and COMPASS4D were finalised, and SCOOP@F, a large pilot deployment project was launched, </w:t>
      </w:r>
      <w:r>
        <w:rPr>
          <w:rFonts w:ascii="Times New Roman" w:eastAsia="Times New Roman" w:hAnsi="Times New Roman" w:cs="Times New Roman"/>
          <w:noProof/>
          <w:color w:val="000000"/>
          <w:sz w:val="24"/>
          <w:szCs w:val="24"/>
          <w:lang w:val="en-GB" w:eastAsia="en-GB"/>
        </w:rPr>
        <w:t>including large scale testing in 2016 of Co Sy in different configurations (motorway, road, urban), in view of possible national deployment as from 2017.</w:t>
      </w:r>
      <w:r>
        <w:rPr>
          <w:rFonts w:ascii="Times New Roman" w:eastAsia="Times New Roman" w:hAnsi="Times New Roman" w:cs="Times New Roman"/>
          <w:noProof/>
          <w:color w:val="000000"/>
          <w:sz w:val="24"/>
          <w:szCs w:val="24"/>
          <w:highlight w:val="white"/>
          <w:lang w:val="en-GB" w:eastAsia="en-GB"/>
        </w:rPr>
        <w:t>.</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Germany </w:t>
      </w:r>
      <w:r>
        <w:rPr>
          <w:rFonts w:ascii="Times New Roman" w:eastAsia="Times New Roman" w:hAnsi="Times New Roman" w:cs="Times New Roman"/>
          <w:noProof/>
          <w:color w:val="000000"/>
          <w:sz w:val="24"/>
          <w:szCs w:val="24"/>
          <w:highlight w:val="white"/>
          <w:lang w:val="en-GB" w:eastAsia="en-GB"/>
        </w:rPr>
        <w:t>is a partner in the C-ITS-Corridor Rotterdam – Frankfurt/Main – Vienna, where the first C-ITS applications for road works construction trailers will be implemented.</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In </w:t>
      </w:r>
      <w:r>
        <w:rPr>
          <w:rFonts w:ascii="Times New Roman" w:eastAsia="Times New Roman" w:hAnsi="Times New Roman" w:cs="Times New Roman"/>
          <w:b/>
          <w:noProof/>
          <w:color w:val="000000"/>
          <w:sz w:val="24"/>
          <w:szCs w:val="24"/>
          <w:highlight w:val="white"/>
          <w:lang w:val="en-GB" w:eastAsia="en-GB"/>
        </w:rPr>
        <w:t xml:space="preserve">Greece, </w:t>
      </w:r>
      <w:r>
        <w:rPr>
          <w:rFonts w:ascii="Times New Roman" w:eastAsia="Times New Roman" w:hAnsi="Times New Roman" w:cs="Times New Roman"/>
          <w:noProof/>
          <w:color w:val="000000"/>
          <w:sz w:val="24"/>
          <w:szCs w:val="24"/>
          <w:highlight w:val="white"/>
          <w:lang w:val="en-GB" w:eastAsia="en-GB"/>
        </w:rPr>
        <w:t>the interoperable Tolling System (GRITS) allows the use of the same transponder at all electronic toll lanes of the participating motorways.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In </w:t>
      </w:r>
      <w:r>
        <w:rPr>
          <w:rFonts w:ascii="Times New Roman" w:eastAsia="Times New Roman" w:hAnsi="Times New Roman" w:cs="Times New Roman"/>
          <w:b/>
          <w:noProof/>
          <w:color w:val="000000"/>
          <w:sz w:val="24"/>
          <w:szCs w:val="24"/>
          <w:highlight w:val="white"/>
          <w:lang w:val="en-GB" w:eastAsia="en-GB"/>
        </w:rPr>
        <w:t xml:space="preserve">Hungary, </w:t>
      </w:r>
      <w:r>
        <w:rPr>
          <w:rFonts w:ascii="Times New Roman" w:eastAsia="Times New Roman" w:hAnsi="Times New Roman" w:cs="Times New Roman"/>
          <w:noProof/>
          <w:color w:val="000000"/>
          <w:sz w:val="24"/>
          <w:szCs w:val="24"/>
          <w:highlight w:val="white"/>
          <w:lang w:val="en-GB" w:eastAsia="en-GB"/>
        </w:rPr>
        <w:t>the electronic distance-based toll system (DTS) has been introduced on 6,500 km of the Hungarian public road network (motorways, highways, main roads).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Ireland</w:t>
      </w:r>
      <w:r>
        <w:rPr>
          <w:rFonts w:ascii="Times New Roman" w:eastAsia="Times New Roman" w:hAnsi="Times New Roman" w:cs="Times New Roman"/>
          <w:noProof/>
          <w:color w:val="000000"/>
          <w:sz w:val="24"/>
          <w:szCs w:val="24"/>
          <w:highlight w:val="white"/>
          <w:lang w:val="en-GB" w:eastAsia="en-GB"/>
        </w:rPr>
        <w:t xml:space="preserve"> has tolling interoperability in place for some time, also taking into account the requirements of EETS, and is evaluating Ghost Driver Signs pilots.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Latvia </w:t>
      </w:r>
      <w:r>
        <w:rPr>
          <w:rFonts w:ascii="Times New Roman" w:eastAsia="Times New Roman" w:hAnsi="Times New Roman" w:cs="Times New Roman"/>
          <w:noProof/>
          <w:color w:val="000000"/>
          <w:sz w:val="24"/>
          <w:szCs w:val="24"/>
          <w:highlight w:val="white"/>
          <w:lang w:val="en-GB" w:eastAsia="en-GB"/>
        </w:rPr>
        <w:t>reported some implementation actions, such as roadside sensing and traffic control.</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Netherlands</w:t>
      </w:r>
      <w:r>
        <w:rPr>
          <w:rFonts w:ascii="Times New Roman" w:eastAsia="Times New Roman" w:hAnsi="Times New Roman" w:cs="Times New Roman"/>
          <w:noProof/>
          <w:color w:val="000000"/>
          <w:sz w:val="24"/>
          <w:szCs w:val="24"/>
          <w:highlight w:val="white"/>
          <w:lang w:val="en-GB" w:eastAsia="en-GB"/>
        </w:rPr>
        <w:t xml:space="preserve"> is very active in the area of cooperative systems and field operational tests (e.g. COMPASS4D, FREILOT, Brabant In-Car II, SENSOR CITY Mobility, APT, GREEN WAVE TEAM) are transitioning to actual implementation in the C-ITS corridor Rotterdam – Frankfurt/Main – Vienna.</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 xml:space="preserve">In </w:t>
      </w:r>
      <w:r>
        <w:rPr>
          <w:rFonts w:ascii="Times New Roman" w:eastAsia="Times New Roman" w:hAnsi="Times New Roman" w:cs="Times New Roman"/>
          <w:b/>
          <w:noProof/>
          <w:color w:val="000000"/>
          <w:sz w:val="24"/>
          <w:szCs w:val="24"/>
          <w:highlight w:val="white"/>
          <w:lang w:val="en-GB" w:eastAsia="en-GB"/>
        </w:rPr>
        <w:t xml:space="preserve">Norway, </w:t>
      </w:r>
      <w:r>
        <w:rPr>
          <w:rFonts w:ascii="Times New Roman" w:eastAsia="Times New Roman" w:hAnsi="Times New Roman" w:cs="Times New Roman"/>
          <w:noProof/>
          <w:color w:val="000000"/>
          <w:sz w:val="24"/>
          <w:szCs w:val="24"/>
          <w:highlight w:val="white"/>
          <w:lang w:val="en-GB" w:eastAsia="en-GB"/>
        </w:rPr>
        <w:t>the</w:t>
      </w:r>
      <w:r>
        <w:rPr>
          <w:rFonts w:ascii="Times New Roman" w:eastAsia="Times New Roman" w:hAnsi="Times New Roman" w:cs="Times New Roman"/>
          <w:b/>
          <w:noProof/>
          <w:color w:val="000000"/>
          <w:sz w:val="24"/>
          <w:szCs w:val="24"/>
          <w:highlight w:val="white"/>
          <w:lang w:val="en-GB" w:eastAsia="en-GB"/>
        </w:rPr>
        <w:t xml:space="preserve"> </w:t>
      </w:r>
      <w:r>
        <w:rPr>
          <w:rFonts w:ascii="Times New Roman" w:eastAsia="Times New Roman" w:hAnsi="Times New Roman" w:cs="Times New Roman"/>
          <w:noProof/>
          <w:color w:val="000000"/>
          <w:sz w:val="24"/>
          <w:szCs w:val="24"/>
          <w:highlight w:val="white"/>
          <w:lang w:val="en-GB" w:eastAsia="en-GB"/>
        </w:rPr>
        <w:t>integration of different ITS in an open in-vehicle platform is being tested and the AutoPASS tolling system is interoperable also cross-border. A test site for C-ITS systems has been set up in one city and cooperative weight in motion for trucks has been implemented.</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Poland </w:t>
      </w:r>
      <w:r>
        <w:rPr>
          <w:rFonts w:ascii="Times New Roman" w:eastAsia="Times New Roman" w:hAnsi="Times New Roman" w:cs="Times New Roman"/>
          <w:noProof/>
          <w:color w:val="000000"/>
          <w:sz w:val="24"/>
          <w:szCs w:val="24"/>
          <w:highlight w:val="white"/>
          <w:lang w:val="en-GB" w:eastAsia="en-GB"/>
        </w:rPr>
        <w:t>reports an extension of electronic tolling. Some regional projects related to integrated public transport management, red light violations and connectivity.</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In </w:t>
      </w:r>
      <w:r>
        <w:rPr>
          <w:rFonts w:ascii="Times New Roman" w:eastAsia="Times New Roman" w:hAnsi="Times New Roman" w:cs="Times New Roman"/>
          <w:b/>
          <w:noProof/>
          <w:color w:val="000000"/>
          <w:sz w:val="24"/>
          <w:szCs w:val="24"/>
          <w:highlight w:val="white"/>
          <w:lang w:val="en-GB" w:eastAsia="en-GB"/>
        </w:rPr>
        <w:t xml:space="preserve">Portugal </w:t>
      </w:r>
      <w:r>
        <w:rPr>
          <w:rFonts w:ascii="Times New Roman" w:eastAsia="Times New Roman" w:hAnsi="Times New Roman" w:cs="Times New Roman"/>
          <w:noProof/>
          <w:color w:val="000000"/>
          <w:sz w:val="24"/>
          <w:szCs w:val="24"/>
          <w:highlight w:val="white"/>
          <w:lang w:val="en-GB" w:eastAsia="en-GB"/>
        </w:rPr>
        <w:t>some concession holders have developed solutions and implemented pilot projects but no links with the EU activities at this stage.</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Slovakia </w:t>
      </w:r>
      <w:r>
        <w:rPr>
          <w:rFonts w:ascii="Times New Roman" w:eastAsia="Times New Roman" w:hAnsi="Times New Roman" w:cs="Times New Roman"/>
          <w:noProof/>
          <w:color w:val="000000"/>
          <w:sz w:val="24"/>
          <w:szCs w:val="24"/>
          <w:highlight w:val="white"/>
          <w:lang w:val="en-GB" w:eastAsia="en-GB"/>
        </w:rPr>
        <w:t>operates a satellite tolling system, whose data on traffic flows could be used for real-time traffic information, as well as planning transport upgrades and evaluating measures taken.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highlight w:val="white"/>
          <w:lang w:val="en-GB" w:eastAsia="en-GB"/>
        </w:rPr>
        <w:t xml:space="preserve">Slovenia </w:t>
      </w:r>
      <w:r>
        <w:rPr>
          <w:rFonts w:ascii="Times New Roman" w:eastAsia="Times New Roman" w:hAnsi="Times New Roman" w:cs="Times New Roman"/>
          <w:noProof/>
          <w:color w:val="000000"/>
          <w:sz w:val="24"/>
          <w:szCs w:val="24"/>
          <w:highlight w:val="white"/>
          <w:lang w:val="en-GB" w:eastAsia="en-GB"/>
        </w:rPr>
        <w:t>has some pilots on cooperative traffic management at local level (e.g. using DSRC for signal bus priority &amp; better info at bus stops in Ljubljana).</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In </w:t>
      </w:r>
      <w:r>
        <w:rPr>
          <w:rFonts w:ascii="Times New Roman" w:eastAsia="Times New Roman" w:hAnsi="Times New Roman" w:cs="Times New Roman"/>
          <w:b/>
          <w:noProof/>
          <w:color w:val="000000"/>
          <w:sz w:val="24"/>
          <w:szCs w:val="24"/>
          <w:highlight w:val="white"/>
          <w:lang w:val="en-GB" w:eastAsia="en-GB"/>
        </w:rPr>
        <w:t>Sweden,</w:t>
      </w:r>
      <w:r>
        <w:rPr>
          <w:rFonts w:ascii="Times New Roman" w:eastAsia="Times New Roman" w:hAnsi="Times New Roman" w:cs="Times New Roman"/>
          <w:noProof/>
          <w:color w:val="000000"/>
          <w:sz w:val="24"/>
          <w:szCs w:val="24"/>
          <w:highlight w:val="white"/>
          <w:lang w:val="en-GB" w:eastAsia="en-GB"/>
        </w:rPr>
        <w:t xml:space="preserve"> the Drive Me project will demonstrate the benefits of autonomous vehicles around Gothenburg, and advance the research on how cars can handle different traffic scenarios. A pre-study concluded that partly autonomous driving is within the limits of current legislation.</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highlight w:val="white"/>
          <w:lang w:val="en-GB" w:eastAsia="en-GB"/>
        </w:rPr>
        <w:t xml:space="preserve">In the </w:t>
      </w:r>
      <w:r>
        <w:rPr>
          <w:rFonts w:ascii="Times New Roman" w:eastAsia="Times New Roman" w:hAnsi="Times New Roman" w:cs="Times New Roman"/>
          <w:b/>
          <w:noProof/>
          <w:color w:val="000000"/>
          <w:sz w:val="24"/>
          <w:szCs w:val="24"/>
          <w:highlight w:val="white"/>
          <w:lang w:val="en-GB" w:eastAsia="en-GB"/>
        </w:rPr>
        <w:t xml:space="preserve">UK, </w:t>
      </w:r>
      <w:r>
        <w:rPr>
          <w:rFonts w:ascii="Times New Roman" w:eastAsia="Times New Roman" w:hAnsi="Times New Roman" w:cs="Times New Roman"/>
          <w:noProof/>
          <w:color w:val="000000"/>
          <w:sz w:val="24"/>
          <w:szCs w:val="24"/>
          <w:highlight w:val="white"/>
          <w:lang w:val="en-GB" w:eastAsia="en-GB"/>
        </w:rPr>
        <w:t xml:space="preserve">several initiatives on Cooperative Systems and autonomous vehicles: on-demand transport services, feasibility study on heavy vehicle platooning, Oxford Driverless Car Trials, smart pedestrian crossing and GNSS analysis of cyclists movements through London, </w:t>
      </w:r>
      <w:r>
        <w:rPr>
          <w:rFonts w:ascii="Times New Roman" w:eastAsia="Times New Roman" w:hAnsi="Times New Roman" w:cs="Times New Roman"/>
          <w:noProof/>
          <w:color w:val="000000"/>
          <w:sz w:val="24"/>
          <w:szCs w:val="24"/>
          <w:lang w:val="en-GB" w:eastAsia="en-GB"/>
        </w:rPr>
        <w:t>£10million Prize Fund announcement for a city for Driverless Cars.</w:t>
      </w:r>
    </w:p>
    <w:p>
      <w:pPr>
        <w:keepNext/>
        <w:keepLines/>
        <w:numPr>
          <w:ilvl w:val="0"/>
          <w:numId w:val="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14" w:name="_Toc18589002"/>
      <w:r>
        <w:rPr>
          <w:rFonts w:ascii="Times New Roman" w:eastAsia="Times New Roman" w:hAnsi="Times New Roman" w:cs="Times New Roman"/>
          <w:b/>
          <w:smallCaps/>
          <w:noProof/>
          <w:color w:val="000000"/>
          <w:sz w:val="24"/>
          <w:szCs w:val="24"/>
          <w:lang w:val="en-GB" w:eastAsia="en-GB"/>
        </w:rPr>
        <w:t>Conclusion</w:t>
      </w:r>
      <w:bookmarkEnd w:id="14"/>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The general trend is a positive evolution of the deployment of ITS at national level, for all four priority areas. Nevertheless, it is not clear how national activities can be linked to a general improvement in terms of overall interoperability of services across the EU, this could deserve a more specific reporting exercise which may be beyond the reach of purely national reporting.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addition, it is difficult to provide a clear picture at a specific date of this deployment, as the reports were transmitted for a period extending over a whole year, and also because the reports on the specifications were also due to different dates. This particular issue would advocate for a future simplification/aggregation of reporting duties in a future revision of the ITS legal framework.</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accordance with the recommendations set in the analysis of the 2011 reports, the progress reports provided much more information compared to the 2011 version, which allowed sometimes a better ranking for some Member States which were perhaps under-rated in 2011, but sometimes entailed artificial progression due to underestimated initial status.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Some limitations of the initial reports, e.g. the overlaps concerning the activities related to priority area I and II, still remain in the progress reports and therefore would perhaps benefit from more guidance before the drafting of the next reports.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Regarding specifically eCall, most of the Member States show a strong willingness to deliver the upgrade of their PSAPs infrastructure in time. Nevertheless, the information provided is often not sufficient to be able to judge if this will be really the case, and appropriate follow-up will certainly be needed.</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Priority area IV, which was clearly lagging behind in 2011, witnesses the emergence of many pilot projects for cooperative systems, which may confirm the appropriateness of the definition of a common legal and technical framework in order to ensure interoperability and continuity at EU level.</w:t>
      </w:r>
    </w:p>
    <w:p>
      <w:pPr>
        <w:keepNext/>
        <w:keepLines/>
        <w:numPr>
          <w:ilvl w:val="0"/>
          <w:numId w:val="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15" w:name="_Toc18589003"/>
      <w:r>
        <w:rPr>
          <w:rFonts w:ascii="Times New Roman" w:eastAsia="Times New Roman" w:hAnsi="Times New Roman" w:cs="Times New Roman"/>
          <w:b/>
          <w:smallCaps/>
          <w:noProof/>
          <w:color w:val="000000"/>
          <w:sz w:val="24"/>
          <w:szCs w:val="24"/>
          <w:lang w:val="en-GB" w:eastAsia="en-GB"/>
        </w:rPr>
        <w:t>Suggestions for next progress reports</w:t>
      </w:r>
      <w:r>
        <w:rPr>
          <w:rFonts w:ascii="Times New Roman" w:eastAsia="Times New Roman" w:hAnsi="Times New Roman" w:cs="Times New Roman"/>
          <w:b/>
          <w:smallCaps/>
          <w:noProof/>
          <w:color w:val="000000"/>
          <w:sz w:val="24"/>
          <w:szCs w:val="24"/>
          <w:vertAlign w:val="superscript"/>
          <w:lang w:val="en-GB" w:eastAsia="en-GB"/>
        </w:rPr>
        <w:footnoteReference w:id="13"/>
      </w:r>
      <w:bookmarkEnd w:id="15"/>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the light of the analysis of the 2014 national progress reports, the following remarks can be made in view of the follow-up reports due in 2017:</w:t>
      </w:r>
    </w:p>
    <w:p>
      <w:pPr>
        <w:numPr>
          <w:ilvl w:val="0"/>
          <w:numId w:val="1"/>
        </w:numPr>
        <w:spacing w:after="240" w:line="276" w:lineRule="auto"/>
        <w:ind w:hanging="360"/>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analysis by the Commission would be facilitated if Member States could more systematically follow the structure of the Guidelines on reporting and clearly distinguish the four different priority areas of Directive 2010/40/EU. Within these priority areas, a distinction between the six priority actions of the ITS Directive is also recommended. As this aspect was already mentioned in the analysis of the 2011 reports, a solution to overcome this issue would perhaps be to agree with Member States on a common report structure for 2017.</w:t>
      </w:r>
    </w:p>
    <w:p>
      <w:pPr>
        <w:numPr>
          <w:ilvl w:val="0"/>
          <w:numId w:val="1"/>
        </w:numPr>
        <w:spacing w:after="240" w:line="276" w:lineRule="auto"/>
        <w:ind w:hanging="360"/>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Many Member States followed the indications given in the context of the analysis of previous reports and hence shared more details about their national initiatives. In some cases, however, this has led to overly rich information being provided for a given series of numerous projects, without providing an overall picture at national level, in particular for the amount of equipment or investment figures. A common report structure, associated with common Key Performance Indicators (KPIs), may help in solving this issue by setting a common reporting framework, to be used on a voluntary basis.</w:t>
      </w:r>
    </w:p>
    <w:p>
      <w:pPr>
        <w:spacing w:after="240" w:line="240" w:lineRule="auto"/>
        <w:jc w:val="center"/>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_____________</w:t>
      </w:r>
    </w:p>
    <w:p>
      <w:pPr>
        <w:keepNext/>
        <w:keepLines/>
        <w:spacing w:before="240" w:after="240" w:line="240" w:lineRule="auto"/>
        <w:jc w:val="both"/>
        <w:outlineLvl w:val="0"/>
        <w:rPr>
          <w:rFonts w:ascii="Times New Roman" w:eastAsia="Times New Roman" w:hAnsi="Times New Roman" w:cs="Times New Roman"/>
          <w:b/>
          <w:smallCaps/>
          <w:noProof/>
          <w:color w:val="000000"/>
          <w:sz w:val="24"/>
          <w:szCs w:val="24"/>
          <w:lang w:val="en-GB" w:eastAsia="en-GB"/>
        </w:rPr>
      </w:pPr>
      <w:r>
        <w:rPr>
          <w:rFonts w:ascii="Times New Roman" w:eastAsia="Times New Roman" w:hAnsi="Times New Roman" w:cs="Times New Roman"/>
          <w:smallCaps/>
          <w:noProof/>
          <w:color w:val="000000"/>
          <w:sz w:val="24"/>
          <w:szCs w:val="24"/>
          <w:lang w:val="en-GB" w:eastAsia="en-GB"/>
        </w:rPr>
        <w:br w:type="page"/>
      </w:r>
      <w:bookmarkStart w:id="16" w:name="_Toc18589004"/>
      <w:r>
        <w:rPr>
          <w:rFonts w:ascii="Times New Roman" w:eastAsia="Times New Roman" w:hAnsi="Times New Roman" w:cs="Times New Roman"/>
          <w:b/>
          <w:smallCaps/>
          <w:noProof/>
          <w:color w:val="000000"/>
          <w:sz w:val="24"/>
          <w:szCs w:val="24"/>
          <w:lang w:val="en-GB" w:eastAsia="en-GB"/>
        </w:rPr>
        <w:t>B - Analysis of 2017 Reports on National Activities and Projects</w:t>
      </w:r>
      <w:bookmarkEnd w:id="16"/>
    </w:p>
    <w:p>
      <w:pPr>
        <w:keepNext/>
        <w:keepLines/>
        <w:numPr>
          <w:ilvl w:val="0"/>
          <w:numId w:val="4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17" w:name="_Toc18589005"/>
      <w:r>
        <w:rPr>
          <w:rFonts w:ascii="Times New Roman" w:eastAsia="Times New Roman" w:hAnsi="Times New Roman" w:cs="Times New Roman"/>
          <w:b/>
          <w:smallCaps/>
          <w:noProof/>
          <w:color w:val="000000"/>
          <w:sz w:val="24"/>
          <w:szCs w:val="24"/>
          <w:lang w:val="en-GB" w:eastAsia="en-GB"/>
        </w:rPr>
        <w:t>Introduction</w:t>
      </w:r>
      <w:bookmarkEnd w:id="17"/>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present document summarises the analysis of the national progress reports of 2017</w:t>
      </w:r>
      <w:r>
        <w:rPr>
          <w:rFonts w:ascii="Times New Roman" w:eastAsia="Times New Roman" w:hAnsi="Times New Roman" w:cs="Times New Roman"/>
          <w:noProof/>
          <w:color w:val="000000"/>
          <w:sz w:val="24"/>
          <w:szCs w:val="24"/>
          <w:vertAlign w:val="superscript"/>
          <w:lang w:val="en-GB" w:eastAsia="en-GB"/>
        </w:rPr>
        <w:footnoteReference w:id="14"/>
      </w:r>
      <w:r>
        <w:rPr>
          <w:rFonts w:ascii="Times New Roman" w:eastAsia="Times New Roman" w:hAnsi="Times New Roman" w:cs="Times New Roman"/>
          <w:noProof/>
          <w:color w:val="000000"/>
          <w:sz w:val="24"/>
          <w:szCs w:val="24"/>
          <w:lang w:val="en-GB" w:eastAsia="en-GB"/>
        </w:rPr>
        <w:t>, provided by the Member States as per Article 17(3) of Directive 2010/40/EU</w:t>
      </w:r>
      <w:r>
        <w:rPr>
          <w:rFonts w:ascii="Times New Roman" w:eastAsia="Times New Roman" w:hAnsi="Times New Roman" w:cs="Times New Roman"/>
          <w:noProof/>
          <w:color w:val="000000"/>
          <w:sz w:val="24"/>
          <w:szCs w:val="24"/>
          <w:vertAlign w:val="superscript"/>
          <w:lang w:val="en-GB" w:eastAsia="en-GB"/>
        </w:rPr>
        <w:footnoteReference w:id="15"/>
      </w:r>
      <w:r>
        <w:rPr>
          <w:rFonts w:ascii="Times New Roman" w:eastAsia="Times New Roman" w:hAnsi="Times New Roman" w:cs="Times New Roman"/>
          <w:noProof/>
          <w:color w:val="000000"/>
          <w:sz w:val="24"/>
          <w:szCs w:val="24"/>
          <w:lang w:val="en-GB" w:eastAsia="en-GB"/>
        </w:rPr>
        <w:t xml:space="preserve">.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guidelines for reporting, adopted as Commission Implementing Decision of 13.7.2011</w:t>
      </w:r>
      <w:r>
        <w:rPr>
          <w:rFonts w:ascii="Times New Roman" w:eastAsia="Times New Roman" w:hAnsi="Times New Roman" w:cs="Times New Roman"/>
          <w:noProof/>
          <w:color w:val="000000"/>
          <w:sz w:val="24"/>
          <w:szCs w:val="24"/>
          <w:vertAlign w:val="superscript"/>
          <w:lang w:val="en-GB" w:eastAsia="en-GB"/>
        </w:rPr>
        <w:footnoteReference w:id="16"/>
      </w:r>
      <w:r>
        <w:rPr>
          <w:rFonts w:ascii="Times New Roman" w:eastAsia="Times New Roman" w:hAnsi="Times New Roman" w:cs="Times New Roman"/>
          <w:noProof/>
          <w:color w:val="000000"/>
          <w:sz w:val="24"/>
          <w:szCs w:val="24"/>
          <w:lang w:val="en-GB" w:eastAsia="en-GB"/>
        </w:rPr>
        <w:t xml:space="preserve"> indicate that "The reports to be provided under Article 17(3) of Directive 2010/40/EU, hereinafter referred as ‘the progress reports’, should follow the same structure as the initial report and should highlight the progress made since the previous report."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This analysis takes also into account reports to be provided in 2016 and 2017 regarding the implementation of the already adopted specifications for the priority actions of the ITS Directive. In particular, Member States had to report on Delegated Regulation (EU) 2015/962 by 13 July 2017 and on Delegated Regulations (EU) 885/2013 and 886/2013 by 8 October 2017. These reports were sometimes integrated in the general report on the implementation of the ITS Directive or provided separately. Regarding eCall, reports due under Decision 585/2014/EU were taken into account, as well as information provided in the 2017 national progress reports.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This summary constitutes an overview of these national reports, based solely on their content and on the Commission’s understanding of these reports. Nevertheless, for some Member States the participation in EU-funded projects was taken into account even if they did not specifically mention it in their reports. Although this summary addresses the implementation of the different specifications adopted under the ITS Directive, this does not preclude further specific analysis of the implementation of the related Regulations and of the eCall Decision 585/2014/EU.</w:t>
      </w:r>
    </w:p>
    <w:p>
      <w:pPr>
        <w:keepNext/>
        <w:keepLines/>
        <w:numPr>
          <w:ilvl w:val="0"/>
          <w:numId w:val="4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18" w:name="_Toc18589006"/>
      <w:r>
        <w:rPr>
          <w:rFonts w:ascii="Times New Roman" w:eastAsia="Times New Roman" w:hAnsi="Times New Roman" w:cs="Times New Roman"/>
          <w:b/>
          <w:smallCaps/>
          <w:noProof/>
          <w:color w:val="000000"/>
          <w:sz w:val="24"/>
          <w:szCs w:val="24"/>
          <w:lang w:val="en-GB" w:eastAsia="en-GB"/>
        </w:rPr>
        <w:t>General observations</w:t>
      </w:r>
      <w:bookmarkEnd w:id="18"/>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Twenty-nine national progress reports have been received (28 Member States and Norway). Approximately one third of them did meet the deadline of the 27 August 2017. Reception of the remaining reports spanned until November 2018.</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line with the recommendations of the analysis of the 2014 reports, for the first time, a common reporting template</w:t>
      </w:r>
      <w:r>
        <w:rPr>
          <w:rFonts w:ascii="Times New Roman" w:eastAsia="Times New Roman" w:hAnsi="Times New Roman" w:cs="Times New Roman"/>
          <w:noProof/>
          <w:color w:val="000000"/>
          <w:sz w:val="24"/>
          <w:szCs w:val="24"/>
          <w:vertAlign w:val="superscript"/>
          <w:lang w:val="en-GB" w:eastAsia="en-GB"/>
        </w:rPr>
        <w:footnoteReference w:id="17"/>
      </w:r>
      <w:r>
        <w:rPr>
          <w:rFonts w:ascii="Times New Roman" w:eastAsia="Times New Roman" w:hAnsi="Times New Roman" w:cs="Times New Roman"/>
          <w:noProof/>
          <w:color w:val="000000"/>
          <w:sz w:val="24"/>
          <w:szCs w:val="24"/>
          <w:lang w:val="en-GB" w:eastAsia="en-GB"/>
        </w:rPr>
        <w:t xml:space="preserve"> was proposed by the Commission services, integrating the reporting obligations under the ITS Directive, but also the reporting obligations deriving from the different specifications for the priority actions adopted as Delegated acts supplementing the ITS Directive. In the same reporting template, Member States were invited for the first time to report on common deployment, benefits and financial ITS Key Performance Indicators (hereafter also referred to as “KPIs”)</w:t>
      </w:r>
      <w:r>
        <w:rPr>
          <w:rFonts w:ascii="Times New Roman" w:eastAsia="Times New Roman" w:hAnsi="Times New Roman" w:cs="Times New Roman"/>
          <w:noProof/>
          <w:color w:val="000000"/>
          <w:sz w:val="24"/>
          <w:szCs w:val="24"/>
          <w:vertAlign w:val="superscript"/>
          <w:lang w:val="en-GB" w:eastAsia="en-GB"/>
        </w:rPr>
        <w:footnoteReference w:id="18"/>
      </w:r>
      <w:r>
        <w:rPr>
          <w:rFonts w:ascii="Times New Roman" w:eastAsia="Times New Roman" w:hAnsi="Times New Roman" w:cs="Times New Roman"/>
          <w:noProof/>
          <w:color w:val="000000"/>
          <w:sz w:val="24"/>
          <w:szCs w:val="24"/>
          <w:lang w:val="en-GB" w:eastAsia="en-GB"/>
        </w:rPr>
        <w:t>.</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Thirteen national reports used the common reporting template, sometimes completed by other reports on the implementation of the specifications for the priority actions. Regarding the KPIs, the input of the Member States was rather limited (11 Member States and Norway reported at least partly on deployment KPIs, 4 at least partly on benefit KPIs and 8 at least partly on financial KPIs). As this was the first time that Member States were invited, on a voluntary basis, to provide KPIs, no comparison could be made with previous reports and this input can be considered as a starting point for the analysis of future reporting exercises. To be noted the strong correlation (75%) between the use of the common reporting template and the provision of KPIs.</w:t>
      </w:r>
    </w:p>
    <w:p>
      <w:pPr>
        <w:keepNext/>
        <w:keepLines/>
        <w:numPr>
          <w:ilvl w:val="0"/>
          <w:numId w:val="4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19" w:name="_Toc18589007"/>
      <w:r>
        <w:rPr>
          <w:rFonts w:ascii="Times New Roman" w:eastAsia="Times New Roman" w:hAnsi="Times New Roman" w:cs="Times New Roman"/>
          <w:b/>
          <w:smallCaps/>
          <w:noProof/>
          <w:color w:val="000000"/>
          <w:sz w:val="24"/>
          <w:szCs w:val="24"/>
          <w:lang w:val="en-GB" w:eastAsia="en-GB"/>
        </w:rPr>
        <w:t>Detailed Analysis</w:t>
      </w:r>
      <w:bookmarkEnd w:id="19"/>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In general the national reports provided a good overview of the Member States’ (best) practices. In comparison to the situation reported in 2014, the analysis shows a general progress in all four priority areas.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analysis of the national reports was structured along the four priority areas of the ITS Directive. The level or intensity of activity in each of the four priority areas was assessed on the basis of the information contained in the reports with a detailed comparison of the progress reported in 2014. This assessment resulted in the development of two colour coded tables reflecting the Member States’ level of activity in each priority area in 2017 and assessing the progress since 2014, based on the following codes and definitions:</w:t>
      </w:r>
    </w:p>
    <w:tbl>
      <w:tblPr>
        <w:tblStyle w:val="TableGrid"/>
        <w:tblW w:w="9322" w:type="dxa"/>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361"/>
        <w:gridCol w:w="3961"/>
      </w:tblGrid>
      <w:tr>
        <w:tc>
          <w:tcPr>
            <w:tcW w:w="5361" w:type="dxa"/>
          </w:tcPr>
          <w:p>
            <w:pPr>
              <w:spacing w:line="276" w:lineRule="auto"/>
              <w:rPr>
                <w:rFonts w:ascii="Times New Roman" w:eastAsia="Calibri" w:hAnsi="Times New Roman" w:cs="Times New Roman"/>
                <w:noProof/>
                <w:u w:val="single"/>
              </w:rPr>
            </w:pPr>
            <w:r>
              <w:rPr>
                <w:rFonts w:ascii="Times New Roman" w:eastAsia="Calibri" w:hAnsi="Times New Roman" w:cs="Times New Roman"/>
                <w:noProof/>
                <w:u w:val="single"/>
              </w:rPr>
              <w:t>Colour code for level of activity (2017):</w:t>
            </w:r>
          </w:p>
          <w:p>
            <w:pPr>
              <w:spacing w:line="276" w:lineRule="auto"/>
              <w:rPr>
                <w:rFonts w:ascii="Calibri" w:eastAsia="Calibri" w:hAnsi="Calibri" w:cs="Times New Roman"/>
                <w:noProof/>
                <w:u w:val="single"/>
              </w:rPr>
            </w:pPr>
          </w:p>
          <w:tbl>
            <w:tblPr>
              <w:tblW w:w="5140" w:type="dxa"/>
              <w:tblLook w:val="04A0" w:firstRow="1" w:lastRow="0" w:firstColumn="1" w:lastColumn="0" w:noHBand="0" w:noVBand="1"/>
            </w:tblPr>
            <w:tblGrid>
              <w:gridCol w:w="960"/>
              <w:gridCol w:w="4180"/>
            </w:tblGrid>
            <w:tr>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pPr>
                    <w:spacing w:after="0" w:line="240" w:lineRule="auto"/>
                    <w:jc w:val="center"/>
                    <w:rPr>
                      <w:rFonts w:ascii="Calibri" w:eastAsia="Times New Roman" w:hAnsi="Calibri" w:cs="Calibri"/>
                      <w:noProof/>
                      <w:color w:val="FFFFFF"/>
                      <w:lang w:val="en-GB" w:eastAsia="en-GB"/>
                    </w:rPr>
                  </w:pPr>
                  <w:r>
                    <w:rPr>
                      <w:rFonts w:ascii="Calibri" w:eastAsia="Times New Roman" w:hAnsi="Calibri" w:cs="Calibri"/>
                      <w:noProof/>
                      <w:color w:val="FFFFFF"/>
                      <w:lang w:val="en-GB" w:eastAsia="en-GB"/>
                    </w:rPr>
                    <w:t>1</w:t>
                  </w:r>
                </w:p>
              </w:tc>
              <w:tc>
                <w:tcPr>
                  <w:tcW w:w="418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noProof/>
                      <w:color w:val="000000"/>
                      <w:sz w:val="18"/>
                      <w:szCs w:val="18"/>
                      <w:lang w:val="en-GB" w:eastAsia="en-GB"/>
                    </w:rPr>
                  </w:pPr>
                  <w:r>
                    <w:rPr>
                      <w:rFonts w:ascii="Calibri" w:eastAsia="Times New Roman" w:hAnsi="Calibri" w:cs="Calibri"/>
                      <w:noProof/>
                      <w:color w:val="000000"/>
                      <w:sz w:val="18"/>
                      <w:szCs w:val="18"/>
                      <w:lang w:val="en-GB" w:eastAsia="en-GB"/>
                    </w:rPr>
                    <w:t>1 = very active = services deployed countrywide</w:t>
                  </w:r>
                </w:p>
              </w:tc>
            </w:tr>
            <w:tr>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9FF99"/>
                  <w:noWrap/>
                  <w:vAlign w:val="bottom"/>
                  <w:hideMark/>
                </w:tcPr>
                <w:p>
                  <w:pPr>
                    <w:spacing w:after="0" w:line="240" w:lineRule="auto"/>
                    <w:jc w:val="center"/>
                    <w:rPr>
                      <w:rFonts w:ascii="Calibri" w:eastAsia="Times New Roman" w:hAnsi="Calibri" w:cs="Calibri"/>
                      <w:noProof/>
                      <w:color w:val="FFFFFF"/>
                      <w:lang w:val="en-GB" w:eastAsia="en-GB"/>
                    </w:rPr>
                  </w:pPr>
                  <w:r>
                    <w:rPr>
                      <w:rFonts w:ascii="Calibri" w:eastAsia="Times New Roman" w:hAnsi="Calibri" w:cs="Calibri"/>
                      <w:noProof/>
                      <w:color w:val="FFFFFF"/>
                      <w:lang w:val="en-GB" w:eastAsia="en-GB"/>
                    </w:rPr>
                    <w:t>2</w:t>
                  </w:r>
                </w:p>
              </w:tc>
              <w:tc>
                <w:tcPr>
                  <w:tcW w:w="418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noProof/>
                      <w:color w:val="000000"/>
                      <w:sz w:val="18"/>
                      <w:szCs w:val="18"/>
                      <w:lang w:val="en-GB" w:eastAsia="en-GB"/>
                    </w:rPr>
                  </w:pPr>
                  <w:r>
                    <w:rPr>
                      <w:rFonts w:ascii="Calibri" w:eastAsia="Times New Roman" w:hAnsi="Calibri" w:cs="Calibri"/>
                      <w:noProof/>
                      <w:color w:val="000000"/>
                      <w:sz w:val="18"/>
                      <w:szCs w:val="18"/>
                      <w:lang w:val="en-GB" w:eastAsia="en-GB"/>
                    </w:rPr>
                    <w:t>2 = active = many projects and/or strategy in place</w:t>
                  </w:r>
                </w:p>
              </w:tc>
            </w:tr>
            <w:tr>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pPr>
                    <w:spacing w:after="0" w:line="240" w:lineRule="auto"/>
                    <w:jc w:val="center"/>
                    <w:rPr>
                      <w:rFonts w:ascii="Calibri" w:eastAsia="Times New Roman" w:hAnsi="Calibri" w:cs="Calibri"/>
                      <w:noProof/>
                      <w:color w:val="FFFFFF"/>
                      <w:lang w:val="en-GB" w:eastAsia="en-GB"/>
                    </w:rPr>
                  </w:pPr>
                  <w:r>
                    <w:rPr>
                      <w:rFonts w:ascii="Calibri" w:eastAsia="Times New Roman" w:hAnsi="Calibri" w:cs="Calibri"/>
                      <w:noProof/>
                      <w:color w:val="FFFFFF"/>
                      <w:lang w:val="en-GB" w:eastAsia="en-GB"/>
                    </w:rPr>
                    <w:t>3</w:t>
                  </w:r>
                </w:p>
              </w:tc>
              <w:tc>
                <w:tcPr>
                  <w:tcW w:w="418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noProof/>
                      <w:color w:val="000000"/>
                      <w:sz w:val="18"/>
                      <w:szCs w:val="18"/>
                      <w:lang w:val="en-GB" w:eastAsia="en-GB"/>
                    </w:rPr>
                  </w:pPr>
                  <w:r>
                    <w:rPr>
                      <w:rFonts w:ascii="Calibri" w:eastAsia="Times New Roman" w:hAnsi="Calibri" w:cs="Calibri"/>
                      <w:noProof/>
                      <w:color w:val="000000"/>
                      <w:sz w:val="18"/>
                      <w:szCs w:val="18"/>
                      <w:lang w:val="en-GB" w:eastAsia="en-GB"/>
                    </w:rPr>
                    <w:t>3 = less active = some projects</w:t>
                  </w:r>
                </w:p>
              </w:tc>
            </w:tr>
            <w:tr>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pPr>
                    <w:spacing w:after="0" w:line="240" w:lineRule="auto"/>
                    <w:jc w:val="center"/>
                    <w:rPr>
                      <w:rFonts w:ascii="Calibri" w:eastAsia="Times New Roman" w:hAnsi="Calibri" w:cs="Calibri"/>
                      <w:noProof/>
                      <w:color w:val="FFFFFF"/>
                      <w:lang w:val="en-GB" w:eastAsia="en-GB"/>
                    </w:rPr>
                  </w:pPr>
                  <w:r>
                    <w:rPr>
                      <w:rFonts w:ascii="Calibri" w:eastAsia="Times New Roman" w:hAnsi="Calibri" w:cs="Calibri"/>
                      <w:noProof/>
                      <w:color w:val="FFFFFF"/>
                      <w:lang w:val="en-GB" w:eastAsia="en-GB"/>
                    </w:rPr>
                    <w:t>4</w:t>
                  </w:r>
                </w:p>
              </w:tc>
              <w:tc>
                <w:tcPr>
                  <w:tcW w:w="418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noProof/>
                      <w:color w:val="000000"/>
                      <w:sz w:val="18"/>
                      <w:szCs w:val="18"/>
                      <w:lang w:val="en-GB" w:eastAsia="en-GB"/>
                    </w:rPr>
                  </w:pPr>
                  <w:r>
                    <w:rPr>
                      <w:rFonts w:ascii="Calibri" w:eastAsia="Times New Roman" w:hAnsi="Calibri" w:cs="Calibri"/>
                      <w:noProof/>
                      <w:color w:val="000000"/>
                      <w:sz w:val="18"/>
                      <w:szCs w:val="18"/>
                      <w:lang w:val="en-GB" w:eastAsia="en-GB"/>
                    </w:rPr>
                    <w:t>4 = no activities reported</w:t>
                  </w:r>
                </w:p>
              </w:tc>
            </w:tr>
          </w:tbl>
          <w:p>
            <w:pPr>
              <w:spacing w:line="276" w:lineRule="auto"/>
              <w:rPr>
                <w:rFonts w:ascii="Calibri" w:eastAsia="Calibri" w:hAnsi="Calibri" w:cs="Times New Roman"/>
                <w:noProof/>
              </w:rPr>
            </w:pPr>
          </w:p>
        </w:tc>
        <w:tc>
          <w:tcPr>
            <w:tcW w:w="3961" w:type="dxa"/>
          </w:tcPr>
          <w:p>
            <w:pPr>
              <w:spacing w:line="276" w:lineRule="auto"/>
              <w:rPr>
                <w:rFonts w:ascii="Times New Roman" w:eastAsia="Calibri" w:hAnsi="Times New Roman" w:cs="Times New Roman"/>
                <w:noProof/>
                <w:u w:val="single"/>
              </w:rPr>
            </w:pPr>
            <w:r>
              <w:rPr>
                <w:rFonts w:ascii="Times New Roman" w:eastAsia="Calibri" w:hAnsi="Times New Roman" w:cs="Times New Roman"/>
                <w:noProof/>
                <w:u w:val="single"/>
              </w:rPr>
              <w:t>Colour code for progress (2017 vs 2014)</w:t>
            </w:r>
          </w:p>
          <w:p>
            <w:pPr>
              <w:spacing w:line="276" w:lineRule="auto"/>
              <w:rPr>
                <w:rFonts w:ascii="Calibri" w:eastAsia="Calibri" w:hAnsi="Calibri" w:cs="Times New Roman"/>
                <w:noProof/>
                <w:u w:val="single"/>
              </w:rPr>
            </w:pPr>
          </w:p>
          <w:tbl>
            <w:tblPr>
              <w:tblW w:w="3420" w:type="dxa"/>
              <w:tblLook w:val="04A0" w:firstRow="1" w:lastRow="0" w:firstColumn="1" w:lastColumn="0" w:noHBand="0" w:noVBand="1"/>
            </w:tblPr>
            <w:tblGrid>
              <w:gridCol w:w="960"/>
              <w:gridCol w:w="2460"/>
            </w:tblGrid>
            <w:tr>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pPr>
                    <w:spacing w:after="0" w:line="240" w:lineRule="auto"/>
                    <w:jc w:val="center"/>
                    <w:rPr>
                      <w:rFonts w:ascii="Calibri" w:eastAsia="Times New Roman" w:hAnsi="Calibri" w:cs="Calibri"/>
                      <w:noProof/>
                      <w:color w:val="FFFFFF"/>
                      <w:lang w:val="en-GB" w:eastAsia="en-GB"/>
                    </w:rPr>
                  </w:pPr>
                  <w:r>
                    <w:rPr>
                      <w:rFonts w:ascii="Calibri" w:eastAsia="Times New Roman" w:hAnsi="Calibri" w:cs="Calibri"/>
                      <w:noProof/>
                      <w:color w:val="FFFFFF"/>
                      <w:lang w:val="en-GB" w:eastAsia="en-GB"/>
                    </w:rPr>
                    <w:t>1</w:t>
                  </w:r>
                </w:p>
              </w:tc>
              <w:tc>
                <w:tcPr>
                  <w:tcW w:w="24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noProof/>
                      <w:color w:val="000000"/>
                      <w:sz w:val="18"/>
                      <w:szCs w:val="18"/>
                      <w:lang w:val="en-GB" w:eastAsia="en-GB"/>
                    </w:rPr>
                  </w:pPr>
                  <w:r>
                    <w:rPr>
                      <w:rFonts w:ascii="Calibri" w:eastAsia="Times New Roman" w:hAnsi="Calibri" w:cs="Calibri"/>
                      <w:noProof/>
                      <w:color w:val="000000"/>
                      <w:sz w:val="18"/>
                      <w:szCs w:val="18"/>
                      <w:lang w:val="en-GB" w:eastAsia="en-GB"/>
                    </w:rPr>
                    <w:t>Value 1 = Excellent progress</w:t>
                  </w:r>
                </w:p>
              </w:tc>
            </w:tr>
            <w:tr>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99FF99"/>
                  <w:noWrap/>
                  <w:vAlign w:val="bottom"/>
                  <w:hideMark/>
                </w:tcPr>
                <w:p>
                  <w:pPr>
                    <w:spacing w:after="0" w:line="240" w:lineRule="auto"/>
                    <w:jc w:val="center"/>
                    <w:rPr>
                      <w:rFonts w:ascii="Calibri" w:eastAsia="Times New Roman" w:hAnsi="Calibri" w:cs="Calibri"/>
                      <w:noProof/>
                      <w:color w:val="FFFFFF"/>
                      <w:lang w:val="en-GB" w:eastAsia="en-GB"/>
                    </w:rPr>
                  </w:pPr>
                  <w:r>
                    <w:rPr>
                      <w:rFonts w:ascii="Calibri" w:eastAsia="Times New Roman" w:hAnsi="Calibri" w:cs="Calibri"/>
                      <w:noProof/>
                      <w:color w:val="FFFFFF"/>
                      <w:lang w:val="en-GB" w:eastAsia="en-GB"/>
                    </w:rPr>
                    <w:t>2</w:t>
                  </w:r>
                </w:p>
              </w:tc>
              <w:tc>
                <w:tcPr>
                  <w:tcW w:w="24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noProof/>
                      <w:color w:val="000000"/>
                      <w:sz w:val="18"/>
                      <w:szCs w:val="18"/>
                      <w:lang w:val="en-GB" w:eastAsia="en-GB"/>
                    </w:rPr>
                  </w:pPr>
                  <w:r>
                    <w:rPr>
                      <w:rFonts w:ascii="Calibri" w:eastAsia="Times New Roman" w:hAnsi="Calibri" w:cs="Calibri"/>
                      <w:noProof/>
                      <w:color w:val="000000"/>
                      <w:sz w:val="18"/>
                      <w:szCs w:val="18"/>
                      <w:lang w:val="en-GB" w:eastAsia="en-GB"/>
                    </w:rPr>
                    <w:t>Value 2 = Good progress</w:t>
                  </w:r>
                </w:p>
              </w:tc>
            </w:tr>
            <w:tr>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9900"/>
                  <w:noWrap/>
                  <w:vAlign w:val="bottom"/>
                  <w:hideMark/>
                </w:tcPr>
                <w:p>
                  <w:pPr>
                    <w:spacing w:after="0" w:line="240" w:lineRule="auto"/>
                    <w:jc w:val="center"/>
                    <w:rPr>
                      <w:rFonts w:ascii="Calibri" w:eastAsia="Times New Roman" w:hAnsi="Calibri" w:cs="Calibri"/>
                      <w:noProof/>
                      <w:color w:val="FFFFFF"/>
                      <w:lang w:val="en-GB" w:eastAsia="en-GB"/>
                    </w:rPr>
                  </w:pPr>
                  <w:r>
                    <w:rPr>
                      <w:rFonts w:ascii="Calibri" w:eastAsia="Times New Roman" w:hAnsi="Calibri" w:cs="Calibri"/>
                      <w:noProof/>
                      <w:color w:val="FFFFFF"/>
                      <w:lang w:val="en-GB" w:eastAsia="en-GB"/>
                    </w:rPr>
                    <w:t>3</w:t>
                  </w:r>
                </w:p>
              </w:tc>
              <w:tc>
                <w:tcPr>
                  <w:tcW w:w="24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noProof/>
                      <w:color w:val="000000"/>
                      <w:sz w:val="18"/>
                      <w:szCs w:val="18"/>
                      <w:lang w:val="en-GB" w:eastAsia="en-GB"/>
                    </w:rPr>
                  </w:pPr>
                  <w:r>
                    <w:rPr>
                      <w:rFonts w:ascii="Calibri" w:eastAsia="Times New Roman" w:hAnsi="Calibri" w:cs="Calibri"/>
                      <w:noProof/>
                      <w:color w:val="000000"/>
                      <w:sz w:val="18"/>
                      <w:szCs w:val="18"/>
                      <w:lang w:val="en-GB" w:eastAsia="en-GB"/>
                    </w:rPr>
                    <w:t>Value 3 = Some progress</w:t>
                  </w:r>
                </w:p>
              </w:tc>
            </w:tr>
            <w:tr>
              <w:trPr>
                <w:trHeight w:val="300"/>
              </w:trPr>
              <w:tc>
                <w:tcPr>
                  <w:tcW w:w="960" w:type="dxa"/>
                  <w:tcBorders>
                    <w:top w:val="single" w:sz="4" w:space="0" w:color="auto"/>
                    <w:left w:val="single" w:sz="4" w:space="0" w:color="auto"/>
                    <w:bottom w:val="single" w:sz="4" w:space="0" w:color="auto"/>
                    <w:right w:val="single" w:sz="4" w:space="0" w:color="auto"/>
                  </w:tcBorders>
                  <w:shd w:val="clear" w:color="000000" w:fill="FF0000"/>
                  <w:noWrap/>
                  <w:vAlign w:val="bottom"/>
                  <w:hideMark/>
                </w:tcPr>
                <w:p>
                  <w:pPr>
                    <w:spacing w:after="0" w:line="240" w:lineRule="auto"/>
                    <w:jc w:val="center"/>
                    <w:rPr>
                      <w:rFonts w:ascii="Calibri" w:eastAsia="Times New Roman" w:hAnsi="Calibri" w:cs="Calibri"/>
                      <w:noProof/>
                      <w:color w:val="FFFFFF"/>
                      <w:lang w:val="en-GB" w:eastAsia="en-GB"/>
                    </w:rPr>
                  </w:pPr>
                  <w:r>
                    <w:rPr>
                      <w:rFonts w:ascii="Calibri" w:eastAsia="Times New Roman" w:hAnsi="Calibri" w:cs="Calibri"/>
                      <w:noProof/>
                      <w:color w:val="FFFFFF"/>
                      <w:lang w:val="en-GB" w:eastAsia="en-GB"/>
                    </w:rPr>
                    <w:t>4</w:t>
                  </w:r>
                </w:p>
              </w:tc>
              <w:tc>
                <w:tcPr>
                  <w:tcW w:w="2460" w:type="dxa"/>
                  <w:tcBorders>
                    <w:top w:val="nil"/>
                    <w:left w:val="nil"/>
                    <w:bottom w:val="nil"/>
                    <w:right w:val="nil"/>
                  </w:tcBorders>
                  <w:shd w:val="clear" w:color="auto" w:fill="auto"/>
                  <w:noWrap/>
                  <w:vAlign w:val="bottom"/>
                  <w:hideMark/>
                </w:tcPr>
                <w:p>
                  <w:pPr>
                    <w:spacing w:after="0" w:line="240" w:lineRule="auto"/>
                    <w:rPr>
                      <w:rFonts w:ascii="Calibri" w:eastAsia="Times New Roman" w:hAnsi="Calibri" w:cs="Calibri"/>
                      <w:noProof/>
                      <w:color w:val="000000"/>
                      <w:sz w:val="18"/>
                      <w:szCs w:val="18"/>
                      <w:lang w:val="en-GB" w:eastAsia="en-GB"/>
                    </w:rPr>
                  </w:pPr>
                  <w:r>
                    <w:rPr>
                      <w:rFonts w:ascii="Calibri" w:eastAsia="Times New Roman" w:hAnsi="Calibri" w:cs="Calibri"/>
                      <w:noProof/>
                      <w:color w:val="000000"/>
                      <w:sz w:val="18"/>
                      <w:szCs w:val="18"/>
                      <w:lang w:val="en-GB" w:eastAsia="en-GB"/>
                    </w:rPr>
                    <w:t>Value 4 = No progress</w:t>
                  </w:r>
                </w:p>
              </w:tc>
            </w:tr>
          </w:tbl>
          <w:p>
            <w:pPr>
              <w:spacing w:line="276" w:lineRule="auto"/>
              <w:rPr>
                <w:rFonts w:ascii="Calibri" w:eastAsia="Calibri" w:hAnsi="Calibri" w:cs="Times New Roman"/>
                <w:noProof/>
              </w:rPr>
            </w:pPr>
          </w:p>
        </w:tc>
      </w:tr>
    </w:tbl>
    <w:p>
      <w:pPr>
        <w:spacing w:after="240" w:line="276" w:lineRule="auto"/>
        <w:jc w:val="both"/>
        <w:rPr>
          <w:rFonts w:ascii="Times New Roman" w:eastAsia="Times New Roman" w:hAnsi="Times New Roman" w:cs="Times New Roman"/>
          <w:noProof/>
          <w:color w:val="000000"/>
          <w:sz w:val="24"/>
          <w:szCs w:val="24"/>
          <w:lang w:val="en-GB" w:eastAsia="en-GB"/>
        </w:rPr>
      </w:pP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These tables have the objective to highlight general trends in terms of level of activity and evolution thereof from 2014 to 2017 for each priority area of the ITS Directive rather than trying to reflect very accurately the detailed situation in each individual Member State. To be noted that in very few cases, demotion in a priority area was justified by the discontinuation of activities (or at least absence of reporting) after 2014.</w:t>
      </w:r>
    </w:p>
    <w:p>
      <w:pPr>
        <w:spacing w:after="240" w:line="276" w:lineRule="auto"/>
        <w:jc w:val="both"/>
        <w:rPr>
          <w:rFonts w:ascii="Times New Roman" w:eastAsia="Times New Roman" w:hAnsi="Times New Roman" w:cs="Times New Roman"/>
          <w:noProof/>
          <w:color w:val="FF0000"/>
          <w:sz w:val="24"/>
          <w:szCs w:val="24"/>
          <w:lang w:val="en-GB" w:eastAsia="en-GB"/>
        </w:rPr>
      </w:pPr>
      <w:r>
        <w:rPr>
          <w:rFonts w:ascii="Times New Roman" w:eastAsia="Times New Roman" w:hAnsi="Times New Roman" w:cs="Times New Roman"/>
          <w:noProof/>
          <w:color w:val="000000"/>
          <w:sz w:val="24"/>
          <w:szCs w:val="24"/>
          <w:lang w:val="en-GB" w:eastAsia="en-GB"/>
        </w:rPr>
        <w:drawing>
          <wp:inline distT="0" distB="0" distL="0" distR="0">
            <wp:extent cx="5472430" cy="545596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72430" cy="5455966"/>
                    </a:xfrm>
                    <a:prstGeom prst="rect">
                      <a:avLst/>
                    </a:prstGeom>
                    <a:noFill/>
                    <a:ln>
                      <a:noFill/>
                    </a:ln>
                  </pic:spPr>
                </pic:pic>
              </a:graphicData>
            </a:graphic>
          </wp:inline>
        </w:drawing>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following table shows as well the level of deployment of National Access Points (NAPs) at the time of writing of this report. The red colour highlights a lack of information and/or a lack of deployment of the NAPs in several Member States. An up-to-date and detailed list of the NAPs is also available on the Commission’s website</w:t>
      </w:r>
      <w:r>
        <w:rPr>
          <w:rFonts w:ascii="Times New Roman" w:eastAsia="Times New Roman" w:hAnsi="Times New Roman" w:cs="Times New Roman"/>
          <w:noProof/>
          <w:color w:val="000000"/>
          <w:sz w:val="24"/>
          <w:szCs w:val="24"/>
          <w:vertAlign w:val="superscript"/>
          <w:lang w:val="en-GB" w:eastAsia="en-GB"/>
        </w:rPr>
        <w:footnoteReference w:id="19"/>
      </w:r>
      <w:r>
        <w:rPr>
          <w:rFonts w:ascii="Times New Roman" w:eastAsia="Times New Roman" w:hAnsi="Times New Roman" w:cs="Times New Roman"/>
          <w:noProof/>
          <w:color w:val="000000"/>
          <w:sz w:val="24"/>
          <w:szCs w:val="24"/>
          <w:lang w:val="en-GB" w:eastAsia="en-GB"/>
        </w:rPr>
        <w:t xml:space="preserve">.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u w:val="single"/>
          <w:lang w:val="en-GB" w:eastAsia="en-GB"/>
        </w:rPr>
        <w:t>Colour code for National Access Points</w:t>
      </w:r>
    </w:p>
    <w:p>
      <w:pPr>
        <w:spacing w:after="240" w:line="276" w:lineRule="auto"/>
        <w:jc w:val="both"/>
        <w:rPr>
          <w:rFonts w:ascii="Times New Roman" w:eastAsia="Times New Roman" w:hAnsi="Times New Roman" w:cs="Times New Roman"/>
          <w:noProof/>
          <w:color w:val="FF0000"/>
          <w:sz w:val="24"/>
          <w:szCs w:val="24"/>
          <w:lang w:val="en-GB" w:eastAsia="en-GB"/>
        </w:rPr>
      </w:pPr>
      <w:r>
        <w:rPr>
          <w:rFonts w:ascii="Times New Roman" w:eastAsia="Times New Roman" w:hAnsi="Times New Roman" w:cs="Times New Roman"/>
          <w:noProof/>
          <w:color w:val="000000"/>
          <w:sz w:val="24"/>
          <w:szCs w:val="24"/>
          <w:lang w:val="en-GB" w:eastAsia="en-GB"/>
        </w:rPr>
        <w:drawing>
          <wp:inline distT="0" distB="0" distL="0" distR="0">
            <wp:extent cx="1086559" cy="475200"/>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10855" cy="485826"/>
                    </a:xfrm>
                    <a:prstGeom prst="rect">
                      <a:avLst/>
                    </a:prstGeom>
                    <a:noFill/>
                    <a:ln>
                      <a:noFill/>
                    </a:ln>
                  </pic:spPr>
                </pic:pic>
              </a:graphicData>
            </a:graphic>
          </wp:inline>
        </w:drawing>
      </w:r>
    </w:p>
    <w:p>
      <w:pPr>
        <w:spacing w:after="240" w:line="276" w:lineRule="auto"/>
        <w:jc w:val="both"/>
        <w:rPr>
          <w:rFonts w:ascii="Times New Roman" w:eastAsia="Times New Roman" w:hAnsi="Times New Roman" w:cs="Times New Roman"/>
          <w:noProof/>
          <w:color w:val="FF0000"/>
          <w:sz w:val="24"/>
          <w:szCs w:val="24"/>
          <w:lang w:val="en-GB" w:eastAsia="en-GB"/>
        </w:rPr>
      </w:pPr>
      <w:r>
        <w:rPr>
          <w:noProof/>
          <w:lang w:val="en-GB" w:eastAsia="en-GB"/>
        </w:rPr>
        <w:drawing>
          <wp:inline distT="0" distB="0" distL="0" distR="0">
            <wp:extent cx="5375672" cy="58007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81453" cy="5806964"/>
                    </a:xfrm>
                    <a:prstGeom prst="rect">
                      <a:avLst/>
                    </a:prstGeom>
                    <a:noFill/>
                    <a:ln>
                      <a:noFill/>
                    </a:ln>
                  </pic:spPr>
                </pic:pic>
              </a:graphicData>
            </a:graphic>
          </wp:inline>
        </w:drawing>
      </w:r>
    </w:p>
    <w:p>
      <w:pPr>
        <w:spacing w:after="240" w:line="276" w:lineRule="auto"/>
        <w:jc w:val="both"/>
        <w:rPr>
          <w:rFonts w:ascii="Times New Roman" w:eastAsia="Times New Roman" w:hAnsi="Times New Roman" w:cs="Times New Roman"/>
          <w:noProof/>
          <w:color w:val="FF0000"/>
          <w:sz w:val="24"/>
          <w:szCs w:val="24"/>
          <w:lang w:val="en-GB" w:eastAsia="en-GB"/>
        </w:rPr>
      </w:pPr>
    </w:p>
    <w:p>
      <w:pPr>
        <w:keepNext/>
        <w:keepLines/>
        <w:numPr>
          <w:ilvl w:val="1"/>
          <w:numId w:val="4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20" w:name="_Toc18589008"/>
      <w:r>
        <w:rPr>
          <w:rFonts w:ascii="Times New Roman" w:eastAsia="Times New Roman" w:hAnsi="Times New Roman" w:cs="Times New Roman"/>
          <w:b/>
          <w:noProof/>
          <w:color w:val="000000"/>
          <w:sz w:val="24"/>
          <w:szCs w:val="24"/>
          <w:lang w:val="en-GB" w:eastAsia="en-GB"/>
        </w:rPr>
        <w:t>Priority area I: Optimal use of road, traffic and travel data</w:t>
      </w:r>
      <w:bookmarkEnd w:id="20"/>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stipulated in Annex I of the ITS Directive, priority area I is specifically focused upon the availability, accessibility and exchange of public and private road, travel and traffic data used for multimodal travel information, real-time traffic information services and digital maps.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Priority area I was generally the best documented, indicating that most Member States are actively pursuing work in this area. Initiatives that were commonly reported related to: real time traffic information, development of apps, dynamic public transport information, multimodal journey planners and electronic ticketing systems, as well as work to improve data collection, management and publication processes. These types of projects aim to enable improved travel planning, better navigation services and may allow for more informed decisions while planning (and during) travel.</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Some countries reported on their infrastructure projects, which are helping to provide better and more accurate data collection and sharing. For example, these include large-scale EU funded projects for the installation of cameras for traffic monitoring, weather monitoring equipment, automatic traffic counters and electronic information boards.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Activities related to setting up the National Access Points (NAPs) for the various types of data covered by priority actions a, b and c are also advancing, with many projects noting the use of the DATEX II standard for data exchange. An overview of reporting on the Delegated Regulations is provided below.</w:t>
      </w:r>
    </w:p>
    <w:p>
      <w:pPr>
        <w:spacing w:after="24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Progress since 2014</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Since 2014, many countries have made significant progress within this priority area and have made significant steps towards implementing the NAPs required for priority actions a, b and c. Several Member States reported on their participation in the EU funded CROCODILE 2 project</w:t>
      </w:r>
      <w:r>
        <w:rPr>
          <w:rFonts w:ascii="Times New Roman" w:eastAsia="Times New Roman" w:hAnsi="Times New Roman" w:cs="Times New Roman"/>
          <w:noProof/>
          <w:color w:val="000000"/>
          <w:sz w:val="24"/>
          <w:szCs w:val="24"/>
          <w:vertAlign w:val="superscript"/>
          <w:lang w:val="en-GB" w:eastAsia="en-GB"/>
        </w:rPr>
        <w:footnoteReference w:id="20"/>
      </w:r>
      <w:r>
        <w:rPr>
          <w:rFonts w:ascii="Times New Roman" w:eastAsia="Times New Roman" w:hAnsi="Times New Roman" w:cs="Times New Roman"/>
          <w:noProof/>
          <w:color w:val="000000"/>
          <w:sz w:val="24"/>
          <w:szCs w:val="24"/>
          <w:lang w:val="en-GB" w:eastAsia="en-GB"/>
        </w:rPr>
        <w:t xml:space="preserve"> (Austria, Bulgaria, Croatia, Cyprus, Czech Republic, Germany, Greece, Hungary, Italy, Poland, Romania, Slovakia and Slovenia), which has helped to ensure the necessary infrastructure is in place to enable data exchange based on DATEX II and helped also in some cases to set up the national access point. This has contributed to the work for priority actions b, c (and also e). CROCODILE 2 also resulted in 2500 km of corridor motorway being equipped with technology allowing data collection, including CCTV, road weather stations and sensors.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Besides the work carried out to comply with the delegated regulations, many other projects have taken place/are taking place throughout the EU to ensure that road, traffic and travel data is better utilised. A few examples are mentioned below, together with their timescales and funding where available. These have been selected due to their innovative features, large scale or because they represent significant progress since 2014. ITS projects that are very common across Member States are also mentioned where relevant.</w:t>
      </w:r>
    </w:p>
    <w:p>
      <w:pPr>
        <w:numPr>
          <w:ilvl w:val="0"/>
          <w:numId w:val="9"/>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Improved data collection infrastructure and variable message signs</w:t>
      </w:r>
      <w:r>
        <w:rPr>
          <w:rFonts w:ascii="Times New Roman" w:eastAsia="Times New Roman" w:hAnsi="Times New Roman" w:cs="Times New Roman"/>
          <w:noProof/>
          <w:color w:val="000000"/>
          <w:sz w:val="24"/>
          <w:szCs w:val="24"/>
          <w:lang w:val="en-GB" w:eastAsia="en-GB"/>
        </w:rPr>
        <w:t xml:space="preserve"> have been installed in Member States, sometimes for the first time:</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Bulgaria established its first automated traffic data collection system in 2014, comprising 120 automated counter stations, helping to obtain real-time traffic information. Two other projects have since allowed a further 200 automatic count points to be installed along the TEN-T network, primary and secondary roads.</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 joint Latvian/Estonian, Smart E67 EU-funded project, involved the installation of roadside ITS equipment and upgrading of the traffic information centre run by VAS Latvijas Valsts ceļi (Latvian State Roads). This included the first-time deployment of variable message signs and multifunctional live video surveillance.</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Poland has installed various weather warning systems and variable message signs. </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Norway implemented real time travel time registration in Norway's four largest cities. A web camera service offers road users a picture of the traffic situation and driving conditions from more than 500 cameras and will soon offer a video streaming service with image updates every second. Inclusion of friction data from vehicles in the road weather information system (Vegvaer) has been tested within the Nordic Way project.</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Belgium has several projects underway in Brussels to improve data collection and provide real-time parking information. The Parking Guidance project (2008-2017, €4.5m) involves placing dynamic signs to list how many spaces are available, while the Metropolitan Area Network Brussels (MANBRU, 2017-2018, €3m) is developing fibre optics to help show available parking spaces to road users.</w:t>
      </w:r>
    </w:p>
    <w:p>
      <w:pPr>
        <w:numPr>
          <w:ilvl w:val="0"/>
          <w:numId w:val="9"/>
        </w:numPr>
        <w:spacing w:before="120" w:after="6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Several reports mentioned the work to improve the </w:t>
      </w:r>
      <w:r>
        <w:rPr>
          <w:rFonts w:ascii="Times New Roman" w:eastAsia="Times New Roman" w:hAnsi="Times New Roman" w:cs="Times New Roman"/>
          <w:b/>
          <w:noProof/>
          <w:color w:val="000000"/>
          <w:sz w:val="24"/>
          <w:szCs w:val="24"/>
          <w:lang w:val="en-GB" w:eastAsia="en-GB"/>
        </w:rPr>
        <w:t xml:space="preserve">exchange of ITS-related spatial road data between road operators and the providers of digital maps which </w:t>
      </w:r>
      <w:r>
        <w:rPr>
          <w:rFonts w:ascii="Times New Roman" w:eastAsia="Times New Roman" w:hAnsi="Times New Roman" w:cs="Times New Roman"/>
          <w:noProof/>
          <w:color w:val="000000"/>
          <w:sz w:val="24"/>
          <w:szCs w:val="24"/>
          <w:lang w:val="en-GB" w:eastAsia="en-GB"/>
        </w:rPr>
        <w:t>has been carried out during the TN-ITS project</w:t>
      </w:r>
      <w:r>
        <w:rPr>
          <w:rFonts w:ascii="Times New Roman" w:eastAsia="Times New Roman" w:hAnsi="Times New Roman" w:cs="Times New Roman"/>
          <w:noProof/>
          <w:color w:val="000000"/>
          <w:sz w:val="24"/>
          <w:szCs w:val="24"/>
          <w:vertAlign w:val="superscript"/>
          <w:lang w:val="en-GB" w:eastAsia="en-GB"/>
        </w:rPr>
        <w:footnoteReference w:id="21"/>
      </w:r>
      <w:r>
        <w:rPr>
          <w:rFonts w:ascii="Times New Roman" w:eastAsia="Times New Roman" w:hAnsi="Times New Roman" w:cs="Times New Roman"/>
          <w:noProof/>
          <w:color w:val="000000"/>
          <w:sz w:val="24"/>
          <w:szCs w:val="24"/>
          <w:lang w:val="en-GB" w:eastAsia="en-GB"/>
        </w:rPr>
        <w:t>. This activity (involving Belgium, Finland, Ireland, Sweden, United Kingdom and Norway, and private digital maps providers) within the EU-funded EU ITS Platform (EU EIP)</w:t>
      </w:r>
      <w:r>
        <w:rPr>
          <w:rFonts w:ascii="Times New Roman" w:eastAsia="Times New Roman" w:hAnsi="Times New Roman" w:cs="Times New Roman"/>
          <w:noProof/>
          <w:color w:val="000000"/>
          <w:sz w:val="24"/>
          <w:szCs w:val="24"/>
          <w:vertAlign w:val="superscript"/>
          <w:lang w:val="en-GB" w:eastAsia="en-GB"/>
        </w:rPr>
        <w:footnoteReference w:id="22"/>
      </w:r>
      <w:r>
        <w:rPr>
          <w:rFonts w:ascii="Times New Roman" w:eastAsia="Times New Roman" w:hAnsi="Times New Roman" w:cs="Times New Roman"/>
          <w:noProof/>
          <w:color w:val="000000"/>
          <w:sz w:val="24"/>
          <w:szCs w:val="24"/>
          <w:lang w:val="en-GB" w:eastAsia="en-GB"/>
        </w:rPr>
        <w:t xml:space="preserve"> project has helped to ensure that data updates (e.g. speed limits and other traffic regulations) from trusted public data providers can be directly incorporated into ITS digital maps used for navigation and other ITS services. This project has been followed (since January 2018) by a CEF Programme Support Action (TN-ITS GO) involving the before-listed beneficiaries and nine additional Member States.</w:t>
      </w:r>
    </w:p>
    <w:p>
      <w:pPr>
        <w:numPr>
          <w:ilvl w:val="0"/>
          <w:numId w:val="9"/>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New techniques, such as </w:t>
      </w:r>
      <w:r>
        <w:rPr>
          <w:rFonts w:ascii="Times New Roman" w:eastAsia="Times New Roman" w:hAnsi="Times New Roman" w:cs="Times New Roman"/>
          <w:b/>
          <w:noProof/>
          <w:color w:val="000000"/>
          <w:sz w:val="24"/>
          <w:szCs w:val="24"/>
          <w:lang w:val="en-GB" w:eastAsia="en-GB"/>
        </w:rPr>
        <w:t>floating car data</w:t>
      </w:r>
      <w:r>
        <w:rPr>
          <w:rFonts w:ascii="Times New Roman" w:eastAsia="Times New Roman" w:hAnsi="Times New Roman" w:cs="Times New Roman"/>
          <w:noProof/>
          <w:color w:val="000000"/>
          <w:sz w:val="24"/>
          <w:szCs w:val="24"/>
          <w:lang w:val="en-GB" w:eastAsia="en-GB"/>
        </w:rPr>
        <w:t>, have been explored for collecting real-time traffic data and using this to more accurately predict journey times or for statistical use (e.g. parameter setting for extra ordinary queuing). Denmark and the Netherlands have implemented projects which are showing promising results.</w:t>
      </w:r>
    </w:p>
    <w:p>
      <w:pPr>
        <w:numPr>
          <w:ilvl w:val="0"/>
          <w:numId w:val="9"/>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Many countries reported developing </w:t>
      </w:r>
      <w:r>
        <w:rPr>
          <w:rFonts w:ascii="Times New Roman" w:eastAsia="Times New Roman" w:hAnsi="Times New Roman" w:cs="Times New Roman"/>
          <w:b/>
          <w:noProof/>
          <w:color w:val="000000"/>
          <w:sz w:val="24"/>
          <w:szCs w:val="24"/>
          <w:lang w:val="en-GB" w:eastAsia="en-GB"/>
        </w:rPr>
        <w:t>nationwide journey planners</w:t>
      </w:r>
      <w:r>
        <w:rPr>
          <w:rFonts w:ascii="Times New Roman" w:eastAsia="Times New Roman" w:hAnsi="Times New Roman" w:cs="Times New Roman"/>
          <w:noProof/>
          <w:color w:val="000000"/>
          <w:sz w:val="24"/>
          <w:szCs w:val="24"/>
          <w:lang w:val="en-GB" w:eastAsia="en-GB"/>
        </w:rPr>
        <w:t>, which often offer multimodal capabilities. For instance:</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Estonia has set up </w:t>
      </w:r>
      <w:hyperlink r:id="rId33" w:history="1">
        <w:r>
          <w:rPr>
            <w:rFonts w:ascii="Times New Roman" w:eastAsia="Times New Roman" w:hAnsi="Times New Roman" w:cs="Times New Roman"/>
            <w:noProof/>
            <w:color w:val="0000FF"/>
            <w:sz w:val="24"/>
            <w:szCs w:val="24"/>
            <w:u w:val="single"/>
            <w:lang w:val="en-GB" w:eastAsia="en-GB"/>
          </w:rPr>
          <w:t>http://www.peatus.ee</w:t>
        </w:r>
      </w:hyperlink>
      <w:r>
        <w:rPr>
          <w:rFonts w:ascii="Times New Roman" w:eastAsia="Times New Roman" w:hAnsi="Times New Roman" w:cs="Times New Roman"/>
          <w:noProof/>
          <w:color w:val="000000"/>
          <w:sz w:val="24"/>
          <w:szCs w:val="24"/>
          <w:lang w:val="en-GB" w:eastAsia="en-GB"/>
        </w:rPr>
        <w:t>, a multimodal journey planner for all of Estonia, with plans to implement cross-border functionalities.</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In Finland Helsinki Region Transport HSL and the Finnish Transport Agency FTA have developed an open journey planner platform </w:t>
      </w:r>
      <w:hyperlink r:id="rId34" w:history="1">
        <w:r>
          <w:rPr>
            <w:rFonts w:ascii="Times New Roman" w:eastAsia="Times New Roman" w:hAnsi="Times New Roman" w:cs="Times New Roman"/>
            <w:noProof/>
            <w:color w:val="0000FF"/>
            <w:sz w:val="24"/>
            <w:szCs w:val="24"/>
            <w:u w:val="single"/>
            <w:lang w:val="en-GB" w:eastAsia="en-GB"/>
          </w:rPr>
          <w:t>https://digitransit.fi/en/</w:t>
        </w:r>
      </w:hyperlink>
      <w:r>
        <w:rPr>
          <w:rFonts w:ascii="Times New Roman" w:eastAsia="Times New Roman" w:hAnsi="Times New Roman" w:cs="Times New Roman"/>
          <w:noProof/>
          <w:color w:val="000000"/>
          <w:sz w:val="24"/>
          <w:szCs w:val="24"/>
          <w:lang w:val="en-GB" w:eastAsia="en-GB"/>
        </w:rPr>
        <w:t xml:space="preserve"> which is the basis for several journey planners both in Finland and other countries.</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Norway, a new national multimodal travel planner was to be launched in November 2017.</w:t>
      </w:r>
    </w:p>
    <w:p>
      <w:pPr>
        <w:numPr>
          <w:ilvl w:val="1"/>
          <w:numId w:val="10"/>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Lithuania developed a new route planning system based on the Public transport Multimodal Journey Planning Database System (IS Vintra), available on: </w:t>
      </w:r>
      <w:hyperlink r:id="rId35" w:history="1">
        <w:r>
          <w:rPr>
            <w:rFonts w:ascii="Times New Roman" w:eastAsia="Times New Roman" w:hAnsi="Times New Roman" w:cs="Times New Roman"/>
            <w:noProof/>
            <w:color w:val="0000FF"/>
            <w:sz w:val="24"/>
            <w:szCs w:val="24"/>
            <w:u w:val="single"/>
            <w:lang w:val="en-GB" w:eastAsia="en-GB"/>
          </w:rPr>
          <w:t>http://www.visimarsrutai.lt/</w:t>
        </w:r>
      </w:hyperlink>
      <w:r>
        <w:rPr>
          <w:rFonts w:ascii="Times New Roman" w:eastAsia="Times New Roman" w:hAnsi="Times New Roman" w:cs="Times New Roman"/>
          <w:noProof/>
          <w:color w:val="000000"/>
          <w:sz w:val="24"/>
          <w:szCs w:val="24"/>
          <w:lang w:val="en-GB" w:eastAsia="en-GB"/>
        </w:rPr>
        <w:t>.</w:t>
      </w:r>
    </w:p>
    <w:p>
      <w:pPr>
        <w:spacing w:after="24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Solutions for</w:t>
      </w:r>
      <w:r>
        <w:rPr>
          <w:rFonts w:ascii="Times New Roman" w:eastAsia="Times New Roman" w:hAnsi="Times New Roman" w:cs="Times New Roman"/>
          <w:b/>
          <w:noProof/>
          <w:color w:val="000000"/>
          <w:sz w:val="24"/>
          <w:szCs w:val="24"/>
          <w:lang w:val="en-GB" w:eastAsia="en-GB"/>
        </w:rPr>
        <w:t xml:space="preserve"> connected traffic signals</w:t>
      </w:r>
      <w:r>
        <w:rPr>
          <w:rFonts w:ascii="Times New Roman" w:eastAsia="Times New Roman" w:hAnsi="Times New Roman" w:cs="Times New Roman"/>
          <w:noProof/>
          <w:color w:val="000000"/>
          <w:sz w:val="24"/>
          <w:szCs w:val="24"/>
          <w:lang w:val="en-GB" w:eastAsia="en-GB"/>
        </w:rPr>
        <w:t>, which can exchange data with vehicles were mentioned in the Dutch and Swedish reports. Notably, in the Netherlands around 1,250 traffic control systems (one quarter of those in the Netherlands) are expected to have been replaced with intelligent traffic control systems (that can communicate with approaching vehicles and cyclists) by the end of 2017. This is being achieved through the Partnership Talking Traffic, a €90m project running until 2020 to develop innovative traffic applications, including the use of low latency C-ITS messages and services.</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Implementation of specifications (a)</w:t>
      </w:r>
      <w:r>
        <w:rPr>
          <w:rFonts w:ascii="Times New Roman" w:eastAsia="Times New Roman" w:hAnsi="Times New Roman" w:cs="Times New Roman"/>
          <w:b/>
          <w:noProof/>
          <w:color w:val="000000"/>
          <w:sz w:val="24"/>
          <w:szCs w:val="24"/>
          <w:vertAlign w:val="superscript"/>
          <w:lang w:val="en-GB" w:eastAsia="en-GB"/>
        </w:rPr>
        <w:footnoteReference w:id="23"/>
      </w:r>
      <w:r>
        <w:rPr>
          <w:rFonts w:ascii="Times New Roman" w:eastAsia="Times New Roman" w:hAnsi="Times New Roman" w:cs="Times New Roman"/>
          <w:b/>
          <w:noProof/>
          <w:color w:val="000000"/>
          <w:sz w:val="24"/>
          <w:szCs w:val="24"/>
          <w:lang w:val="en-GB" w:eastAsia="en-GB"/>
        </w:rPr>
        <w:t>: provision of EU-wide multimodal travel information services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As the Delegated Regulation for priority action a ((EU) 2017/1926) has only entered into force in November 2017 and Member States were required to report on activities related to this specification only by 1 December 2019, little information is included in the national reports.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However, several Member States already started to establish National Access Points, as listed in the list of NAPs maintained by the Commission. This work is being supported by individual CEF Programme Support Actions for 17 Member States.</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Implementation of specifications (b)</w:t>
      </w:r>
      <w:r>
        <w:rPr>
          <w:rFonts w:ascii="Times New Roman" w:eastAsia="Times New Roman" w:hAnsi="Times New Roman" w:cs="Times New Roman"/>
          <w:b/>
          <w:noProof/>
          <w:color w:val="000000"/>
          <w:sz w:val="24"/>
          <w:szCs w:val="24"/>
          <w:vertAlign w:val="superscript"/>
          <w:lang w:val="en-GB" w:eastAsia="en-GB"/>
        </w:rPr>
        <w:footnoteReference w:id="24"/>
      </w:r>
      <w:r>
        <w:rPr>
          <w:rFonts w:ascii="Times New Roman" w:eastAsia="Times New Roman" w:hAnsi="Times New Roman" w:cs="Times New Roman"/>
          <w:b/>
          <w:noProof/>
          <w:color w:val="000000"/>
          <w:sz w:val="24"/>
          <w:szCs w:val="24"/>
          <w:lang w:val="en-GB" w:eastAsia="en-GB"/>
        </w:rPr>
        <w:t>: the provision of EU-wide real-time traffic information services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One of the main purposes of specifications (b) is to foster the market to further develop services for the provision of real-time traffic information by re-using public sector data made available throughout the National Access Points. During the observed period, implementation of specifications has followed different procedures, priorities and levels of commitment, across the Member States. The stocktaking for these different approaches also shows that the implementation is progressing, although slower than expected. Several dimensions have been reported to explain the current implementation landscape: </w:t>
      </w:r>
    </w:p>
    <w:p>
      <w:pPr>
        <w:numPr>
          <w:ilvl w:val="0"/>
          <w:numId w:val="9"/>
        </w:numPr>
        <w:spacing w:after="60" w:line="276" w:lineRule="auto"/>
        <w:ind w:left="714" w:hanging="357"/>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the spatial dimension (i.e. relevant road network, interfaces with other urban and interurban areas/networks, coverage of ITS services), </w:t>
      </w:r>
    </w:p>
    <w:p>
      <w:pPr>
        <w:numPr>
          <w:ilvl w:val="0"/>
          <w:numId w:val="9"/>
        </w:numPr>
        <w:spacing w:after="60" w:line="276" w:lineRule="auto"/>
        <w:ind w:left="714" w:hanging="357"/>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the operating environment dimension (i.e. network characteristics and topology, road status, traffic characteristics, ITS infrastructure/equipment), </w:t>
      </w:r>
    </w:p>
    <w:p>
      <w:pPr>
        <w:numPr>
          <w:ilvl w:val="0"/>
          <w:numId w:val="9"/>
        </w:numPr>
        <w:spacing w:after="60" w:line="276" w:lineRule="auto"/>
        <w:ind w:left="714" w:hanging="357"/>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the organisational dimension (i.e. allocation of resources and responsibilities, ITS processes/workflows), </w:t>
      </w:r>
    </w:p>
    <w:p>
      <w:pPr>
        <w:numPr>
          <w:ilvl w:val="0"/>
          <w:numId w:val="9"/>
        </w:numPr>
        <w:spacing w:after="60" w:line="276" w:lineRule="auto"/>
        <w:ind w:left="714" w:hanging="357"/>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financial dimension (i.e. investment, maintenance, operation).</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17 Member States + Norway have reported to have set up their NAP, while 5 other are taking action to do so shortly. Several technical aspects to make the data and metadata available and publishable needed to be addressed, such as the profiling for static and dynamic data or procedures to give access to data updates. Many Member States are taking part in different Programme Support Actions (e.g. DATEX II and TN-ITS) to overcome some of these barriers. Member States also often refer to the EU EIP guidance in terms of quality assessment. Some Member States have reported the need to go through consultation process, addressing the different national stakeholders (e.g. service providers, road operators and motorway companies) before being able to agree on the terms for defining the quality criteria and the methods of evaluation. These have been long and complex negotiation procedures and may have benefited from a harmonised approach.</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order to undertake the assessment of compliance of the relevant stakeholders with the requirements of the Regulation, several Member States have reported to be using the harmonised self-declaration template, developed by EU EIP and TISA. Random checks of the correctness of these declarations are still very limited and at a very early stage of implementation.</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Implementation of specifications (c)</w:t>
      </w:r>
      <w:r>
        <w:rPr>
          <w:rFonts w:ascii="Times New Roman" w:eastAsia="Times New Roman" w:hAnsi="Times New Roman" w:cs="Times New Roman"/>
          <w:b/>
          <w:noProof/>
          <w:color w:val="000000"/>
          <w:sz w:val="24"/>
          <w:szCs w:val="24"/>
          <w:vertAlign w:val="superscript"/>
          <w:lang w:val="en-GB" w:eastAsia="en-GB"/>
        </w:rPr>
        <w:footnoteReference w:id="25"/>
      </w:r>
      <w:r>
        <w:rPr>
          <w:rFonts w:ascii="Times New Roman" w:eastAsia="Times New Roman" w:hAnsi="Times New Roman" w:cs="Times New Roman"/>
          <w:b/>
          <w:noProof/>
          <w:color w:val="000000"/>
          <w:sz w:val="24"/>
          <w:szCs w:val="24"/>
          <w:lang w:val="en-GB" w:eastAsia="en-GB"/>
        </w:rPr>
        <w:t>: data and procedures for the provision, where possible, of road safety related minimum universal traffic information free of charge to users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for specifications (b), different activities have helped Member States with the implementation of specifications (c), in particular at technical level; harmonised self-declaration template; DATEX II profiling; the metadata catalogue produced by Austria, Germany and the Netherlands and a proposal for a common quality framework produced within the EU EIP project. Most of these tools have been referenced in the Member States’ reports, clearly showing EU added value as an outcome of voluntary Member States cooperation towards the implementation of the specifications.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Almost all National Access Points set up for specifications (c) are also used for specifications (b). The collection of road safety-related traffic information by public sources is progressing in good pace across the EU. Most Member States have put in place the DATEX nodes and are making accessible the data they collect, formatted, at the NAPs. Most of them reported to cover the eight data categories presented in the specifications along the TEN-T Corridors.</w:t>
      </w:r>
    </w:p>
    <w:p>
      <w:pPr>
        <w:spacing w:after="120" w:line="276" w:lineRule="auto"/>
        <w:jc w:val="both"/>
        <w:rPr>
          <w:rFonts w:ascii="Times New Roman" w:eastAsia="Times New Roman" w:hAnsi="Times New Roman" w:cs="Times New Roman"/>
          <w:i/>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Only one third of the Member States and Norway reported to have in place a national body</w:t>
      </w:r>
      <w:r>
        <w:rPr>
          <w:rFonts w:ascii="Times New Roman" w:eastAsia="Times New Roman" w:hAnsi="Times New Roman" w:cs="Times New Roman"/>
          <w:noProof/>
          <w:color w:val="000000"/>
          <w:sz w:val="24"/>
          <w:szCs w:val="24"/>
          <w:vertAlign w:val="superscript"/>
          <w:lang w:val="en-GB" w:eastAsia="en-GB"/>
        </w:rPr>
        <w:footnoteReference w:id="26"/>
      </w:r>
      <w:r>
        <w:rPr>
          <w:rFonts w:ascii="Times New Roman" w:eastAsia="Times New Roman" w:hAnsi="Times New Roman" w:cs="Times New Roman"/>
          <w:i/>
          <w:noProof/>
          <w:color w:val="000000"/>
          <w:sz w:val="24"/>
          <w:szCs w:val="24"/>
          <w:lang w:val="en-GB" w:eastAsia="en-GB"/>
        </w:rPr>
        <w:t xml:space="preserve">. </w:t>
      </w:r>
      <w:r>
        <w:rPr>
          <w:rFonts w:ascii="Times New Roman" w:eastAsia="Times New Roman" w:hAnsi="Times New Roman" w:cs="Times New Roman"/>
          <w:noProof/>
          <w:color w:val="000000"/>
          <w:sz w:val="24"/>
          <w:szCs w:val="24"/>
          <w:lang w:val="en-GB" w:eastAsia="en-GB"/>
        </w:rPr>
        <w:t>The Member States’ reports show that progress with the implementation is unbalanced, with most coming from the public sector side. Very few declarations</w:t>
      </w:r>
      <w:r>
        <w:rPr>
          <w:rFonts w:ascii="Times New Roman" w:eastAsia="Times New Roman" w:hAnsi="Times New Roman" w:cs="Times New Roman"/>
          <w:noProof/>
          <w:color w:val="000000"/>
          <w:sz w:val="24"/>
          <w:szCs w:val="24"/>
          <w:vertAlign w:val="superscript"/>
          <w:lang w:val="en-GB" w:eastAsia="en-GB"/>
        </w:rPr>
        <w:footnoteReference w:id="27"/>
      </w:r>
      <w:r>
        <w:rPr>
          <w:rFonts w:ascii="Times New Roman" w:eastAsia="Times New Roman" w:hAnsi="Times New Roman" w:cs="Times New Roman"/>
          <w:noProof/>
          <w:color w:val="000000"/>
          <w:sz w:val="24"/>
          <w:szCs w:val="24"/>
          <w:lang w:val="en-GB" w:eastAsia="en-GB"/>
        </w:rPr>
        <w:t xml:space="preserve"> have been received from private entities, some of which operate globally and provide information services that fall within the remit of the specifications (c).</w:t>
      </w:r>
    </w:p>
    <w:p>
      <w:pPr>
        <w:keepNext/>
        <w:keepLines/>
        <w:numPr>
          <w:ilvl w:val="1"/>
          <w:numId w:val="4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21" w:name="_Toc18589009"/>
      <w:r>
        <w:rPr>
          <w:rFonts w:ascii="Times New Roman" w:eastAsia="Times New Roman" w:hAnsi="Times New Roman" w:cs="Times New Roman"/>
          <w:b/>
          <w:noProof/>
          <w:color w:val="000000"/>
          <w:sz w:val="24"/>
          <w:szCs w:val="24"/>
          <w:lang w:val="en-GB" w:eastAsia="en-GB"/>
        </w:rPr>
        <w:t>Priority area II: Continuity of traffic and freight management ITS services</w:t>
      </w:r>
      <w:bookmarkEnd w:id="21"/>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stipulated in Annex I of the ITS Directive, priority area II is focused on the provisions to support traffic and freight management services including traffic information/management control centres, ITS framework architecture, tracking and tracing of freight, integrated multimodal ticketing.</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Priority area II has attracted a significant amount of attention from Member States and a diverse range of activities have been carried out within this area. Several countries have worked towards improvement of their traffic management systems, either through modernisation activities, a new system architecture, or via the use of improved data sources. These have aimed to improve reliability and efficiency. On the infrastructure side, the installation of traffic light systems to prioritise public transport and emergency vehicles in cities is also becoming more widespread.</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Several projects within this priority area showed a significant intermodal element, particularly for more effectively linking up road and rail transport. These types of activities have mainly aimed to provide a more seamless travel experience. This has been targeted by the development of multimodal smart/e-ticketing for public transport, as well as other measures. A few countries also reported activities related to intermodal terminals for freight transport.</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There has been considerable activity in freight management services, which has been mainly driven by the increasing digitalisation of freight. For example, the national reports showed evidence of the development of innovative tools and online systems for road freight information and management. These are primarily aimed at improving the efficiency and transparency of freight solutions. Again, there was evidence of some projects with an intermodal element, aimed at helping the continuity of services across the EU.</w:t>
      </w:r>
    </w:p>
    <w:p>
      <w:pPr>
        <w:spacing w:after="24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Progress since 2014</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Many countries provided explanations of projects that have started since 2014 in their national reports, which helped to demonstrate the progress that has been made across the EU. ITS themes common across countries are listed below, together with examples of national activities. These projects were selected due to their innovative nature, level of investment/scale, or because they represent significant progress for the Member State since 2014. </w:t>
      </w:r>
    </w:p>
    <w:p>
      <w:pPr>
        <w:numPr>
          <w:ilvl w:val="0"/>
          <w:numId w:val="11"/>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Several reports mentioned the continued work of the </w:t>
      </w:r>
      <w:r>
        <w:rPr>
          <w:rFonts w:ascii="Times New Roman" w:eastAsia="Times New Roman" w:hAnsi="Times New Roman" w:cs="Times New Roman"/>
          <w:b/>
          <w:noProof/>
          <w:color w:val="000000"/>
          <w:sz w:val="24"/>
          <w:szCs w:val="24"/>
          <w:lang w:val="en-GB" w:eastAsia="en-GB"/>
        </w:rPr>
        <w:t>EU EIP project</w:t>
      </w:r>
      <w:r>
        <w:rPr>
          <w:rFonts w:ascii="Times New Roman" w:eastAsia="Times New Roman" w:hAnsi="Times New Roman" w:cs="Times New Roman"/>
          <w:noProof/>
          <w:color w:val="000000"/>
          <w:sz w:val="24"/>
          <w:szCs w:val="24"/>
          <w:lang w:val="en-GB" w:eastAsia="en-GB"/>
        </w:rPr>
        <w:t>, which encourages better knowledge management and contributes to the effective use of ITS standards and specifications across the EU.</w:t>
      </w:r>
    </w:p>
    <w:p>
      <w:pPr>
        <w:numPr>
          <w:ilvl w:val="0"/>
          <w:numId w:val="11"/>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Some Member States reported also on the recent </w:t>
      </w:r>
      <w:r>
        <w:rPr>
          <w:rFonts w:ascii="Times New Roman" w:eastAsia="Times New Roman" w:hAnsi="Times New Roman" w:cs="Times New Roman"/>
          <w:b/>
          <w:noProof/>
          <w:color w:val="000000"/>
          <w:sz w:val="24"/>
          <w:szCs w:val="24"/>
          <w:lang w:val="en-GB" w:eastAsia="en-GB"/>
        </w:rPr>
        <w:t>FRAME NEXT</w:t>
      </w:r>
      <w:r>
        <w:rPr>
          <w:rFonts w:ascii="Times New Roman" w:eastAsia="Times New Roman" w:hAnsi="Times New Roman" w:cs="Times New Roman"/>
          <w:noProof/>
          <w:color w:val="000000"/>
          <w:sz w:val="24"/>
          <w:szCs w:val="24"/>
          <w:lang w:val="en-GB" w:eastAsia="en-GB"/>
        </w:rPr>
        <w:t xml:space="preserve"> project (funded as a Programme Support Action under the CEF programme) started in June 2017 with the objective to further develop a European ITS architecture and involving Austria, Germany, France, Hungary, Czech Republic, The Netherlands, Norway, Sweden, Poland, United Kingdom.</w:t>
      </w:r>
    </w:p>
    <w:p>
      <w:pPr>
        <w:numPr>
          <w:ilvl w:val="0"/>
          <w:numId w:val="11"/>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As mentioned in many reports, and building on work from previous years, the </w:t>
      </w:r>
      <w:r>
        <w:rPr>
          <w:rFonts w:ascii="Times New Roman" w:eastAsia="Times New Roman" w:hAnsi="Times New Roman" w:cs="Times New Roman"/>
          <w:b/>
          <w:noProof/>
          <w:color w:val="000000"/>
          <w:sz w:val="24"/>
          <w:szCs w:val="24"/>
          <w:lang w:val="en-GB" w:eastAsia="en-GB"/>
        </w:rPr>
        <w:t>cross-border deployment of Traffic Management Services</w:t>
      </w:r>
      <w:r>
        <w:rPr>
          <w:rFonts w:ascii="Times New Roman" w:eastAsia="Times New Roman" w:hAnsi="Times New Roman" w:cs="Times New Roman"/>
          <w:noProof/>
          <w:color w:val="000000"/>
          <w:sz w:val="24"/>
          <w:szCs w:val="24"/>
          <w:lang w:val="en-GB" w:eastAsia="en-GB"/>
        </w:rPr>
        <w:t xml:space="preserve"> has continued across TEN-T Corridors. These large-scale projects have a range of aims including facilitating cross border connectivity, reducing congestion, improving safety, ensuring interoperability, and enhancing harmonised and continuous services. For example: </w:t>
      </w:r>
    </w:p>
    <w:p>
      <w:pPr>
        <w:numPr>
          <w:ilvl w:val="1"/>
          <w:numId w:val="11"/>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Arc Atlantique corridor Phase 2 focussed mainly on deploying traffic management and traffic information ITS services, to enhance harmonised services on 11,000 km of network, and improve operational and cost efficiency on 10,000 km of network (2014-2017; participating countries: Belgium, Spain, France, Ireland, Netherlands, United Kingdom; €115m funding, of which €23m EU funding)</w:t>
      </w:r>
      <w:r>
        <w:rPr>
          <w:rFonts w:ascii="Times New Roman" w:eastAsia="Times New Roman" w:hAnsi="Times New Roman" w:cs="Times New Roman"/>
          <w:noProof/>
          <w:color w:val="000000"/>
          <w:sz w:val="24"/>
          <w:szCs w:val="24"/>
          <w:vertAlign w:val="superscript"/>
          <w:lang w:val="en-GB" w:eastAsia="en-GB"/>
        </w:rPr>
        <w:footnoteReference w:id="28"/>
      </w:r>
      <w:r>
        <w:rPr>
          <w:rFonts w:ascii="Times New Roman" w:eastAsia="Times New Roman" w:hAnsi="Times New Roman" w:cs="Times New Roman"/>
          <w:noProof/>
          <w:color w:val="000000"/>
          <w:sz w:val="24"/>
          <w:szCs w:val="24"/>
          <w:lang w:val="en-GB" w:eastAsia="en-GB"/>
        </w:rPr>
        <w:t>.</w:t>
      </w:r>
    </w:p>
    <w:p>
      <w:pPr>
        <w:numPr>
          <w:ilvl w:val="1"/>
          <w:numId w:val="11"/>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MedTIS II implements ITS on a continuous 8,600 km stretch of motorway on the Mediterranean TEN-T corridor. Deployment is focussed on road data collection and monitoring, upgrade of traffic control centres, enhancement of alert services and related traveller information (2014-2018; participating countries: France, Italy, Portugal, Spain; €53m funding of which €10.7m EU funding)</w:t>
      </w:r>
      <w:r>
        <w:rPr>
          <w:rFonts w:ascii="Times New Roman" w:eastAsia="Times New Roman" w:hAnsi="Times New Roman" w:cs="Times New Roman"/>
          <w:noProof/>
          <w:color w:val="000000"/>
          <w:sz w:val="24"/>
          <w:szCs w:val="24"/>
          <w:vertAlign w:val="superscript"/>
          <w:lang w:val="en-GB" w:eastAsia="en-GB"/>
        </w:rPr>
        <w:footnoteReference w:id="29"/>
      </w:r>
      <w:r>
        <w:rPr>
          <w:rFonts w:ascii="Times New Roman" w:eastAsia="Times New Roman" w:hAnsi="Times New Roman" w:cs="Times New Roman"/>
          <w:noProof/>
          <w:color w:val="000000"/>
          <w:sz w:val="24"/>
          <w:szCs w:val="24"/>
          <w:lang w:val="en-GB" w:eastAsia="en-GB"/>
        </w:rPr>
        <w:t>.</w:t>
      </w:r>
    </w:p>
    <w:p>
      <w:pPr>
        <w:numPr>
          <w:ilvl w:val="0"/>
          <w:numId w:val="12"/>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Several countries reported </w:t>
      </w:r>
      <w:r>
        <w:rPr>
          <w:rFonts w:ascii="Times New Roman" w:eastAsia="Times New Roman" w:hAnsi="Times New Roman" w:cs="Times New Roman"/>
          <w:b/>
          <w:noProof/>
          <w:color w:val="000000"/>
          <w:sz w:val="24"/>
          <w:szCs w:val="24"/>
          <w:lang w:val="en-GB" w:eastAsia="en-GB"/>
        </w:rPr>
        <w:t>upgrading their national traffic management systems</w:t>
      </w:r>
      <w:r>
        <w:rPr>
          <w:rFonts w:ascii="Times New Roman" w:eastAsia="Times New Roman" w:hAnsi="Times New Roman" w:cs="Times New Roman"/>
          <w:noProof/>
          <w:color w:val="000000"/>
          <w:sz w:val="24"/>
          <w:szCs w:val="24"/>
          <w:lang w:val="en-GB" w:eastAsia="en-GB"/>
        </w:rPr>
        <w:t>, including Bulgaria (various modernisation projects), Finland (as part of the LOU project - €30m for the road traffic management system), Poland (National Traffic Management System on the TEN-T network – stage I project: Implementation: 2016-2020, then 2019-2023 – system integration. Total funding €145m) and Sweden (Traffic Management System, NTS, for the period 2018-19, €13.5m).</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A few </w:t>
      </w:r>
      <w:r>
        <w:rPr>
          <w:rFonts w:ascii="Times New Roman" w:eastAsia="Times New Roman" w:hAnsi="Times New Roman" w:cs="Times New Roman"/>
          <w:b/>
          <w:noProof/>
          <w:color w:val="000000"/>
          <w:sz w:val="24"/>
          <w:szCs w:val="24"/>
          <w:lang w:val="en-GB" w:eastAsia="en-GB"/>
        </w:rPr>
        <w:t>innovative logistics projects</w:t>
      </w:r>
      <w:r>
        <w:rPr>
          <w:rFonts w:ascii="Times New Roman" w:eastAsia="Times New Roman" w:hAnsi="Times New Roman" w:cs="Times New Roman"/>
          <w:noProof/>
          <w:color w:val="000000"/>
          <w:sz w:val="24"/>
          <w:szCs w:val="24"/>
          <w:lang w:val="en-GB" w:eastAsia="en-GB"/>
        </w:rPr>
        <w:t xml:space="preserve"> were also mentioned. These projects aimed to support digitisation of freight management and improve efficiency.</w:t>
      </w:r>
    </w:p>
    <w:p>
      <w:pPr>
        <w:numPr>
          <w:ilvl w:val="0"/>
          <w:numId w:val="13"/>
        </w:numPr>
        <w:spacing w:before="120" w:after="60" w:line="276" w:lineRule="auto"/>
        <w:ind w:left="720"/>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Netherlands has implemented several projects for better data sharing. For instance, the Neutral Logistic Information Platform (NLIP) is a state-of-the-art information channel for maximising data availability within the logistics flow, by linking several existing information platforms, which should eventually be integrated. By 2020, 90% of the Dutch supply chain should be connected (€6m per year). The electronic consignment note is another area of focus – digitisation of this essential documents can generate cost savings and lower the risk of fraud.</w:t>
      </w:r>
    </w:p>
    <w:p>
      <w:pPr>
        <w:numPr>
          <w:ilvl w:val="0"/>
          <w:numId w:val="13"/>
        </w:numPr>
        <w:spacing w:before="120" w:after="60" w:line="276" w:lineRule="auto"/>
        <w:ind w:left="720"/>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Greece has been working on the New Cooperative Business Models and Guidance for Sustainable City Logistics (NOVELOG) project and the Green Intermodal Freight Transport (GIFT) projects, which aim to optimise freight transport and reduce the environmental footprint.</w:t>
      </w:r>
    </w:p>
    <w:p>
      <w:pPr>
        <w:numPr>
          <w:ilvl w:val="0"/>
          <w:numId w:val="13"/>
        </w:numPr>
        <w:spacing w:before="120" w:after="60" w:line="276" w:lineRule="auto"/>
        <w:ind w:left="720"/>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InterCor involves France, Belgium, the Netherlands and the United Kingdom and extends functionally services built earlier within SCOOP@F or the corridor Rotterdam-Frankfurt-Vienna to additional C-ITS services in the logistics field for heavy goods vehicles.</w:t>
      </w:r>
    </w:p>
    <w:p>
      <w:pPr>
        <w:numPr>
          <w:ilvl w:val="0"/>
          <w:numId w:val="13"/>
        </w:numPr>
        <w:spacing w:before="120" w:after="60" w:line="276" w:lineRule="auto"/>
        <w:ind w:left="720"/>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Finland and Estonia have worked together on the FinEstSmartMobility project, which implemented a smart guidance for heavy goods vehicles at ports for the Helsinki/Tallinn ferry connection. The project aims to integrate multimodal transport between cities and across borders and reduce the transport time for passengers and cargo.</w:t>
      </w:r>
    </w:p>
    <w:p>
      <w:pPr>
        <w:keepNext/>
        <w:keepLines/>
        <w:numPr>
          <w:ilvl w:val="1"/>
          <w:numId w:val="4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22" w:name="_Toc18589010"/>
      <w:r>
        <w:rPr>
          <w:rFonts w:ascii="Times New Roman" w:eastAsia="Times New Roman" w:hAnsi="Times New Roman" w:cs="Times New Roman"/>
          <w:b/>
          <w:noProof/>
          <w:color w:val="000000"/>
          <w:sz w:val="24"/>
          <w:szCs w:val="24"/>
          <w:lang w:val="en-GB" w:eastAsia="en-GB"/>
        </w:rPr>
        <w:t>Priority area III: ITS road safety and security applications</w:t>
      </w:r>
      <w:bookmarkEnd w:id="22"/>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stipulated in Annex I of the ITS Directive, priority area III is focused on activities related to eCall and the data exchange between vehicles and emergency call response centres, safety of Human-Machine-Interfaces, use of nomadic devices, security of in-vehicle communications, measures to improve the safety and comfort of vulnerable road users for all relevant ITS applications, advanced driver support information systems and the availability and exchange of truck parking information and reservation data.</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analysis of the 2017 national reports indicated that fewer activities have been carried out within this priority area compared to priority areas I and II. This is a similar picture to what was observed in previous years. However, significant overlaps were noticed between priority areas III and IV, as many of the cooperative ITS services being implemented have been safety focussed (but are generally reported in the priority area IV section).</w:t>
      </w:r>
    </w:p>
    <w:p>
      <w:pPr>
        <w:spacing w:after="24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Progress since 2014</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Concerning the types of projects reported, eCall related work was by far the most widely reported. This was likely influenced by Decision 585/2014/EU, which mandated the deployment of eCall PSAP infrastructure in Member States (see below). The next most frequently reported projects related to safe and secure truck parking, which indicates that setting priority actions in the Directive has helped to direct Member States’ activities within this area.</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Since 2014, many countries have focussed their activities on ensuring that the necessary Public Safety Answering Point (PSAP) infrastructure is in place to properly deliver eCall. Many countries reported on the EU-funded Infrastructure Harmonised eCall European Pilot (I_HeERO</w:t>
      </w:r>
      <w:r>
        <w:rPr>
          <w:rFonts w:ascii="Times New Roman" w:eastAsia="Times New Roman" w:hAnsi="Times New Roman" w:cs="Times New Roman"/>
          <w:noProof/>
          <w:color w:val="000000"/>
          <w:sz w:val="24"/>
          <w:szCs w:val="24"/>
          <w:vertAlign w:val="superscript"/>
          <w:lang w:val="en-GB" w:eastAsia="en-GB"/>
        </w:rPr>
        <w:footnoteReference w:id="30"/>
      </w:r>
      <w:r>
        <w:rPr>
          <w:rFonts w:ascii="Times New Roman" w:eastAsia="Times New Roman" w:hAnsi="Times New Roman" w:cs="Times New Roman"/>
          <w:noProof/>
          <w:color w:val="000000"/>
          <w:sz w:val="24"/>
          <w:szCs w:val="24"/>
          <w:lang w:val="en-GB" w:eastAsia="en-GB"/>
        </w:rPr>
        <w:t>) project, which enabled PSAPs in 11 Member States (Belgium, Cyprus, Czech Republic, Finland, Germany, Greece, Ireland, Italy, Portugal, Romania and Slovenia) to install the necessary hardware, software and organisation to receive and handle eCalls. The project also helped to perform PSAP Conformity Assessments, which is a legal obligation for all PSAP handling eCalls based on 112. I_HeERO built on the HeERO and HeERO 2 projects, in which many other Member States also participated. Austria reported also on the EU-funded eCall.at</w:t>
      </w:r>
      <w:r>
        <w:rPr>
          <w:rFonts w:ascii="Times New Roman" w:eastAsia="Times New Roman" w:hAnsi="Times New Roman" w:cs="Times New Roman"/>
          <w:noProof/>
          <w:color w:val="000000"/>
          <w:sz w:val="24"/>
          <w:szCs w:val="24"/>
          <w:vertAlign w:val="superscript"/>
          <w:lang w:val="en-GB" w:eastAsia="en-GB"/>
        </w:rPr>
        <w:footnoteReference w:id="31"/>
      </w:r>
      <w:r>
        <w:rPr>
          <w:rFonts w:ascii="Times New Roman" w:eastAsia="Times New Roman" w:hAnsi="Times New Roman" w:cs="Times New Roman"/>
          <w:noProof/>
          <w:color w:val="000000"/>
          <w:sz w:val="24"/>
          <w:szCs w:val="24"/>
          <w:lang w:val="en-GB" w:eastAsia="en-GB"/>
        </w:rPr>
        <w:t>, which focussed on the implementation and certification of 9 PSAPs in Austria.</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well as eCall related projects, other large-scale EU-funded ITS projects have been reported relating at least partly to priority area III. These include:</w:t>
      </w:r>
    </w:p>
    <w:p>
      <w:pPr>
        <w:numPr>
          <w:ilvl w:val="0"/>
          <w:numId w:val="14"/>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NEXT – ITS 2 aimed to improve the efficiency, safety and security of the Northern part of the Scandinavian-Mediterranean CEF corridor. Traffic management centres were upgraded and ITS services such as real-time traffic and weather monitoring and variable speed limits were installed (2015-2017; €35.9m, of which €7.2m EU-funded; involved Denmark, Finland, Germany and Sweden)</w:t>
      </w:r>
      <w:r>
        <w:rPr>
          <w:rFonts w:ascii="Times New Roman" w:eastAsia="Times New Roman" w:hAnsi="Times New Roman" w:cs="Times New Roman"/>
          <w:noProof/>
          <w:color w:val="000000"/>
          <w:sz w:val="24"/>
          <w:szCs w:val="24"/>
          <w:vertAlign w:val="superscript"/>
          <w:lang w:val="en-GB" w:eastAsia="en-GB"/>
        </w:rPr>
        <w:footnoteReference w:id="32"/>
      </w:r>
      <w:r>
        <w:rPr>
          <w:rFonts w:ascii="Times New Roman" w:eastAsia="Times New Roman" w:hAnsi="Times New Roman" w:cs="Times New Roman"/>
          <w:noProof/>
          <w:color w:val="000000"/>
          <w:sz w:val="24"/>
          <w:szCs w:val="24"/>
          <w:lang w:val="en-GB" w:eastAsia="en-GB"/>
        </w:rPr>
        <w:t>.</w:t>
      </w:r>
    </w:p>
    <w:p>
      <w:pPr>
        <w:numPr>
          <w:ilvl w:val="0"/>
          <w:numId w:val="14"/>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Ursa Major 2 is aiming to improve the safety and efficiency of freight traffic mainly along the Rhine-Alpine CEF core corridor. The project is working on enhancing truck parking services and supporting navigation services, in line with priority action e (2014-2018, €92.3m of which €18.5m EU-funded; involved Austria, Germany, Italy, Netherlands)</w:t>
      </w:r>
      <w:r>
        <w:rPr>
          <w:rFonts w:ascii="Times New Roman" w:eastAsia="Times New Roman" w:hAnsi="Times New Roman" w:cs="Times New Roman"/>
          <w:noProof/>
          <w:color w:val="000000"/>
          <w:sz w:val="24"/>
          <w:szCs w:val="24"/>
          <w:vertAlign w:val="superscript"/>
          <w:lang w:val="en-GB" w:eastAsia="en-GB"/>
        </w:rPr>
        <w:footnoteReference w:id="33"/>
      </w:r>
      <w:r>
        <w:rPr>
          <w:rFonts w:ascii="Times New Roman" w:eastAsia="Times New Roman" w:hAnsi="Times New Roman" w:cs="Times New Roman"/>
          <w:noProof/>
          <w:color w:val="000000"/>
          <w:sz w:val="24"/>
          <w:szCs w:val="24"/>
          <w:lang w:val="en-GB" w:eastAsia="en-GB"/>
        </w:rPr>
        <w:t>.</w:t>
      </w:r>
    </w:p>
    <w:p>
      <w:pPr>
        <w:numPr>
          <w:ilvl w:val="0"/>
          <w:numId w:val="14"/>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CROCODILE 2 (also reported under priority area I) is aiming to ensure more coordinated traffic management services. It is directly contributing towards the development of national access points, particularly for priority actions b, c and e, and installed additional truck parking places equipped with technology to be integrated into the dynamic ITP information system.</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Besides these EU-level projects, a number of national level projects were also included in the national reports. As for other priority areas, these examples have been selected due to their innovative features or because they represent significant progress since 2014:</w:t>
      </w:r>
    </w:p>
    <w:p>
      <w:pPr>
        <w:numPr>
          <w:ilvl w:val="0"/>
          <w:numId w:val="15"/>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Speed limit enforcement</w:t>
      </w:r>
      <w:r>
        <w:rPr>
          <w:rFonts w:ascii="Times New Roman" w:eastAsia="Times New Roman" w:hAnsi="Times New Roman" w:cs="Times New Roman"/>
          <w:noProof/>
          <w:color w:val="000000"/>
          <w:sz w:val="24"/>
          <w:szCs w:val="24"/>
          <w:lang w:val="en-GB" w:eastAsia="en-GB"/>
        </w:rPr>
        <w:t xml:space="preserve"> projects were mentioned in several reports (e.g. Belgium, Estonia, Latvia, Lithuania, Malta, Poland and Sweden). These involved the installation of traffic cameras/photo radars, average speed check cameras, devices to detect red light running and the necessary software for automatic data processing.</w:t>
      </w:r>
    </w:p>
    <w:p>
      <w:pPr>
        <w:numPr>
          <w:ilvl w:val="0"/>
          <w:numId w:val="15"/>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Lithuania developed a </w:t>
      </w:r>
      <w:r>
        <w:rPr>
          <w:rFonts w:ascii="Times New Roman" w:eastAsia="Times New Roman" w:hAnsi="Times New Roman" w:cs="Times New Roman"/>
          <w:b/>
          <w:noProof/>
          <w:color w:val="000000"/>
          <w:sz w:val="24"/>
          <w:szCs w:val="24"/>
          <w:lang w:val="en-GB" w:eastAsia="en-GB"/>
        </w:rPr>
        <w:t>Multifunctional traffic enforcement system (MTES)</w:t>
      </w:r>
      <w:r>
        <w:rPr>
          <w:rFonts w:ascii="Times New Roman" w:eastAsia="Times New Roman" w:hAnsi="Times New Roman" w:cs="Times New Roman"/>
          <w:noProof/>
          <w:color w:val="000000"/>
          <w:sz w:val="24"/>
          <w:szCs w:val="24"/>
          <w:lang w:val="en-GB" w:eastAsia="en-GB"/>
        </w:rPr>
        <w:t xml:space="preserve"> deployed on three high volume road sections to check e.g. if the road user charge has been paid, if a vehicle is insured and has valid technical supervision certificate.</w:t>
      </w:r>
    </w:p>
    <w:p>
      <w:pPr>
        <w:numPr>
          <w:ilvl w:val="0"/>
          <w:numId w:val="15"/>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Large animal detection</w:t>
      </w:r>
      <w:r>
        <w:rPr>
          <w:rFonts w:ascii="Times New Roman" w:eastAsia="Times New Roman" w:hAnsi="Times New Roman" w:cs="Times New Roman"/>
          <w:noProof/>
          <w:color w:val="000000"/>
          <w:sz w:val="24"/>
          <w:szCs w:val="24"/>
          <w:lang w:val="en-GB" w:eastAsia="en-GB"/>
        </w:rPr>
        <w:t xml:space="preserve"> projects were carried out in both Estonia and Finland. For example, in Finland, a pilot was carried out as part of the Aurora test ecosystem, to reduce the number of reindeer accidents that occur (currently 4,000 per year on Finland's roads and railways). After a successful pilot, a real service that provides real-time reindeer warnings to drivers through in-car navigation systems and mobile apps using Global Navigation Satellite System (GNSS) and mobile technology, was opened to public in 2017 and is still running.</w:t>
      </w:r>
    </w:p>
    <w:p>
      <w:pPr>
        <w:numPr>
          <w:ilvl w:val="0"/>
          <w:numId w:val="15"/>
        </w:numPr>
        <w:spacing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Dangerous goods monitoring</w:t>
      </w:r>
      <w:r>
        <w:rPr>
          <w:rFonts w:ascii="Times New Roman" w:eastAsia="Times New Roman" w:hAnsi="Times New Roman" w:cs="Times New Roman"/>
          <w:noProof/>
          <w:color w:val="000000"/>
          <w:sz w:val="24"/>
          <w:szCs w:val="24"/>
          <w:lang w:val="en-GB" w:eastAsia="en-GB"/>
        </w:rPr>
        <w:t xml:space="preserve"> has been improved in Italy via use of a National Logistics Platform (PLN) to collect and exchange data.</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Other types of projects carried out include for instance implementing digital audio broadcasting (DAB) to allow serious incident warnings to be broadcast in tunnels (Belgium) or safer crossings at level nodes of the railway network (Greece). As already mentioned, countries with quite advanced C-ITS activities also mentioned their safety-focussed C-ITS work in this section of the report (e.g. Denmark, Netherlands, Sweden).</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Another finding was that very few Member States reported carrying out projects that were focussed on security applications. However, two countries (Netherlands and Sweden) included security aspects as part of their national ITS strategies.</w:t>
      </w:r>
    </w:p>
    <w:p>
      <w:pPr>
        <w:spacing w:after="24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Deployment of 112 eCall in the PSAPs</w:t>
      </w:r>
      <w:r>
        <w:rPr>
          <w:rFonts w:ascii="Times New Roman" w:eastAsia="Times New Roman" w:hAnsi="Times New Roman" w:cs="Times New Roman"/>
          <w:b/>
          <w:noProof/>
          <w:color w:val="000000"/>
          <w:sz w:val="24"/>
          <w:szCs w:val="24"/>
          <w:vertAlign w:val="superscript"/>
          <w:lang w:val="en-GB" w:eastAsia="en-GB"/>
        </w:rPr>
        <w:footnoteReference w:id="34"/>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delegated regulation (No 305/2013) for this priority action provides specifications for Member States to upgrade Public Safety Answering Point (PSAP) infrastructure to enable the harmonised provision of an interoperable EU-wide eCall service. As stated in Decision 585/2014/EU, Member States were required to have their PSAP infrastructure ready for receiving and handling eCalls by 1</w:t>
      </w:r>
      <w:r>
        <w:rPr>
          <w:rFonts w:ascii="Times New Roman" w:eastAsia="Times New Roman" w:hAnsi="Times New Roman" w:cs="Times New Roman"/>
          <w:noProof/>
          <w:color w:val="000000"/>
          <w:sz w:val="24"/>
          <w:szCs w:val="24"/>
          <w:vertAlign w:val="superscript"/>
          <w:lang w:val="en-GB" w:eastAsia="en-GB"/>
        </w:rPr>
        <w:t>st</w:t>
      </w:r>
      <w:r>
        <w:rPr>
          <w:rFonts w:ascii="Times New Roman" w:eastAsia="Times New Roman" w:hAnsi="Times New Roman" w:cs="Times New Roman"/>
          <w:noProof/>
          <w:color w:val="000000"/>
          <w:sz w:val="24"/>
          <w:szCs w:val="24"/>
          <w:lang w:val="en-GB" w:eastAsia="en-GB"/>
        </w:rPr>
        <w:t xml:space="preserve"> October 2017. By 1 October 2017, 23 countries reported that their PSAP infrastructure was ready for eCall. Of these, the Netherlands stated that a provisional system is in place and Spain indicated eCall may not be fully ready in some regions. Infrastructure in four countries (Belgium, Bulgaria, Germany and Slovakia) was still under development; of these, Germany and Slovakia expected to be ready by March 2018, while Belgium and Bulgaria did not provide a date. Hungary did not provide information. In November 2017, Norway was still preparing a technical solution to be implemented in one or more of the 12 emergency centres by April 2018.</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situation has improved in the course of 2018 and at the date of writing of this report (30 November 2018), only one issue seemed to remain, based on the declarations of Member States, i.e. the lack of deployment for Ceuta and Melilla in Spain.</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Implementation of specifications (e)</w:t>
      </w:r>
      <w:r>
        <w:rPr>
          <w:rFonts w:ascii="Times New Roman" w:eastAsia="Times New Roman" w:hAnsi="Times New Roman" w:cs="Times New Roman"/>
          <w:b/>
          <w:noProof/>
          <w:color w:val="000000"/>
          <w:sz w:val="24"/>
          <w:szCs w:val="24"/>
          <w:vertAlign w:val="superscript"/>
          <w:lang w:val="en-GB" w:eastAsia="en-GB"/>
        </w:rPr>
        <w:footnoteReference w:id="35"/>
      </w:r>
      <w:r>
        <w:rPr>
          <w:rFonts w:ascii="Times New Roman" w:eastAsia="Times New Roman" w:hAnsi="Times New Roman" w:cs="Times New Roman"/>
          <w:b/>
          <w:noProof/>
          <w:color w:val="000000"/>
          <w:sz w:val="24"/>
          <w:szCs w:val="24"/>
          <w:lang w:val="en-GB" w:eastAsia="en-GB"/>
        </w:rPr>
        <w:t>: provision of information services for safe and secure parking places for trucks and commercial vehicles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delegated regulation for this action was adopted in 2013 and provides specifications to ensure the compatibility, interoperability and continuity of information services for safe and secure parking places for trucks and commercial vehicles. Static data (e.g. location information, total number of parking places for trucks) should be accessible through a national or international access point, while Member States are responsible for establishing and managing a single NAP containing dynamic data (such as the availability of parking spaces).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At the request of Member States, the Commission has also set up a European Access Point for truck parking data, accessible through the European Union Open Data Portal</w:t>
      </w:r>
      <w:r>
        <w:rPr>
          <w:rFonts w:ascii="Times New Roman" w:eastAsia="Times New Roman" w:hAnsi="Times New Roman" w:cs="Times New Roman"/>
          <w:noProof/>
          <w:color w:val="000000"/>
          <w:sz w:val="24"/>
          <w:szCs w:val="24"/>
          <w:vertAlign w:val="superscript"/>
          <w:lang w:val="en-GB" w:eastAsia="en-GB"/>
        </w:rPr>
        <w:footnoteReference w:id="36"/>
      </w:r>
      <w:r>
        <w:rPr>
          <w:rFonts w:ascii="Times New Roman" w:eastAsia="Times New Roman" w:hAnsi="Times New Roman" w:cs="Times New Roman"/>
          <w:noProof/>
          <w:color w:val="000000"/>
          <w:sz w:val="24"/>
          <w:szCs w:val="24"/>
          <w:lang w:val="en-GB" w:eastAsia="en-GB"/>
        </w:rPr>
        <w:t>, providing also a visual overview through the TENTec Portal</w:t>
      </w:r>
      <w:r>
        <w:rPr>
          <w:rFonts w:ascii="Times New Roman" w:eastAsia="Times New Roman" w:hAnsi="Times New Roman" w:cs="Times New Roman"/>
          <w:noProof/>
          <w:color w:val="000000"/>
          <w:sz w:val="24"/>
          <w:szCs w:val="24"/>
          <w:vertAlign w:val="superscript"/>
          <w:lang w:val="en-GB" w:eastAsia="en-GB"/>
        </w:rPr>
        <w:footnoteReference w:id="37"/>
      </w:r>
      <w:r>
        <w:rPr>
          <w:rFonts w:ascii="Times New Roman" w:eastAsia="Times New Roman" w:hAnsi="Times New Roman" w:cs="Times New Roman"/>
          <w:noProof/>
          <w:color w:val="000000"/>
          <w:sz w:val="24"/>
          <w:szCs w:val="24"/>
          <w:lang w:val="en-GB" w:eastAsia="en-GB"/>
        </w:rPr>
        <w:t>. This European Access Point is complementary to the National Access Points and Member States can publish their truck parking data either on the European or the National Access Point, or on both.</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At the date of writing of this report (30 November 2018), thirteen countries have set up operational NAPs for truck parking information and/or published their data on the European Access Point. However, the extent of the data available is quite variable. For example, some NAPs offer a limited amount of dynamic data, whereas others only provide static data. The remaining countries are still in the design/development phase of their NAP. Five Member States have decided not to take any action as they consider that the Delegated Regulation is not applicable due to the absence of safe and secure parking information services.</w:t>
      </w:r>
    </w:p>
    <w:p>
      <w:pPr>
        <w:keepNext/>
        <w:keepLines/>
        <w:numPr>
          <w:ilvl w:val="1"/>
          <w:numId w:val="4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23" w:name="_Toc18589011"/>
      <w:r>
        <w:rPr>
          <w:rFonts w:ascii="Times New Roman" w:eastAsia="Times New Roman" w:hAnsi="Times New Roman" w:cs="Times New Roman"/>
          <w:b/>
          <w:noProof/>
          <w:color w:val="000000"/>
          <w:sz w:val="24"/>
          <w:szCs w:val="24"/>
          <w:lang w:val="en-GB" w:eastAsia="en-GB"/>
        </w:rPr>
        <w:t>Priority area IV: Linking the vehicle with the transport infrastructure</w:t>
      </w:r>
      <w:bookmarkEnd w:id="23"/>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As stipulated in Annex I of the ITS Directive, priority area IV is focused upon ITS applications on open in-vehicle platforms and the development and implementation of cooperative systems including vehicle-to-vehicle, vehicle-to-infrastructure and infrastructure-to-infrastructure communication.</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Priority area IV has two actions specified in the ITS Directive:</w:t>
      </w:r>
    </w:p>
    <w:p>
      <w:pPr>
        <w:numPr>
          <w:ilvl w:val="0"/>
          <w:numId w:val="16"/>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definition of necessary measures to integrate different ITS applications on an open in-vehicle platform.</w:t>
      </w:r>
    </w:p>
    <w:p>
      <w:pPr>
        <w:numPr>
          <w:ilvl w:val="0"/>
          <w:numId w:val="16"/>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definition of necessary measures to further progress the development and implementation of cooperative (vehicle-to-vehicle, vehicle-to-infrastructure, infrastructure-to-infrastructure) systems.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Many new research and deployment activities have been reported in priority area IV, in particular for C-ITS, leading to a catch up with other priority areas for many countries.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work in this area is still in the early phases of deployment. Early pre-deployment projects (e.g. the C-ITS corridor Rotterdam-Frankfurt-Vienna, SCOOP@F, NordicWay) have been used to further develop the policies and standards required to ensure interoperable cooperative systems across the EU, which are being further harmonized and deployed through the C-Roads platform and projects supported by the Connecting Europe Facility (CEF).</w:t>
      </w:r>
    </w:p>
    <w:p>
      <w:pPr>
        <w:spacing w:after="24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Progress since 2014</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following reported examples demonstrate the type of work and progress in this area:</w:t>
      </w:r>
    </w:p>
    <w:p>
      <w:pPr>
        <w:numPr>
          <w:ilvl w:val="0"/>
          <w:numId w:val="17"/>
        </w:numPr>
        <w:spacing w:before="120" w:after="6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The C-Roads</w:t>
      </w:r>
      <w:r>
        <w:rPr>
          <w:rFonts w:ascii="Times New Roman" w:eastAsia="Times New Roman" w:hAnsi="Times New Roman" w:cs="Times New Roman"/>
          <w:b/>
          <w:noProof/>
          <w:color w:val="000000"/>
          <w:sz w:val="24"/>
          <w:szCs w:val="24"/>
          <w:vertAlign w:val="superscript"/>
          <w:lang w:val="en-GB" w:eastAsia="en-GB"/>
        </w:rPr>
        <w:footnoteReference w:id="38"/>
      </w:r>
      <w:r>
        <w:rPr>
          <w:rFonts w:ascii="Times New Roman" w:eastAsia="Times New Roman" w:hAnsi="Times New Roman" w:cs="Times New Roman"/>
          <w:b/>
          <w:noProof/>
          <w:color w:val="000000"/>
          <w:sz w:val="24"/>
          <w:szCs w:val="24"/>
          <w:lang w:val="en-GB" w:eastAsia="en-GB"/>
        </w:rPr>
        <w:t xml:space="preserve"> Platform</w:t>
      </w:r>
      <w:r>
        <w:rPr>
          <w:rFonts w:ascii="Times New Roman" w:eastAsia="Times New Roman" w:hAnsi="Times New Roman" w:cs="Times New Roman"/>
          <w:noProof/>
          <w:color w:val="000000"/>
          <w:sz w:val="24"/>
          <w:szCs w:val="24"/>
          <w:lang w:val="en-GB" w:eastAsia="en-GB"/>
        </w:rPr>
        <w:t xml:space="preserve"> was developed to address interoperability needs noted in the summary of the analysis of the 2014 national reports. The Platform gathers national and cross-borders projects and aims to address the lack of harmonisation and standardisation in C-ITS deployment, which was considered a key obstacle to EU-wide deployment and interoperability. The Platform enables and encourages collaboration between the existing C-ITS projects that are taking place in some Member States, and facilitated the agreement of common standards and specifications for these and future projects. The core countries involved includes Austria, Belgium, Czech Republic, Denmark, Finland, France, Germany, Hungary, Italy, Netherlands, Norway, Portugal, Slovenia, Spain, Sweden and United Kingdom. Associated members (Ireland, Switzerland) are involved in projects conducted by core members, as well as some associated international actors such as Austroads, an Australian road transport association.</w:t>
      </w:r>
    </w:p>
    <w:p>
      <w:pPr>
        <w:numPr>
          <w:ilvl w:val="0"/>
          <w:numId w:val="17"/>
        </w:numPr>
        <w:spacing w:before="120" w:after="120" w:line="276" w:lineRule="auto"/>
        <w:ind w:left="714" w:hanging="357"/>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Several C-ITS EU Research Projects, involving many local authorities and other actors, were reported, in particular </w:t>
      </w:r>
      <w:r>
        <w:rPr>
          <w:rFonts w:ascii="Times New Roman" w:eastAsia="Times New Roman" w:hAnsi="Times New Roman" w:cs="Times New Roman"/>
          <w:b/>
          <w:noProof/>
          <w:color w:val="000000"/>
          <w:sz w:val="24"/>
          <w:szCs w:val="24"/>
          <w:lang w:val="en-GB" w:eastAsia="en-GB"/>
        </w:rPr>
        <w:t>C-Mobile, CO-GISTICS, COMPASS4D, Auto C-ITS</w:t>
      </w:r>
      <w:r>
        <w:rPr>
          <w:rFonts w:ascii="Times New Roman" w:eastAsia="Times New Roman" w:hAnsi="Times New Roman" w:cs="Times New Roman"/>
          <w:noProof/>
          <w:color w:val="000000"/>
          <w:sz w:val="24"/>
          <w:szCs w:val="24"/>
          <w:lang w:val="en-GB" w:eastAsia="en-GB"/>
        </w:rPr>
        <w:t>. These projects look at diverse aspects of C-ITS (e.g. improving safety for urban areas, truck logistics in cities in terms of energy efficiency, enhancing interoperability for autonomous vehicles). The projects are run at EU level rather than in specific regions. Involvement in these projects is considered a lower level of activity than the nationally driven projects identified above, but are still important contributors to the priority area IV actions.</w:t>
      </w:r>
    </w:p>
    <w:p>
      <w:pPr>
        <w:keepNext/>
        <w:keepLines/>
        <w:numPr>
          <w:ilvl w:val="1"/>
          <w:numId w:val="42"/>
        </w:numPr>
        <w:spacing w:before="240" w:after="240" w:line="276" w:lineRule="auto"/>
        <w:ind w:left="482" w:hanging="482"/>
        <w:jc w:val="both"/>
        <w:outlineLvl w:val="1"/>
        <w:rPr>
          <w:rFonts w:ascii="Times New Roman" w:eastAsia="Times New Roman" w:hAnsi="Times New Roman" w:cs="Times New Roman"/>
          <w:b/>
          <w:noProof/>
          <w:color w:val="000000"/>
          <w:sz w:val="24"/>
          <w:szCs w:val="24"/>
          <w:lang w:val="en-GB" w:eastAsia="en-GB"/>
        </w:rPr>
      </w:pPr>
      <w:bookmarkStart w:id="24" w:name="_Toc18589012"/>
      <w:r>
        <w:rPr>
          <w:rFonts w:ascii="Times New Roman" w:eastAsia="Times New Roman" w:hAnsi="Times New Roman" w:cs="Times New Roman"/>
          <w:b/>
          <w:noProof/>
          <w:color w:val="000000"/>
          <w:sz w:val="24"/>
          <w:szCs w:val="24"/>
          <w:lang w:val="en-GB" w:eastAsia="en-GB"/>
        </w:rPr>
        <w:t>Other initiatives / highlights</w:t>
      </w:r>
      <w:bookmarkEnd w:id="24"/>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Besides projects within the four priority areas, many countries also included details of other projects that did not sit clearly within one of the priority areas. These included projects in rapidly developing ITS themes, such as vehicle automation and Mobility as a Service (MaaS), as well as in areas not covered by the ITS Directive (but covered by the ITS Action Plan) such as electronic tolling.</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most frequently reported ITS themes in the 2017 national reports are listed below – these are accompanied with selected examples of projects:</w:t>
      </w:r>
    </w:p>
    <w:p>
      <w:pPr>
        <w:numPr>
          <w:ilvl w:val="0"/>
          <w:numId w:val="17"/>
        </w:numPr>
        <w:spacing w:before="120" w:after="6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Mobility as a service (MaaS)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new Finnish Act on Transport Services forces key stakeholders to open their information and ticketing interfaces which in turn enables aggregation of various mobility services into comprehensive, attractive and cost-efficient offerings brought to the customers by Mobility as a Service operators (MaaS operators). Finland mentioned many pilots and activities and the emergence of several MaaS operators. France, Netherlands and Spain also mentioned work in this area, while Sweden has developed a MaaS roadmap and set up the KOMPIS (Combined Mobility as a Service) pilot project (2016-2020).</w:t>
      </w:r>
    </w:p>
    <w:p>
      <w:pPr>
        <w:numPr>
          <w:ilvl w:val="0"/>
          <w:numId w:val="17"/>
        </w:numPr>
        <w:spacing w:before="120" w:after="6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Driverless vehicles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Sweden has started DriveMe (2014 onwards), the world’s first large-scale autonomous driving pilot project, with first pilot cars on Gothenburg roads in 2017. Sweden also created a Strategic Vehicle Research and Innovation partnership (2016 onwards - €90m/year) within the public-private FFI ((Fordonsstrategisk, Forskning och Innovation), which funds R&amp;D that focuses on energy, environment, safety and automation.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Portugal and Estonia reported setting up autonomous vehicle expert groups. Estonia has also made it possible to operate self-driving vehicles in the country, as long as a driver is present. Several other countries such as Belgium, Finland, Germany, Netherlands, Spain and United Kingdom also reported on legal frameworks for testing or for autonomous vehicle trials. France, Germany and Luxembourg launched in September 2017 a cross-border collaboration project that aims at facilitating the development and experimentation of automated and connected driving technologies in relation to intelligent transport systems and electric mobility.</w:t>
      </w:r>
    </w:p>
    <w:p>
      <w:pPr>
        <w:numPr>
          <w:ilvl w:val="0"/>
          <w:numId w:val="17"/>
        </w:numPr>
        <w:spacing w:before="120" w:after="6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Drones in transport</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Netherlands has begun to investigate the use of drones for traffic monitoring and surveillance.</w:t>
      </w:r>
    </w:p>
    <w:p>
      <w:pPr>
        <w:numPr>
          <w:ilvl w:val="0"/>
          <w:numId w:val="17"/>
        </w:numPr>
        <w:spacing w:before="120" w:after="6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Electronic tolling</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Portugal, as part of the OPTIMUM project (proactive charging schemes for freight transport, 2015-2018) has tested variable pricing for freight vehicles, with calculations based on real-time transport network conditions. This is aimed to reduce congestion and improve environmental conditions.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Greece also reported several electronic tolling projects, spanning several stretches of motorway.</w:t>
      </w:r>
    </w:p>
    <w:p>
      <w:pPr>
        <w:numPr>
          <w:ilvl w:val="0"/>
          <w:numId w:val="17"/>
        </w:numPr>
        <w:spacing w:before="120" w:after="6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Smart city projects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Finland has carried out several “smart city” projects in major cities across the country. These have aimed to use increased connectivity to deliver better transport systems.</w:t>
      </w:r>
    </w:p>
    <w:p>
      <w:pPr>
        <w:numPr>
          <w:ilvl w:val="0"/>
          <w:numId w:val="17"/>
        </w:numPr>
        <w:spacing w:before="120" w:after="6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Knowledge sharing initiatives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France launched the Mobilité 3.0 initiative, which aims to bring together all actors within the smart mobility sector to facilitate knowledge exchange and accelerate deployment.</w:t>
      </w:r>
    </w:p>
    <w:p>
      <w:pPr>
        <w:numPr>
          <w:ilvl w:val="0"/>
          <w:numId w:val="17"/>
        </w:numPr>
        <w:spacing w:before="120" w:after="6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Data security, protection and liability issues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Netherlands has set up the Smart Mobility Community for Standards &amp; Practices. This aims to facilitate cooperation and knowledge sharing so that Smart Mobility solutions can be implemented at a larger scale.</w:t>
      </w:r>
    </w:p>
    <w:p>
      <w:pPr>
        <w:keepNext/>
        <w:keepLines/>
        <w:numPr>
          <w:ilvl w:val="0"/>
          <w:numId w:val="4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25" w:name="_Toc18589013"/>
      <w:r>
        <w:rPr>
          <w:rFonts w:ascii="Times New Roman" w:eastAsia="Times New Roman" w:hAnsi="Times New Roman" w:cs="Times New Roman"/>
          <w:b/>
          <w:smallCaps/>
          <w:noProof/>
          <w:color w:val="000000"/>
          <w:sz w:val="24"/>
          <w:szCs w:val="24"/>
          <w:lang w:val="en-GB" w:eastAsia="en-GB"/>
        </w:rPr>
        <w:t>Key Performance Indicators (KPIs)</w:t>
      </w:r>
      <w:bookmarkEnd w:id="25"/>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For the first time in 2017, a section on KPIs was included in the Commission’s common template for the ITS national reports. As noted earlier in this report, reporting of KPIs has been mixed, with not all Member States providing information. A summary of the values reported by type of indicator (deployment, benefit or financial) is presented in the next sections.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An assessment of the progress made has not been carried out because KPIs were not reported in previous years’ reports and it has not been possible to derive KPIs based on the information available in previous reports.</w:t>
      </w:r>
    </w:p>
    <w:p>
      <w:pPr>
        <w:keepNext/>
        <w:keepLines/>
        <w:numPr>
          <w:ilvl w:val="1"/>
          <w:numId w:val="4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26" w:name="_Toc18589014"/>
      <w:r>
        <w:rPr>
          <w:rFonts w:ascii="Times New Roman" w:eastAsia="Times New Roman" w:hAnsi="Times New Roman" w:cs="Times New Roman"/>
          <w:b/>
          <w:noProof/>
          <w:color w:val="000000"/>
          <w:sz w:val="24"/>
          <w:szCs w:val="24"/>
          <w:lang w:val="en-GB" w:eastAsia="en-GB"/>
        </w:rPr>
        <w:t>Deployment KPIs</w:t>
      </w:r>
      <w:bookmarkEnd w:id="26"/>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Deployment KPIs were provided by 12 countries (Austria, Belgium, Czech Republic, Denmark, Greece, Spain, Finland, Hungary, Ireland, Netherlands, Norway and Sweden) in their national reports. However, not all countries provided information for all seven deployment KPIs, with the least reported indicators being freight information (5 countries).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Some countries broke down the KPIs into different categories. For example, the KPI for information gathering infrastructure/equipment was broken down into: weather monitoring (Denmark, Finland, Sweden), traffic volume (Finland, Sweden), permanent fixed traffic monitoring (Denmark), temporary fixed traffic monitoring (Denmark) and mobile/probe traffic monitoring (Denmark) and travel time (Finland). In some cases, KPIs (such as incident detection) were disaggregated into tunnels and the rest of the road network.</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level of disaggregation by road type also varied. Some countries provided KPIs for the whole TEN-T road network, while other countries provided individual KPIs for varying degrees of disaggregation (for example, combinations of TEN-T network, TEN-T core, TEN-T comprehensive, other motorways, urban roads).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Due to the limited number of countries reporting on KPIs, it is difficult to use these to gain an accurate picture of ITS deployment across the EU. The broad definitions of each KPI and the variability in how the KPIs were reported also make comparisons between countries more challenging, particularly due to the different levels of disaggregation chosen by Member States, with many KPIs showing a range of values between 0% and 100%. Some useful conclusions could nevertheless be drawn specifically for deployment KPIs.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This section provides a short summary (by KPI) for the twelve countries that reported deployment KPIs (a table summarising the KPI values for each Member State can be found in annex I).</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Information gathering infrastructure/equipment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Reporting of this KPI varied significantly across Member States, with some providing more detailed information than others. For example, some countries (Austria, Denmark, Finland, Sweden) decided to break the KPI down into several sub-categories (such as cameras, weather monitoring, permanent fixed traffic monitoring, temporary fixed traffic monitoring, mobile/probe traffic monitoring and traffic volume services), while other countries (Belgium, Spain, Greece, Netherlands) did not provide a breakdown by ITS service. However, the available information indicates that the TEN-T network in the reporting countries generally has a high level of coverage of information gathering infrastructure (above 75%).</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Incident detection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Coverage of the TEN-T network with ITS used to detect traffic incidents varied significantly among Member States that reported on this KPI. The values reported ranged from 0.4% (Denmark) to 100% (Netherlands, Hungary) for the TEN-T network, with the remaining countries somewhere between these values. Two countries provided a separate KPI for incident detection in tunnels (Austria - 100% of 381 km - and Denmark - 80% of 6.1 km), while some countries (Finland and Sweden) specified values for manual and automated incident detection.</w:t>
      </w:r>
    </w:p>
    <w:p>
      <w:pPr>
        <w:spacing w:after="120" w:line="276" w:lineRule="auto"/>
        <w:jc w:val="both"/>
        <w:rPr>
          <w:rFonts w:ascii="Times New Roman" w:eastAsia="Times New Roman" w:hAnsi="Times New Roman" w:cs="Arial"/>
          <w:b/>
          <w:noProof/>
          <w:color w:val="000000"/>
          <w:sz w:val="24"/>
          <w:szCs w:val="24"/>
          <w:lang w:val="en-GB" w:eastAsia="en-GB"/>
        </w:rPr>
      </w:pPr>
      <w:r>
        <w:rPr>
          <w:rFonts w:ascii="Times New Roman" w:eastAsia="Times New Roman" w:hAnsi="Times New Roman" w:cs="Arial"/>
          <w:b/>
          <w:noProof/>
          <w:color w:val="000000"/>
          <w:sz w:val="24"/>
          <w:szCs w:val="24"/>
          <w:lang w:val="en-GB" w:eastAsia="en-GB"/>
        </w:rPr>
        <w:t>Traffic management and traffic control measures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national reports indicated that the deployment of ITS to enable traffic management and control measures varies considerably among countries. All countries reported on this KPI for the TEN-T network, high-level road network, or motorways, apart from Sweden, which only provided a value for urban roads. The values reported ranged from 0% (Ireland motorways and TEN-T comprehensive) to 100% (Netherlands), with a range of values in between these. Sweden reported a KPI of 27% for urban roads. In addition, Denmark provided values for tunnels (100% of 6.1 km).</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Cooperative-ITS services and applications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Cs/>
          <w:noProof/>
          <w:color w:val="000000"/>
          <w:sz w:val="24"/>
          <w:szCs w:val="24"/>
          <w:lang w:val="en-GB" w:eastAsia="en-GB"/>
        </w:rPr>
        <w:t>Half of the reporting countries did not provide a C-ITS KPI or provided a null value, considering that technology was only at pilot stage even if sometimes numerous pilot projects were in progress. For the other countries, the values reported were low except for Finland. Denmark also noted that the KPI is intended to be for road-based ITS infrastructure, while the main project in the country (NordicWay) is based on cellular communication technology and so has no road-based infrastructure.</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Real-time traffic information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Compared to other KPIs, the reporting of real-time traffic information was relatively consistent for the all countries. Coverage was generally very high, with all countries reporting 100% for the TEN-T road network, apart from Greece and Ireland. The Czech Republic also provided detailed information by type of service.</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Dynamic travel information (multimodal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Four countries (Belgium, Czech Republic, Hungary and Norway) did not report on this KPI. For the other countries, the method of reporting varied, with some countries providing values for transport nodes and/or the TEN-T network. Sweden also disaggregated the data by nodes with fixed devices (13%) and by nodes with mobile devices (100% coverage), while Ireland disaggregated the data by nodes of road and rail. The values reported for transport nodes ranged from 27% (Austria) to 100% (Denmark, Greece, Ireland for rail,), while the values for the TEN-T network ranged from 13% (Greece) to 100% (Austria, Denmark, Finland, Ireland, Netherlands). </w:t>
      </w:r>
    </w:p>
    <w:p>
      <w:pPr>
        <w:keepNext/>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Freight information (multimodal if possible, or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Five countries reported on this KPI (Belgium, Czech Republic, Denmark, Netherlands, Spain) and all values were close to 100% for the TEN-T road network. Only the Czech Republic provided a multimodal KPI and approximated that 60% of transhipment sites for combined transport modes are covered by information services. Denmark reported that the number of nodes could not be calculated.</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112 eCalls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Member States were not asked to report on this KPI, as the related information will be provided regularly through another channel, i.e. the yearly COCOM (Communications Committee) questionnaire on the implementation of the 112 number</w:t>
      </w:r>
      <w:r>
        <w:rPr>
          <w:rFonts w:ascii="Times New Roman" w:eastAsia="Times New Roman" w:hAnsi="Times New Roman" w:cs="Times New Roman"/>
          <w:noProof/>
          <w:color w:val="000000"/>
          <w:sz w:val="24"/>
          <w:szCs w:val="24"/>
          <w:vertAlign w:val="superscript"/>
          <w:lang w:val="en-GB" w:eastAsia="en-GB"/>
        </w:rPr>
        <w:footnoteReference w:id="39"/>
      </w:r>
      <w:r>
        <w:rPr>
          <w:rFonts w:ascii="Times New Roman" w:eastAsia="Times New Roman" w:hAnsi="Times New Roman" w:cs="Times New Roman"/>
          <w:noProof/>
          <w:color w:val="000000"/>
          <w:sz w:val="24"/>
          <w:szCs w:val="24"/>
          <w:lang w:val="en-GB" w:eastAsia="en-GB"/>
        </w:rPr>
        <w:t>. To be noted that, as first vehicles equipped with the 112 eCall system only hit the roads by the second half of 2018, significant figures should only be reported as from 2019.</w:t>
      </w:r>
    </w:p>
    <w:p>
      <w:pPr>
        <w:keepNext/>
        <w:keepLines/>
        <w:numPr>
          <w:ilvl w:val="1"/>
          <w:numId w:val="4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27" w:name="_Toc18589015"/>
      <w:r>
        <w:rPr>
          <w:rFonts w:ascii="Times New Roman" w:eastAsia="Times New Roman" w:hAnsi="Times New Roman" w:cs="Times New Roman"/>
          <w:b/>
          <w:noProof/>
          <w:color w:val="000000"/>
          <w:sz w:val="24"/>
          <w:szCs w:val="24"/>
          <w:lang w:val="en-GB" w:eastAsia="en-GB"/>
        </w:rPr>
        <w:t>Benefit KPIs</w:t>
      </w:r>
      <w:bookmarkEnd w:id="27"/>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total, four countries (Finland, Germany, Netherlands and Spain) provided benefit KPIs. Of these, Finland was the only country to have provided KPIs for each of the three categories (travel time, road safety and CO</w:t>
      </w:r>
      <w:r>
        <w:rPr>
          <w:rFonts w:ascii="Times New Roman" w:eastAsia="Times New Roman" w:hAnsi="Times New Roman" w:cs="Times New Roman"/>
          <w:noProof/>
          <w:color w:val="000000"/>
          <w:sz w:val="24"/>
          <w:szCs w:val="24"/>
          <w:vertAlign w:val="subscript"/>
          <w:lang w:val="en-GB" w:eastAsia="en-GB"/>
        </w:rPr>
        <w:t>2</w:t>
      </w:r>
      <w:r>
        <w:rPr>
          <w:rFonts w:ascii="Times New Roman" w:eastAsia="Times New Roman" w:hAnsi="Times New Roman" w:cs="Times New Roman"/>
          <w:noProof/>
          <w:color w:val="000000"/>
          <w:sz w:val="24"/>
          <w:szCs w:val="24"/>
          <w:lang w:val="en-GB" w:eastAsia="en-GB"/>
        </w:rPr>
        <w:t xml:space="preserve"> emissions), based on estimates made for the projects NEXT-ITS and NEXT-ITS 2 (travel time benefit calculations for public transport are based on a national travel survey and a report on a journey planner for the region of Helsinki). In addition, Sweden provided estimations based on a socio-economic model. Benefit KPIs were generally reported based on the results of pilot projects (as recommended in the description of KPIs), rather than for the road network as a whole. In the future, it is hoped these may allow for extrapolation to network and/or EU level.</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addition to the recommended indicators, Germany also provided the following benefit KPIs: capacity improvement, stabilisation and improvement of the traffic flow, and increase of performance and capacity. The Netherlands also presented results from the evaluation of several of its pilot projects and calculated cost-benefit ratios (e.g. for time-savings). Their report also suggested that additional KPIs may be more relevant in the future to better track the transition to and the impacts of more intelligent transport systems.</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Change in travel time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Finland reported on this KPI based on recent project experience, which showed a 1.1% improvement in travel time as a result of ITS for road transport, and 15.3% for public transport (with the assumption that all public transport users use the services). Netherlands provided analysis of the impact of various measures on congestion from 2005-2015: a 9% improvement in travel time was attributed to ITS specifically thanks to ramp metering and dynamic route information, in addition to benefits from existing traffic management measures implemented before 2000.</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Change in road accidents results in death or injury (road KPI)</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Reporting on this KPI was variable and different levels of disaggregation were offered by each country. Finland estimated a 14% decrease based on recent project experience, Germany a 30% accidents decrease. Spain reported detailed figures (before and after ITS implementation or improvement) for interurban roads and urban roads, with contrasted results: strong improvement for interurban roads (e.g. 56% less fatalities, 31% less accidents with victims), bad results for urban roads (e.g. 68% more fatalities, 26% more accidents with victims) – these figures may deserve additional analysis, in particular regarding the typology of victims (e.g. VRUs in urban areas),the type of deployed ITS and possible other factors influencing these evolutions. Sweden did not produce a KPI but provided indicative savings based on project experience</w:t>
      </w:r>
      <w:r>
        <w:rPr>
          <w:rFonts w:ascii="Times New Roman" w:eastAsia="Times New Roman" w:hAnsi="Times New Roman" w:cs="Times New Roman"/>
          <w:noProof/>
          <w:color w:val="000000"/>
          <w:sz w:val="24"/>
          <w:szCs w:val="24"/>
          <w:vertAlign w:val="superscript"/>
          <w:lang w:val="en-GB" w:eastAsia="en-GB"/>
        </w:rPr>
        <w:footnoteReference w:id="40"/>
      </w:r>
      <w:r>
        <w:rPr>
          <w:rFonts w:ascii="Times New Roman" w:eastAsia="Times New Roman" w:hAnsi="Times New Roman" w:cs="Times New Roman"/>
          <w:noProof/>
          <w:color w:val="000000"/>
          <w:sz w:val="24"/>
          <w:szCs w:val="24"/>
          <w:lang w:val="en-GB" w:eastAsia="en-GB"/>
        </w:rPr>
        <w:t xml:space="preserve">.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Change in traffic-CO</w:t>
      </w:r>
      <w:r>
        <w:rPr>
          <w:rFonts w:ascii="Times New Roman" w:eastAsia="Times New Roman" w:hAnsi="Times New Roman" w:cs="Times New Roman"/>
          <w:b/>
          <w:noProof/>
          <w:color w:val="000000"/>
          <w:sz w:val="24"/>
          <w:szCs w:val="24"/>
          <w:vertAlign w:val="subscript"/>
          <w:lang w:val="en-GB" w:eastAsia="en-GB"/>
        </w:rPr>
        <w:t>2</w:t>
      </w:r>
      <w:r>
        <w:rPr>
          <w:rFonts w:ascii="Times New Roman" w:eastAsia="Times New Roman" w:hAnsi="Times New Roman" w:cs="Times New Roman"/>
          <w:b/>
          <w:noProof/>
          <w:color w:val="000000"/>
          <w:sz w:val="24"/>
          <w:szCs w:val="24"/>
          <w:lang w:val="en-GB" w:eastAsia="en-GB"/>
        </w:rPr>
        <w:t xml:space="preserve"> emissions (road KPI)</w:t>
      </w:r>
      <w:r>
        <w:rPr>
          <w:rFonts w:ascii="Times New Roman" w:eastAsia="Times New Roman" w:hAnsi="Times New Roman" w:cs="Times New Roman"/>
          <w:noProof/>
          <w:color w:val="000000"/>
          <w:sz w:val="24"/>
          <w:szCs w:val="24"/>
          <w:lang w:val="en-GB" w:eastAsia="en-GB"/>
        </w:rPr>
        <w:t xml:space="preserve"> </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Finland was the only country to report on this KPI and provided a figure of a 1.2% decrease, based on recent project experience. Sweden did not provide a KPI but gave estimations based on calculations from a socioeconomic model of CO</w:t>
      </w:r>
      <w:r>
        <w:rPr>
          <w:rFonts w:ascii="Times New Roman" w:eastAsia="Times New Roman" w:hAnsi="Times New Roman" w:cs="Times New Roman"/>
          <w:noProof/>
          <w:color w:val="000000"/>
          <w:sz w:val="24"/>
          <w:szCs w:val="24"/>
          <w:vertAlign w:val="subscript"/>
          <w:lang w:val="en-GB" w:eastAsia="en-GB"/>
        </w:rPr>
        <w:t>2</w:t>
      </w:r>
      <w:r>
        <w:rPr>
          <w:rFonts w:ascii="Times New Roman" w:eastAsia="Times New Roman" w:hAnsi="Times New Roman" w:cs="Times New Roman"/>
          <w:noProof/>
          <w:color w:val="000000"/>
          <w:sz w:val="24"/>
          <w:szCs w:val="24"/>
          <w:lang w:val="en-GB" w:eastAsia="en-GB"/>
        </w:rPr>
        <w:t xml:space="preserve"> emissions</w:t>
      </w:r>
      <w:r>
        <w:rPr>
          <w:rFonts w:ascii="Times New Roman" w:eastAsia="Times New Roman" w:hAnsi="Times New Roman" w:cs="Times New Roman"/>
          <w:noProof/>
          <w:color w:val="000000"/>
          <w:sz w:val="24"/>
          <w:szCs w:val="24"/>
          <w:vertAlign w:val="superscript"/>
          <w:lang w:val="en-GB" w:eastAsia="en-GB"/>
        </w:rPr>
        <w:footnoteReference w:id="41"/>
      </w:r>
      <w:r>
        <w:rPr>
          <w:rFonts w:ascii="Times New Roman" w:eastAsia="Times New Roman" w:hAnsi="Times New Roman" w:cs="Times New Roman"/>
          <w:noProof/>
          <w:color w:val="000000"/>
          <w:sz w:val="24"/>
          <w:szCs w:val="24"/>
          <w:lang w:val="en-GB" w:eastAsia="en-GB"/>
        </w:rPr>
        <w:t>.</w:t>
      </w:r>
    </w:p>
    <w:p>
      <w:pPr>
        <w:keepNext/>
        <w:keepLines/>
        <w:numPr>
          <w:ilvl w:val="1"/>
          <w:numId w:val="42"/>
        </w:numPr>
        <w:spacing w:after="240" w:line="276" w:lineRule="auto"/>
        <w:ind w:left="480" w:hanging="480"/>
        <w:jc w:val="both"/>
        <w:outlineLvl w:val="1"/>
        <w:rPr>
          <w:rFonts w:ascii="Times New Roman" w:eastAsia="Times New Roman" w:hAnsi="Times New Roman" w:cs="Times New Roman"/>
          <w:b/>
          <w:noProof/>
          <w:color w:val="000000"/>
          <w:sz w:val="24"/>
          <w:szCs w:val="24"/>
          <w:lang w:val="en-GB" w:eastAsia="en-GB"/>
        </w:rPr>
      </w:pPr>
      <w:bookmarkStart w:id="28" w:name="_Toc18589016"/>
      <w:r>
        <w:rPr>
          <w:rFonts w:ascii="Times New Roman" w:eastAsia="Times New Roman" w:hAnsi="Times New Roman" w:cs="Times New Roman"/>
          <w:b/>
          <w:noProof/>
          <w:color w:val="000000"/>
          <w:sz w:val="24"/>
          <w:szCs w:val="24"/>
          <w:lang w:val="en-GB" w:eastAsia="en-GB"/>
        </w:rPr>
        <w:t>Financial KPIs</w:t>
      </w:r>
      <w:bookmarkEnd w:id="28"/>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total, eight countries reported financial KPIs (Czech Republic, Germany, Greece, Spain, Finland, Ireland, Netherlands and Sweden). Again, the level of detail provided for each KPI varied depending on the country. For instance, some reports detailed several categories of annual operating costs, including roadside equipment maintenance, development and maintenance of ITS services and traffic management centre operations.</w:t>
      </w:r>
    </w:p>
    <w:p>
      <w:pPr>
        <w:spacing w:after="120" w:line="276" w:lineRule="auto"/>
        <w:jc w:val="both"/>
        <w:rPr>
          <w:rFonts w:ascii="Times New Roman" w:eastAsia="Times New Roman" w:hAnsi="Times New Roman" w:cs="Times New Roman"/>
          <w:b/>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Annual investment in road ITS (as a % of total transport infrastructure investments)</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amount invested by Member States reporting on this KPI was within a range from around 2% in average for Greece to 12% for the Netherlands. However, the Greek national report also mentioned that the spend on ITS for the major motorways ranged from 1.5% to 32%, which perhaps indicates that this rate, for some individual sections of the network, may be artificially high if investments on the road infrastructure were done previous to the investments on new ITS equipment, and therefore the costs of ITS equipment were only compared to other annual maintenance or infrastructure rehabilitation costs or to the costs of other electromechanical equipment..</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b/>
          <w:noProof/>
          <w:color w:val="000000"/>
          <w:sz w:val="24"/>
          <w:szCs w:val="24"/>
          <w:lang w:val="en-GB" w:eastAsia="en-GB"/>
        </w:rPr>
        <w:t>Annual operating and maintenance costs of road ITS (in €/km network covered)</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numbers reported by three of the countries (Finland, Spain, Sweden) were very consistent and ranged from €3,700/km to €4,000/km. Other countries reported different values: €13-15,000/km for Czech Republic for its 7,480 km of motorways and 1</w:t>
      </w:r>
      <w:r>
        <w:rPr>
          <w:rFonts w:ascii="Times New Roman" w:eastAsia="Times New Roman" w:hAnsi="Times New Roman" w:cs="Times New Roman"/>
          <w:noProof/>
          <w:color w:val="000000"/>
          <w:sz w:val="24"/>
          <w:szCs w:val="24"/>
          <w:vertAlign w:val="superscript"/>
          <w:lang w:val="en-GB" w:eastAsia="en-GB"/>
        </w:rPr>
        <w:t>st</w:t>
      </w:r>
      <w:r>
        <w:rPr>
          <w:rFonts w:ascii="Times New Roman" w:eastAsia="Times New Roman" w:hAnsi="Times New Roman" w:cs="Times New Roman"/>
          <w:noProof/>
          <w:color w:val="000000"/>
          <w:sz w:val="24"/>
          <w:szCs w:val="24"/>
          <w:lang w:val="en-GB" w:eastAsia="en-GB"/>
        </w:rPr>
        <w:t xml:space="preserve"> category roads (but 90% of which related to tolling costs, so only €800-900/km for other ITS), between €1,000-1,500/km and €24,700/km for two motorways in Greece (the highest value may be due to tolling as well), and €800-€1,300/km for the TEN-T network in Ireland.</w:t>
      </w:r>
    </w:p>
    <w:p>
      <w:pPr>
        <w:keepNext/>
        <w:keepLines/>
        <w:numPr>
          <w:ilvl w:val="0"/>
          <w:numId w:val="4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29" w:name="_Toc18589017"/>
      <w:r>
        <w:rPr>
          <w:rFonts w:ascii="Times New Roman" w:eastAsia="Times New Roman" w:hAnsi="Times New Roman" w:cs="Times New Roman"/>
          <w:b/>
          <w:smallCaps/>
          <w:noProof/>
          <w:color w:val="000000"/>
          <w:sz w:val="24"/>
          <w:szCs w:val="24"/>
          <w:lang w:val="en-GB" w:eastAsia="en-GB"/>
        </w:rPr>
        <w:t>Conclusion</w:t>
      </w:r>
      <w:bookmarkEnd w:id="29"/>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This second series of progress reports has provided the European Commission and the Member States with further information on the ITS implementation all over Europe.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For the first time, Member States were proposed to use a new common reporting template and to provide a series of KPIs on deployment, benefits and financial aspects. In addition, they were invited to provide all reports (one on the ITS Directive, three on delegated regulations) in a single delivery using the common reporting template. This was meant to facilitate both the reporting and the analysis of the reports.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This goal has been only partially achieved; as for previous reporting exercises, the delivery of the reports spanned over one year, with only one third of the reports provided in time and less than half of the reports based on the proposed common template. However, around two-thirds of the Member States used the opportunity to provide a unique report covering all four reporting obligations.</w:t>
      </w:r>
      <w:r>
        <w:rPr>
          <w:rFonts w:ascii="Times New Roman" w:eastAsia="Times New Roman" w:hAnsi="Times New Roman" w:cs="Times New Roman"/>
          <w:noProof/>
          <w:color w:val="000000"/>
          <w:sz w:val="24"/>
          <w:szCs w:val="24"/>
          <w:vertAlign w:val="superscript"/>
          <w:lang w:val="en-GB" w:eastAsia="en-GB"/>
        </w:rPr>
        <w:footnoteReference w:id="42"/>
      </w:r>
      <w:r>
        <w:rPr>
          <w:rFonts w:ascii="Times New Roman" w:eastAsia="Times New Roman" w:hAnsi="Times New Roman" w:cs="Times New Roman"/>
          <w:noProof/>
          <w:color w:val="000000"/>
          <w:sz w:val="24"/>
          <w:szCs w:val="24"/>
          <w:lang w:val="en-GB" w:eastAsia="en-GB"/>
        </w:rPr>
        <w:t xml:space="preserve"> A handful of reports were very succinct and even much less detailed than in 2014, sometimes leading to lower scores being assigned.</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The general trend is a positive evolution of the deployment of ITS at national level, for all four priority areas. This positive evolution was supported by activities involving several Member States and benefitting from EU funding support, or where EU legislation mandated deployment and/or provided for legal and technical certainty through common specifications. Progress has been specifically visible in priority area III for eCall and in priority area IV with a lot of activities related to pre-deployment of C-ITS.</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Many reports illustrated the positive impact of projects involving several Member States and funded under the Connecting Europe Facility on the effective and harmonised deployment of ITS services and on the harmonised implementation of the different Delegated Regulations (with still efforts needed for some late Member States), which calls for continued efforts in that respect. However, several Member States are still late or did not provide information regarding the deployment of their National Access Point, and there is still one issue regarding the deployment of the eCall infrastructure.</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Similar conclusion can be drawn with regard to the Member States’ cooperation on the elaboration of common tools related to the accessibility of data and provision of services, in particular through CEF-funded projects and Programme Support Actions (e.g. DATEX II profiles, TN-ITS specifications, metadata catalogue, quality framework etc), improving also the accessibility of ITS data and therefore supporting also the development of new ITS services.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 xml:space="preserve">Several active Member States took also the initiative to develop together technical documents (e.g. metadata catalogue, quality framework) to support the implementation of the specifications and shared these documents with the other Member States. This proved to be beneficial to support a harmonised implementation of the specifications. </w:t>
      </w:r>
    </w:p>
    <w:p>
      <w:pPr>
        <w:spacing w:after="12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This cooperation brings positive results and should be encouraged and extended, and may benefit from a more formal recognition of the National Access Points forming the backbone of a digital ITS infrastructure.</w:t>
      </w:r>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40% of the Member States + Norway provided figures for KPIs, at least partially. Although not optimal, this allows to draw some conclusions for the contributing countries, at least regarding deployment: a very high level of coverage of information gathering infrastructure and of real-time traffic and freight information services on the TEN-T road network, a more limited coverage for other services. Benefit and financial KPIs were reported less frequently, which was to be expected as this information may need more investigations and/or data collection over a longer period.</w:t>
      </w:r>
    </w:p>
    <w:p>
      <w:pPr>
        <w:widowControl w:val="0"/>
        <w:spacing w:after="0" w:line="276" w:lineRule="auto"/>
        <w:ind w:right="85"/>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Some Member States deemed relevant to report on topics not in the current scope of the ITS Directive. This may be taken into account when reflecting on the scope of a possible future revision of the Directive.</w:t>
      </w:r>
    </w:p>
    <w:p>
      <w:pPr>
        <w:spacing w:after="240" w:line="276" w:lineRule="auto"/>
        <w:jc w:val="both"/>
        <w:rPr>
          <w:rFonts w:ascii="Times New Roman" w:eastAsia="Times New Roman" w:hAnsi="Times New Roman" w:cs="Times New Roman"/>
          <w:noProof/>
          <w:color w:val="000000"/>
          <w:sz w:val="24"/>
          <w:szCs w:val="24"/>
          <w:lang w:val="en-GB" w:eastAsia="en-GB"/>
        </w:rPr>
      </w:pPr>
    </w:p>
    <w:p>
      <w:pPr>
        <w:keepNext/>
        <w:keepLines/>
        <w:numPr>
          <w:ilvl w:val="0"/>
          <w:numId w:val="42"/>
        </w:numPr>
        <w:spacing w:before="240" w:after="240" w:line="276" w:lineRule="auto"/>
        <w:jc w:val="both"/>
        <w:outlineLvl w:val="0"/>
        <w:rPr>
          <w:rFonts w:ascii="Times New Roman" w:eastAsia="Times New Roman" w:hAnsi="Times New Roman" w:cs="Times New Roman"/>
          <w:b/>
          <w:smallCaps/>
          <w:noProof/>
          <w:color w:val="000000"/>
          <w:sz w:val="24"/>
          <w:szCs w:val="24"/>
          <w:lang w:val="en-GB" w:eastAsia="en-GB"/>
        </w:rPr>
      </w:pPr>
      <w:bookmarkStart w:id="30" w:name="_Toc18589018"/>
      <w:r>
        <w:rPr>
          <w:rFonts w:ascii="Times New Roman" w:eastAsia="Times New Roman" w:hAnsi="Times New Roman" w:cs="Times New Roman"/>
          <w:b/>
          <w:smallCaps/>
          <w:noProof/>
          <w:color w:val="000000"/>
          <w:sz w:val="24"/>
          <w:szCs w:val="24"/>
          <w:lang w:val="en-GB" w:eastAsia="en-GB"/>
        </w:rPr>
        <w:t>Suggestions for next progress reports</w:t>
      </w:r>
      <w:bookmarkEnd w:id="30"/>
    </w:p>
    <w:p>
      <w:pPr>
        <w:spacing w:after="240" w:line="276" w:lineRule="auto"/>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In the light of the analysis of the 2017 national progress reports, the following remarks can be made:</w:t>
      </w:r>
    </w:p>
    <w:p>
      <w:pPr>
        <w:numPr>
          <w:ilvl w:val="0"/>
          <w:numId w:val="1"/>
        </w:numPr>
        <w:spacing w:after="240" w:line="276" w:lineRule="auto"/>
        <w:ind w:left="360" w:hanging="360"/>
        <w:jc w:val="both"/>
        <w:rPr>
          <w:rFonts w:ascii="Times New Roman" w:eastAsia="Times New Roman" w:hAnsi="Times New Roman" w:cs="Times New Roman"/>
          <w:noProof/>
          <w:color w:val="000000"/>
          <w:sz w:val="24"/>
          <w:szCs w:val="24"/>
          <w:lang w:val="en-GB" w:eastAsia="en-GB"/>
        </w:rPr>
      </w:pPr>
      <w:r>
        <w:rPr>
          <w:rFonts w:ascii="Times New Roman" w:eastAsia="Times New Roman" w:hAnsi="Times New Roman" w:cs="Times New Roman"/>
          <w:noProof/>
          <w:color w:val="000000"/>
          <w:sz w:val="24"/>
          <w:szCs w:val="24"/>
          <w:lang w:val="en-GB" w:eastAsia="en-GB"/>
        </w:rPr>
        <w:t>Further efforts to streamline the reporting for the ITS Directive and the Delegated Regulations would be welcome, in order to facilitate the reporting and the analysis. This may be taken into account when revising the Directive and/or the Delegated Regulations and when adopting new delegated acts. A revision of the Directive may also be an opportunity to possibly establish improved reporting requirements (e.g. reporting structure, KPIs etc).</w:t>
      </w:r>
    </w:p>
    <w:p>
      <w:pPr>
        <w:widowControl w:val="0"/>
        <w:numPr>
          <w:ilvl w:val="0"/>
          <w:numId w:val="1"/>
        </w:numPr>
        <w:spacing w:after="0" w:line="276" w:lineRule="auto"/>
        <w:ind w:left="360" w:right="85" w:hanging="360"/>
        <w:jc w:val="both"/>
        <w:rPr>
          <w:rFonts w:ascii="Times New Roman" w:eastAsia="Times New Roman" w:hAnsi="Times New Roman" w:cs="Times New Roman"/>
          <w:strike/>
          <w:noProof/>
          <w:color w:val="000000"/>
          <w:sz w:val="24"/>
          <w:szCs w:val="24"/>
          <w:lang w:val="en-GB" w:eastAsia="en-GB"/>
        </w:rPr>
        <w:sectPr>
          <w:headerReference w:type="even" r:id="rId36"/>
          <w:headerReference w:type="default" r:id="rId37"/>
          <w:footerReference w:type="even" r:id="rId38"/>
          <w:footerReference w:type="default" r:id="rId39"/>
          <w:headerReference w:type="first" r:id="rId40"/>
          <w:footerReference w:type="first" r:id="rId41"/>
          <w:pgSz w:w="11906" w:h="16838"/>
          <w:pgMar w:top="1134" w:right="1417" w:bottom="1134" w:left="1417" w:header="709" w:footer="709" w:gutter="0"/>
          <w:pgNumType w:start="1"/>
          <w:cols w:space="720"/>
          <w:docGrid w:linePitch="299"/>
        </w:sectPr>
      </w:pPr>
      <w:r>
        <w:rPr>
          <w:rFonts w:ascii="Times New Roman" w:eastAsia="Times New Roman" w:hAnsi="Times New Roman" w:cs="Times New Roman"/>
          <w:noProof/>
          <w:color w:val="000000"/>
          <w:sz w:val="24"/>
          <w:szCs w:val="24"/>
          <w:lang w:val="en-GB" w:eastAsia="en-GB"/>
        </w:rPr>
        <w:t>On the basis of the received information, evaluation and knowledge-sharing activities could be organised to further guide Member States on data collection and calculation of KPIs, beyond the already provided guidance, also taking into account the need for stability of the definition of these KPIs to be able to assess their long-term evolution.</w:t>
      </w:r>
      <w:r>
        <w:rPr>
          <w:rFonts w:ascii="Times New Roman" w:eastAsia="Times New Roman" w:hAnsi="Times New Roman" w:cs="Times New Roman"/>
          <w:strike/>
          <w:noProof/>
          <w:color w:val="000000"/>
          <w:sz w:val="24"/>
          <w:szCs w:val="24"/>
          <w:lang w:val="en-GB" w:eastAsia="en-GB"/>
        </w:rPr>
        <w:br w:type="page"/>
      </w:r>
    </w:p>
    <w:p>
      <w:pPr>
        <w:jc w:val="center"/>
        <w:rPr>
          <w:rFonts w:ascii="Times New Roman" w:hAnsi="Times New Roman" w:cs="Times New Roman"/>
          <w:b/>
          <w:noProof/>
          <w:sz w:val="24"/>
          <w:szCs w:val="24"/>
          <w:lang w:val="en-GB"/>
        </w:rPr>
      </w:pPr>
      <w:r>
        <w:rPr>
          <w:rFonts w:ascii="Times New Roman" w:eastAsia="Times New Roman" w:hAnsi="Times New Roman" w:cs="Times New Roman"/>
          <w:i/>
          <w:noProof/>
          <w:color w:val="17365D"/>
          <w:spacing w:val="5"/>
          <w:kern w:val="28"/>
          <w:sz w:val="24"/>
          <w:szCs w:val="24"/>
          <w:lang w:val="en-GB"/>
        </w:rPr>
        <w:t>Annex I – KPI values for each reporting Member State</w:t>
      </w:r>
      <w:r>
        <w:rPr>
          <w:rFonts w:ascii="Times New Roman" w:eastAsia="Times New Roman" w:hAnsi="Times New Roman" w:cs="Times New Roman"/>
          <w:noProof/>
          <w:color w:val="000000"/>
          <w:sz w:val="24"/>
          <w:szCs w:val="24"/>
          <w:lang w:val="en-GB" w:eastAsia="en-GB"/>
        </w:rPr>
        <w:drawing>
          <wp:inline distT="0" distB="0" distL="0" distR="0">
            <wp:extent cx="4469631" cy="7874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5520" cy="7901991"/>
                    </a:xfrm>
                    <a:prstGeom prst="rect">
                      <a:avLst/>
                    </a:prstGeom>
                    <a:noFill/>
                    <a:ln>
                      <a:noFill/>
                    </a:ln>
                  </pic:spPr>
                </pic:pic>
              </a:graphicData>
            </a:graphic>
          </wp:inline>
        </w:drawing>
      </w:r>
    </w:p>
    <w:p>
      <w:pPr>
        <w:rPr>
          <w:noProof/>
          <w:lang w:val="en-GB"/>
        </w:rPr>
      </w:pPr>
    </w:p>
    <w:sectPr>
      <w:headerReference w:type="even" r:id="rId43"/>
      <w:headerReference w:type="default" r:id="rId44"/>
      <w:footerReference w:type="even" r:id="rId45"/>
      <w:footerReference w:type="default" r:id="rId46"/>
      <w:headerReference w:type="first" r:id="rId47"/>
      <w:footerReference w:type="first" r:id="rId48"/>
      <w:pgSz w:w="11906" w:h="16838"/>
      <w:pgMar w:top="1020" w:right="1701" w:bottom="1020" w:left="1587"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183062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pPr>
      <w:pStyle w:val="FooterCoverPage"/>
      <w:rPr>
        <w:rFonts w:ascii="Arial" w:hAnsi="Arial" w:cs="Arial"/>
        <w:b/>
        <w:sz w:val="4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1077"/>
      <w:ind w:right="-567"/>
      <w:jc w:val="center"/>
    </w:pPr>
    <w:r>
      <w:fldChar w:fldCharType="begin"/>
    </w:r>
    <w:r>
      <w:instrText>PAGE</w:instrText>
    </w:r>
    <w:r>
      <w:fldChar w:fldCharType="separate"/>
    </w:r>
    <w:r>
      <w:rPr>
        <w:noProof/>
      </w:rPr>
      <w:t>2</w:t>
    </w:r>
    <w: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spacing w:after="0"/>
      <w:ind w:right="-56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rPr>
          <w:lang w:val="pl-PL"/>
        </w:rPr>
      </w:pPr>
      <w:r>
        <w:rPr>
          <w:rStyle w:val="FootnoteReference"/>
          <w:rFonts w:eastAsia="Arial"/>
        </w:rPr>
        <w:footnoteRef/>
      </w:r>
      <w:r>
        <w:rPr>
          <w:lang w:val="pl-PL"/>
        </w:rPr>
        <w:t xml:space="preserve"> </w:t>
      </w:r>
      <w:hyperlink r:id="rId1" w:history="1">
        <w:r>
          <w:rPr>
            <w:rStyle w:val="Hyperlink"/>
            <w:rFonts w:eastAsia="Arial"/>
            <w:lang w:val="pl-PL"/>
          </w:rPr>
          <w:t>http://ec.europa.eu/transport/themes/its/road/action_plan/its_national_reports_en.htm</w:t>
        </w:r>
      </w:hyperlink>
      <w:r>
        <w:rPr>
          <w:lang w:val="pl-PL"/>
        </w:rPr>
        <w:t xml:space="preserve"> </w:t>
      </w:r>
    </w:p>
  </w:footnote>
  <w:footnote w:id="2">
    <w:p>
      <w:pPr>
        <w:spacing w:after="0"/>
        <w:ind w:left="357" w:hanging="357"/>
        <w:rPr>
          <w:rFonts w:ascii="Times New Roman" w:hAnsi="Times New Roman" w:cs="Times New Roman"/>
          <w:sz w:val="20"/>
          <w:szCs w:val="20"/>
          <w:lang w:val="pl-PL"/>
        </w:rPr>
      </w:pPr>
      <w:r>
        <w:rPr>
          <w:rFonts w:ascii="Times New Roman" w:hAnsi="Times New Roman" w:cs="Times New Roman"/>
          <w:sz w:val="20"/>
          <w:szCs w:val="20"/>
          <w:vertAlign w:val="superscript"/>
        </w:rPr>
        <w:footnoteRef/>
      </w:r>
      <w:r>
        <w:rPr>
          <w:rFonts w:ascii="Times New Roman" w:hAnsi="Times New Roman" w:cs="Times New Roman"/>
          <w:sz w:val="20"/>
          <w:szCs w:val="20"/>
          <w:lang w:val="pl-PL"/>
        </w:rPr>
        <w:t xml:space="preserve"> OJ L 207, 6.8.2010, p. 1</w:t>
      </w:r>
    </w:p>
  </w:footnote>
  <w:footnote w:id="3">
    <w:p>
      <w:pPr>
        <w:ind w:left="357" w:hanging="357"/>
        <w:rPr>
          <w:lang w:val="pl-PL"/>
        </w:rPr>
      </w:pPr>
      <w:r>
        <w:rPr>
          <w:rFonts w:ascii="Times New Roman" w:hAnsi="Times New Roman" w:cs="Times New Roman"/>
          <w:sz w:val="20"/>
          <w:szCs w:val="20"/>
          <w:vertAlign w:val="superscript"/>
        </w:rPr>
        <w:footnoteRef/>
      </w:r>
      <w:r>
        <w:rPr>
          <w:rFonts w:ascii="Times New Roman" w:hAnsi="Times New Roman" w:cs="Times New Roman"/>
          <w:sz w:val="20"/>
          <w:szCs w:val="20"/>
          <w:lang w:val="pl-PL"/>
        </w:rPr>
        <w:t xml:space="preserve"> OJ L 193, 23.7.2011, p.48</w:t>
      </w:r>
    </w:p>
  </w:footnote>
  <w:footnote w:id="4">
    <w:p>
      <w:pPr>
        <w:pStyle w:val="FootnoteText"/>
      </w:pPr>
      <w:r>
        <w:rPr>
          <w:rStyle w:val="FootnoteReference"/>
        </w:rPr>
        <w:footnoteRef/>
      </w:r>
      <w:r>
        <w:t xml:space="preserve"> Norway’s 2014 and 2017 reports have been shared by Norway on a voluntary basis, and are taken into account in the following analyses.</w:t>
      </w:r>
    </w:p>
  </w:footnote>
  <w:footnote w:id="5">
    <w:p>
      <w:pPr>
        <w:pStyle w:val="FootnoteText"/>
        <w:rPr>
          <w:lang w:val="pl-PL"/>
        </w:rPr>
      </w:pPr>
      <w:r>
        <w:rPr>
          <w:rStyle w:val="FootnoteReference"/>
          <w:rFonts w:eastAsia="Arial"/>
        </w:rPr>
        <w:footnoteRef/>
      </w:r>
      <w:r>
        <w:rPr>
          <w:lang w:val="pl-PL"/>
        </w:rPr>
        <w:t xml:space="preserve"> </w:t>
      </w:r>
      <w:hyperlink r:id="rId2" w:history="1">
        <w:r>
          <w:rPr>
            <w:rStyle w:val="Hyperlink"/>
            <w:rFonts w:eastAsia="Arial"/>
            <w:lang w:val="pl-PL"/>
          </w:rPr>
          <w:t>http://www.czechspaceportal.cz</w:t>
        </w:r>
      </w:hyperlink>
      <w:r>
        <w:rPr>
          <w:lang w:val="pl-PL"/>
        </w:rPr>
        <w:t xml:space="preserve"> </w:t>
      </w:r>
    </w:p>
  </w:footnote>
  <w:footnote w:id="6">
    <w:p>
      <w:pPr>
        <w:pStyle w:val="FootnoteText"/>
        <w:rPr>
          <w:lang w:val="en-US"/>
        </w:rPr>
      </w:pPr>
      <w:r>
        <w:rPr>
          <w:rStyle w:val="FootnoteReference"/>
        </w:rPr>
        <w:footnoteRef/>
      </w:r>
      <w:r>
        <w:t xml:space="preserve"> </w:t>
      </w:r>
      <w:r>
        <w:rPr>
          <w:lang w:val="en-US"/>
        </w:rPr>
        <w:tab/>
        <w:t>Specifications pertaining to the various points of Article 3 of the Directive will be referred to in shorthand hereafter as “specifications (a)”, “specifications (b)”etc.</w:t>
      </w:r>
    </w:p>
  </w:footnote>
  <w:footnote w:id="7">
    <w:p>
      <w:pPr>
        <w:pStyle w:val="FootnoteText"/>
        <w:jc w:val="left"/>
        <w:rPr>
          <w:lang w:val="pl-PL"/>
        </w:rPr>
      </w:pPr>
      <w:r>
        <w:rPr>
          <w:rStyle w:val="FootnoteReference"/>
          <w:rFonts w:eastAsia="Arial"/>
        </w:rPr>
        <w:footnoteRef/>
      </w:r>
      <w:r>
        <w:rPr>
          <w:lang w:val="pl-PL"/>
        </w:rPr>
        <w:t xml:space="preserve"> Commission Delegated Regulation (EU) 2015/962 of 18 December 2014 supplementing Directive 2010/40/EU of the European Parliament and of the Council with regard to the provision of EU-wide real-time traffic information services - </w:t>
      </w:r>
      <w:r>
        <w:t>OJ L 157, 23.6.2015, p. 21</w:t>
      </w:r>
      <w:r>
        <w:rPr>
          <w:lang w:val="pl-PL"/>
        </w:rPr>
        <w:t xml:space="preserve"> </w:t>
      </w:r>
    </w:p>
  </w:footnote>
  <w:footnote w:id="8">
    <w:p>
      <w:pPr>
        <w:pStyle w:val="FootnoteText"/>
        <w:rPr>
          <w:lang w:val="pl-PL"/>
        </w:rPr>
      </w:pPr>
      <w:r>
        <w:rPr>
          <w:rStyle w:val="FootnoteReference"/>
          <w:rFonts w:eastAsia="Arial"/>
        </w:rPr>
        <w:footnoteRef/>
      </w:r>
      <w:r>
        <w:rPr>
          <w:lang w:val="pl-PL"/>
        </w:rPr>
        <w:t xml:space="preserve"> </w:t>
      </w:r>
      <w:r>
        <w:t xml:space="preserve">Commission Delegated Regulation (EU) No 886/2013 of 15 May 2013 supplementing Directive 2010/40/EU of the European Parliament and of the Council with regard to data and procedures for the provision, where possible, of road safety-related minimum universal traffic information free of charge to users - OJ L 247, 18.9.2013, p. 6 </w:t>
      </w:r>
    </w:p>
  </w:footnote>
  <w:footnote w:id="9">
    <w:p>
      <w:pPr>
        <w:pStyle w:val="FootnoteText"/>
        <w:rPr>
          <w:lang w:val="pl-PL"/>
        </w:rPr>
      </w:pPr>
      <w:r>
        <w:rPr>
          <w:rStyle w:val="FootnoteReference"/>
          <w:rFonts w:eastAsia="Arial"/>
        </w:rPr>
        <w:footnoteRef/>
      </w:r>
      <w:hyperlink r:id="rId3" w:history="1">
        <w:r>
          <w:rPr>
            <w:rStyle w:val="Hyperlink"/>
            <w:lang w:val="pl-PL"/>
          </w:rPr>
          <w:t>http://ec.europa.eu/transport/themes/its/road/action_plan/ecall_en.htm</w:t>
        </w:r>
      </w:hyperlink>
      <w:r>
        <w:rPr>
          <w:lang w:val="pl-PL"/>
        </w:rPr>
        <w:t xml:space="preserve"> </w:t>
      </w:r>
    </w:p>
  </w:footnote>
  <w:footnote w:id="10">
    <w:p>
      <w:pPr>
        <w:pStyle w:val="FootnoteText"/>
        <w:rPr>
          <w:lang w:val="pl-PL"/>
        </w:rPr>
      </w:pPr>
      <w:r>
        <w:rPr>
          <w:rStyle w:val="FootnoteReference"/>
          <w:rFonts w:eastAsia="Arial"/>
        </w:rPr>
        <w:footnoteRef/>
      </w:r>
      <w:hyperlink r:id="rId4" w:history="1">
        <w:r>
          <w:rPr>
            <w:rStyle w:val="Hyperlink"/>
            <w:rFonts w:eastAsia="Arial"/>
            <w:lang w:val="pl-PL"/>
          </w:rPr>
          <w:t>https://ec.europa.eu/inea/en/connecting-europe-facility/cef-transport/projects-by-country/multi-country/2014-eu-ta-0582-s</w:t>
        </w:r>
      </w:hyperlink>
      <w:r>
        <w:rPr>
          <w:lang w:val="pl-PL"/>
        </w:rPr>
        <w:t xml:space="preserve"> </w:t>
      </w:r>
    </w:p>
  </w:footnote>
  <w:footnote w:id="11">
    <w:p>
      <w:pPr>
        <w:pStyle w:val="FootnoteText"/>
        <w:rPr>
          <w:lang w:val="pl-PL"/>
        </w:rPr>
      </w:pPr>
      <w:r>
        <w:rPr>
          <w:rStyle w:val="FootnoteReference"/>
          <w:rFonts w:eastAsia="Arial"/>
        </w:rPr>
        <w:footnoteRef/>
      </w:r>
      <w:hyperlink r:id="rId5" w:history="1">
        <w:r>
          <w:rPr>
            <w:rStyle w:val="Hyperlink"/>
            <w:rFonts w:eastAsia="Arial"/>
            <w:lang w:val="pl-PL"/>
          </w:rPr>
          <w:t>https://ec.europa.eu/inea/en/connecting-europe-facility/cef-transport/projects-by-country/austria/2014-at-ta-0259-m</w:t>
        </w:r>
      </w:hyperlink>
      <w:r>
        <w:rPr>
          <w:lang w:val="pl-PL"/>
        </w:rPr>
        <w:t xml:space="preserve"> </w:t>
      </w:r>
    </w:p>
  </w:footnote>
  <w:footnote w:id="12">
    <w:p>
      <w:pPr>
        <w:pStyle w:val="FootnoteText"/>
        <w:rPr>
          <w:lang w:val="pl-PL"/>
        </w:rPr>
      </w:pPr>
      <w:r>
        <w:rPr>
          <w:rStyle w:val="FootnoteReference"/>
          <w:rFonts w:eastAsia="Arial"/>
        </w:rPr>
        <w:footnoteRef/>
      </w:r>
      <w:r>
        <w:rPr>
          <w:lang w:val="pl-PL"/>
        </w:rPr>
        <w:t xml:space="preserve"> Commission Delegated Regulation (EU) No 885/2013 of 15 May 2013 supplementing ITS Directive 2010/40/EU of the European Parliament and of the Council with regard to the provision of information services for safe and secure parking places for trucks and commercial vehicles - </w:t>
      </w:r>
      <w:r>
        <w:t>OJ L 247, 18.9.2013, p. 1</w:t>
      </w:r>
      <w:r>
        <w:rPr>
          <w:lang w:val="pl-PL"/>
        </w:rPr>
        <w:t xml:space="preserve"> </w:t>
      </w:r>
    </w:p>
  </w:footnote>
  <w:footnote w:id="13">
    <w:p>
      <w:pPr>
        <w:pStyle w:val="FootnoteText"/>
      </w:pPr>
      <w:r>
        <w:rPr>
          <w:rStyle w:val="FootnoteReference"/>
        </w:rPr>
        <w:footnoteRef/>
      </w:r>
      <w:r>
        <w:t xml:space="preserve"> These suggestions have been shared in 2016 with the representatives of the Member States to the ITS Committee, and triggered follow-up work to prepare the 2017 reports.</w:t>
      </w:r>
    </w:p>
  </w:footnote>
  <w:footnote w:id="14">
    <w:p>
      <w:pPr>
        <w:pStyle w:val="FootnoteText"/>
        <w:rPr>
          <w:lang w:val="en-US"/>
        </w:rPr>
      </w:pPr>
      <w:r>
        <w:rPr>
          <w:rStyle w:val="FootnoteReference"/>
          <w:rFonts w:eastAsia="Arial"/>
        </w:rPr>
        <w:footnoteRef/>
      </w:r>
      <w:r>
        <w:rPr>
          <w:lang w:val="en-US"/>
        </w:rPr>
        <w:t xml:space="preserve"> Published on </w:t>
      </w:r>
      <w:hyperlink r:id="rId6" w:history="1">
        <w:r>
          <w:rPr>
            <w:rStyle w:val="Hyperlink"/>
            <w:rFonts w:eastAsia="Arial"/>
            <w:lang w:val="en-US"/>
          </w:rPr>
          <w:t>http://ec.europa.eu/transport/themes/its/road/action_plan/its_national_reports_en.htm</w:t>
        </w:r>
      </w:hyperlink>
      <w:r>
        <w:rPr>
          <w:lang w:val="en-US"/>
        </w:rPr>
        <w:t xml:space="preserve"> </w:t>
      </w:r>
    </w:p>
  </w:footnote>
  <w:footnote w:id="15">
    <w:p>
      <w:pPr>
        <w:spacing w:after="0"/>
        <w:ind w:left="357" w:hanging="357"/>
        <w:rPr>
          <w:lang w:val="en-US"/>
        </w:rPr>
      </w:pPr>
      <w:r>
        <w:rPr>
          <w:vertAlign w:val="superscript"/>
        </w:rPr>
        <w:footnoteRef/>
      </w:r>
      <w:r>
        <w:rPr>
          <w:sz w:val="20"/>
          <w:szCs w:val="20"/>
          <w:lang w:val="en-US"/>
        </w:rPr>
        <w:t xml:space="preserve"> OJ L 207, 6.8.2010, p. 1.</w:t>
      </w:r>
    </w:p>
  </w:footnote>
  <w:footnote w:id="16">
    <w:p>
      <w:pPr>
        <w:spacing w:after="0"/>
        <w:ind w:left="357" w:hanging="357"/>
        <w:rPr>
          <w:lang w:val="en-US"/>
        </w:rPr>
      </w:pPr>
      <w:r>
        <w:rPr>
          <w:vertAlign w:val="superscript"/>
        </w:rPr>
        <w:footnoteRef/>
      </w:r>
      <w:r>
        <w:rPr>
          <w:sz w:val="20"/>
          <w:szCs w:val="20"/>
          <w:lang w:val="en-US"/>
        </w:rPr>
        <w:t xml:space="preserve"> OJ L 193, 23.7.2011, p.48.</w:t>
      </w:r>
    </w:p>
  </w:footnote>
  <w:footnote w:id="17">
    <w:p>
      <w:pPr>
        <w:pStyle w:val="FootnoteText"/>
        <w:rPr>
          <w:lang w:val="en-US"/>
        </w:rPr>
      </w:pPr>
      <w:r>
        <w:rPr>
          <w:rStyle w:val="FootnoteReference"/>
          <w:rFonts w:eastAsia="Arial"/>
        </w:rPr>
        <w:footnoteRef/>
      </w:r>
      <w:r>
        <w:rPr>
          <w:lang w:val="en-US"/>
        </w:rPr>
        <w:t xml:space="preserve"> Template available on </w:t>
      </w:r>
      <w:hyperlink r:id="rId7" w:history="1">
        <w:r>
          <w:rPr>
            <w:rStyle w:val="Hyperlink"/>
            <w:rFonts w:eastAsia="Arial"/>
            <w:lang w:val="en-US"/>
          </w:rPr>
          <w:t>https://ec.europa.eu/transport/themes/its/road/action_plan/its_national_reports_en</w:t>
        </w:r>
      </w:hyperlink>
      <w:r>
        <w:rPr>
          <w:lang w:val="en-US"/>
        </w:rPr>
        <w:t xml:space="preserve"> </w:t>
      </w:r>
    </w:p>
  </w:footnote>
  <w:footnote w:id="18">
    <w:p>
      <w:pPr>
        <w:pStyle w:val="FootnoteText"/>
        <w:rPr>
          <w:lang w:val="en-US"/>
        </w:rPr>
      </w:pPr>
      <w:r>
        <w:rPr>
          <w:rStyle w:val="FootnoteReference"/>
          <w:rFonts w:eastAsia="Arial"/>
        </w:rPr>
        <w:footnoteRef/>
      </w:r>
      <w:r>
        <w:rPr>
          <w:lang w:val="en-US"/>
        </w:rPr>
        <w:t xml:space="preserve"> Description of KPIs on </w:t>
      </w:r>
      <w:hyperlink r:id="rId8" w:history="1">
        <w:r>
          <w:rPr>
            <w:rStyle w:val="Hyperlink"/>
            <w:rFonts w:eastAsia="Arial"/>
            <w:lang w:val="en-US"/>
          </w:rPr>
          <w:t>https://ec.europa.eu/transport/themes/its/road/action_plan/its_national_reports_en</w:t>
        </w:r>
      </w:hyperlink>
      <w:r>
        <w:rPr>
          <w:lang w:val="en-US"/>
        </w:rPr>
        <w:t xml:space="preserve"> </w:t>
      </w:r>
    </w:p>
  </w:footnote>
  <w:footnote w:id="19">
    <w:p>
      <w:pPr>
        <w:pStyle w:val="FootnoteText"/>
        <w:rPr>
          <w:lang w:val="en-US"/>
        </w:rPr>
      </w:pPr>
      <w:r>
        <w:rPr>
          <w:rStyle w:val="FootnoteReference"/>
          <w:rFonts w:eastAsia="Arial"/>
        </w:rPr>
        <w:footnoteRef/>
      </w:r>
      <w:r>
        <w:rPr>
          <w:lang w:val="en-US"/>
        </w:rPr>
        <w:t xml:space="preserve"> </w:t>
      </w:r>
      <w:hyperlink r:id="rId9" w:history="1">
        <w:r>
          <w:rPr>
            <w:rStyle w:val="Hyperlink"/>
            <w:rFonts w:eastAsia="Arial"/>
            <w:lang w:val="en-US"/>
          </w:rPr>
          <w:t>https://ec.europa.eu/transport/themes/its/road/action_plan/nap_en</w:t>
        </w:r>
      </w:hyperlink>
      <w:r>
        <w:rPr>
          <w:lang w:val="en-US"/>
        </w:rPr>
        <w:t xml:space="preserve"> </w:t>
      </w:r>
    </w:p>
  </w:footnote>
  <w:footnote w:id="20">
    <w:p>
      <w:pPr>
        <w:pStyle w:val="FootnoteText"/>
        <w:rPr>
          <w:lang w:val="en-US"/>
        </w:rPr>
      </w:pPr>
      <w:r>
        <w:rPr>
          <w:rStyle w:val="FootnoteReference"/>
          <w:rFonts w:eastAsia="Arial"/>
        </w:rPr>
        <w:footnoteRef/>
      </w:r>
      <w:r>
        <w:rPr>
          <w:lang w:val="en-US"/>
        </w:rPr>
        <w:t xml:space="preserve"> </w:t>
      </w:r>
      <w:hyperlink r:id="rId10" w:history="1">
        <w:r>
          <w:rPr>
            <w:rStyle w:val="Hyperlink"/>
            <w:rFonts w:eastAsia="Arial"/>
            <w:lang w:val="en-US"/>
          </w:rPr>
          <w:t>https://ec.europa.eu/inea/en/connecting-europe-facility/cef-transport/2014-eu-tm-0563-w</w:t>
        </w:r>
      </w:hyperlink>
      <w:r>
        <w:rPr>
          <w:rStyle w:val="Hyperlink"/>
          <w:rFonts w:eastAsia="Arial"/>
          <w:lang w:val="en-US"/>
        </w:rPr>
        <w:t xml:space="preserve"> </w:t>
      </w:r>
    </w:p>
  </w:footnote>
  <w:footnote w:id="21">
    <w:p>
      <w:pPr>
        <w:pStyle w:val="FootnoteText"/>
      </w:pPr>
      <w:r>
        <w:rPr>
          <w:rStyle w:val="FootnoteReference"/>
          <w:rFonts w:eastAsia="Arial"/>
        </w:rPr>
        <w:footnoteRef/>
      </w:r>
      <w:r>
        <w:t xml:space="preserve"> Relevant standardisation activities (based on the TN-ITS specification) have also taken place within CEN TC278 WG7 (the ITS spatial data working group)</w:t>
      </w:r>
    </w:p>
  </w:footnote>
  <w:footnote w:id="22">
    <w:p>
      <w:pPr>
        <w:pStyle w:val="FootnoteText"/>
      </w:pPr>
      <w:r>
        <w:rPr>
          <w:rStyle w:val="FootnoteReference"/>
          <w:rFonts w:eastAsia="Arial"/>
        </w:rPr>
        <w:footnoteRef/>
      </w:r>
      <w:r>
        <w:t xml:space="preserve"> </w:t>
      </w:r>
      <w:hyperlink r:id="rId11" w:history="1">
        <w:r>
          <w:rPr>
            <w:rStyle w:val="Hyperlink"/>
            <w:rFonts w:eastAsia="Arial"/>
            <w:lang w:val="en-US"/>
          </w:rPr>
          <w:t>https://eip.its-platform.eu/</w:t>
        </w:r>
      </w:hyperlink>
      <w:r>
        <w:rPr>
          <w:lang w:val="en-US"/>
        </w:rPr>
        <w:t>, involving Belgium, Denmark, Finland, France, Germany, Ireland, Italy, Lithuania, Netherlands, Poland, Portugal, Romania, Spain, Sweden, United Kingdom</w:t>
      </w:r>
    </w:p>
  </w:footnote>
  <w:footnote w:id="23">
    <w:p>
      <w:pPr>
        <w:pStyle w:val="FootnoteText"/>
      </w:pPr>
      <w:r>
        <w:rPr>
          <w:rStyle w:val="FootnoteReference"/>
          <w:rFonts w:eastAsia="Arial"/>
        </w:rPr>
        <w:footnoteRef/>
      </w:r>
      <w:r>
        <w:t xml:space="preserve"> Commission Delegated Regulation (EU) 2017/1926 of 31 May 2017 supplementing Directive 2010/40/EU of the European Parliament and of the Council with regard to the provision of EU-wide multimodal travel information services - OJ L 272, 21.10.2017, p. 1</w:t>
      </w:r>
    </w:p>
  </w:footnote>
  <w:footnote w:id="24">
    <w:p>
      <w:pPr>
        <w:pStyle w:val="FootnoteText"/>
        <w:jc w:val="left"/>
      </w:pPr>
      <w:r>
        <w:rPr>
          <w:rStyle w:val="FootnoteReference"/>
          <w:rFonts w:eastAsia="Arial"/>
        </w:rPr>
        <w:footnoteRef/>
      </w:r>
      <w:r>
        <w:t xml:space="preserve"> Commission Delegated Regulation (EU) 2015/962 of 18 December 2014 supplementing Directive 2010/40/EU of the European Parliament and of the Council with regard to the provision of EU-wide real-time traffic information services - OJ L 157, 23.6.2015, p. 21</w:t>
      </w:r>
    </w:p>
  </w:footnote>
  <w:footnote w:id="25">
    <w:p>
      <w:pPr>
        <w:pStyle w:val="FootnoteText"/>
      </w:pPr>
      <w:r>
        <w:rPr>
          <w:rStyle w:val="FootnoteReference"/>
          <w:rFonts w:eastAsia="Arial"/>
        </w:rPr>
        <w:footnoteRef/>
      </w:r>
      <w:r>
        <w:t xml:space="preserve"> Commission Delegated Regulation (EU) No 886/2013 of 15 May 2013 supplementing Directive 2010/40/EU of the European Parliament and of the Council with regard to data and procedures for the provision, where possible, of road safety-related minimum universal traffic information free of charge to users - OJ L 247, 18.9.2013, p. 6 </w:t>
      </w:r>
    </w:p>
  </w:footnote>
  <w:footnote w:id="26">
    <w:p>
      <w:pPr>
        <w:pStyle w:val="FootnoteText"/>
      </w:pPr>
      <w:r>
        <w:rPr>
          <w:rStyle w:val="FootnoteReference"/>
          <w:rFonts w:eastAsia="Arial"/>
        </w:rPr>
        <w:footnoteRef/>
      </w:r>
      <w:r>
        <w:t xml:space="preserve"> According to Article 9 of Delegated Regulation (EU) No 886/2013, Member States shall designate an impartial and independent national body competent to assess whether the requirements set out in Articles 3 to 8 are fulfilled by public and private road operators and service providers and broadcasters dedicated to traffic information</w:t>
      </w:r>
    </w:p>
  </w:footnote>
  <w:footnote w:id="27">
    <w:p>
      <w:pPr>
        <w:pStyle w:val="FootnoteText"/>
      </w:pPr>
      <w:r>
        <w:rPr>
          <w:rStyle w:val="FootnoteReference"/>
          <w:rFonts w:eastAsia="Arial"/>
        </w:rPr>
        <w:footnoteRef/>
      </w:r>
      <w:r>
        <w:t xml:space="preserve"> According to Article 9, public and private road operators, service providers and broadcasters dedicated to traffic information shall provide the designated national bodies with their identification details and a description of the information service they provide, and submit a declaration of compliance with the requirements set out in Articles 3 to 8.</w:t>
      </w:r>
    </w:p>
  </w:footnote>
  <w:footnote w:id="28">
    <w:p>
      <w:pPr>
        <w:pStyle w:val="FootnoteText"/>
        <w:jc w:val="left"/>
      </w:pPr>
      <w:r>
        <w:rPr>
          <w:rStyle w:val="FootnoteReference"/>
          <w:rFonts w:eastAsia="Arial"/>
        </w:rPr>
        <w:footnoteRef/>
      </w:r>
      <w:r>
        <w:t xml:space="preserve"> </w:t>
      </w:r>
      <w:hyperlink r:id="rId12" w:history="1">
        <w:r>
          <w:rPr>
            <w:rStyle w:val="Hyperlink"/>
            <w:rFonts w:eastAsia="Arial"/>
          </w:rPr>
          <w:t>https://ec.europa.eu/inea/en/connecting-europe-facility/cef-transport/2014-eu-tm-0597-w</w:t>
        </w:r>
      </w:hyperlink>
    </w:p>
  </w:footnote>
  <w:footnote w:id="29">
    <w:p>
      <w:pPr>
        <w:pStyle w:val="FootnoteText"/>
        <w:jc w:val="left"/>
      </w:pPr>
      <w:r>
        <w:rPr>
          <w:rStyle w:val="FootnoteReference"/>
          <w:rFonts w:eastAsia="Arial"/>
        </w:rPr>
        <w:footnoteRef/>
      </w:r>
      <w:r>
        <w:t xml:space="preserve"> </w:t>
      </w:r>
      <w:hyperlink r:id="rId13" w:history="1">
        <w:r>
          <w:rPr>
            <w:rStyle w:val="Hyperlink"/>
            <w:rFonts w:eastAsia="Arial"/>
          </w:rPr>
          <w:t>https://ec.europa.eu/inea/en/connecting-europe-facility/cef-transport/2014-eu-tm-0588-w</w:t>
        </w:r>
      </w:hyperlink>
    </w:p>
  </w:footnote>
  <w:footnote w:id="30">
    <w:p>
      <w:pPr>
        <w:pStyle w:val="FootnoteText"/>
      </w:pPr>
      <w:r>
        <w:rPr>
          <w:rStyle w:val="FootnoteReference"/>
          <w:rFonts w:eastAsia="Arial"/>
        </w:rPr>
        <w:footnoteRef/>
      </w:r>
      <w:r>
        <w:t xml:space="preserve"> </w:t>
      </w:r>
      <w:hyperlink r:id="rId14" w:history="1">
        <w:r>
          <w:rPr>
            <w:rStyle w:val="Hyperlink"/>
            <w:rFonts w:eastAsia="Arial"/>
          </w:rPr>
          <w:t>https://ec.europa.eu/inea/en/connecting-europe-facility/cef-transport/2014-eu-ta-0582-s</w:t>
        </w:r>
      </w:hyperlink>
      <w:r>
        <w:t xml:space="preserve"> </w:t>
      </w:r>
    </w:p>
  </w:footnote>
  <w:footnote w:id="31">
    <w:p>
      <w:pPr>
        <w:pStyle w:val="FootnoteText"/>
      </w:pPr>
      <w:r>
        <w:rPr>
          <w:rStyle w:val="FootnoteReference"/>
          <w:rFonts w:eastAsia="Arial"/>
        </w:rPr>
        <w:footnoteRef/>
      </w:r>
      <w:r>
        <w:t xml:space="preserve"> </w:t>
      </w:r>
      <w:hyperlink r:id="rId15" w:history="1">
        <w:r>
          <w:rPr>
            <w:rStyle w:val="Hyperlink"/>
            <w:rFonts w:eastAsia="Arial"/>
          </w:rPr>
          <w:t>https://ec.europa.eu/inea/en/connecting-europe-facility/cef-transport/2014-at-ta-0259-m</w:t>
        </w:r>
      </w:hyperlink>
      <w:r>
        <w:t xml:space="preserve"> </w:t>
      </w:r>
    </w:p>
  </w:footnote>
  <w:footnote w:id="32">
    <w:p>
      <w:pPr>
        <w:pStyle w:val="FootnoteText"/>
        <w:jc w:val="left"/>
      </w:pPr>
      <w:r>
        <w:rPr>
          <w:rStyle w:val="FootnoteReference"/>
          <w:rFonts w:eastAsia="Arial"/>
        </w:rPr>
        <w:footnoteRef/>
      </w:r>
      <w:hyperlink r:id="rId16" w:history="1">
        <w:r>
          <w:rPr>
            <w:rStyle w:val="Hyperlink"/>
            <w:rFonts w:eastAsia="Arial"/>
          </w:rPr>
          <w:t xml:space="preserve"> https://ec.europa.eu/inea/en/connecting-europe-facility/cef-transport/2014-eu-tm-0310-w</w:t>
        </w:r>
      </w:hyperlink>
      <w:r>
        <w:rPr>
          <w:rStyle w:val="Hyperlink"/>
          <w:rFonts w:eastAsia="Arial"/>
        </w:rPr>
        <w:t xml:space="preserve"> </w:t>
      </w:r>
    </w:p>
  </w:footnote>
  <w:footnote w:id="33">
    <w:p>
      <w:pPr>
        <w:pStyle w:val="FootnoteText"/>
        <w:jc w:val="left"/>
      </w:pPr>
      <w:r>
        <w:rPr>
          <w:rStyle w:val="FootnoteReference"/>
          <w:rFonts w:eastAsia="Arial"/>
        </w:rPr>
        <w:footnoteRef/>
      </w:r>
      <w:r>
        <w:t xml:space="preserve"> </w:t>
      </w:r>
      <w:hyperlink r:id="rId17" w:history="1">
        <w:r>
          <w:rPr>
            <w:rStyle w:val="Hyperlink"/>
            <w:rFonts w:eastAsia="Arial"/>
          </w:rPr>
          <w:t>https://ec.europa.eu/inea/en/connecting-europe-facility/cef-transport/2014-eu-tm-0365-w</w:t>
        </w:r>
      </w:hyperlink>
      <w:r>
        <w:t xml:space="preserve"> </w:t>
      </w:r>
    </w:p>
  </w:footnote>
  <w:footnote w:id="34">
    <w:p>
      <w:pPr>
        <w:pStyle w:val="FootnoteText"/>
      </w:pPr>
      <w:r>
        <w:rPr>
          <w:rStyle w:val="FootnoteReference"/>
          <w:rFonts w:eastAsia="Arial"/>
        </w:rPr>
        <w:footnoteRef/>
      </w:r>
      <w:r>
        <w:t xml:space="preserve"> </w:t>
      </w:r>
      <w:hyperlink r:id="rId18" w:history="1">
        <w:r>
          <w:rPr>
            <w:rStyle w:val="Hyperlink"/>
            <w:rFonts w:eastAsia="Arial"/>
          </w:rPr>
          <w:t>http://ec.europa.eu/transport/themes/its/road/action_plan/ecall_en.htm</w:t>
        </w:r>
      </w:hyperlink>
      <w:r>
        <w:t xml:space="preserve"> </w:t>
      </w:r>
    </w:p>
  </w:footnote>
  <w:footnote w:id="35">
    <w:p>
      <w:pPr>
        <w:pStyle w:val="FootnoteText"/>
      </w:pPr>
      <w:r>
        <w:rPr>
          <w:rStyle w:val="FootnoteReference"/>
          <w:rFonts w:eastAsia="Arial"/>
        </w:rPr>
        <w:footnoteRef/>
      </w:r>
      <w:r>
        <w:t xml:space="preserve"> Commission Delegated Regulation (EU) No 885/2013 of 15 May 2013 supplementing ITS Directive 2010/40/EU of the European Parliament and of the Council with regard to the provision of information services for safe and secure parking places for trucks and commercial vehicles - OJ L 247, 18.9.2013, p. 1</w:t>
      </w:r>
    </w:p>
  </w:footnote>
  <w:footnote w:id="36">
    <w:p>
      <w:pPr>
        <w:pStyle w:val="FootnoteText"/>
      </w:pPr>
      <w:r>
        <w:rPr>
          <w:rStyle w:val="FootnoteReference"/>
          <w:rFonts w:eastAsia="Arial"/>
        </w:rPr>
        <w:footnoteRef/>
      </w:r>
      <w:r>
        <w:t xml:space="preserve"> </w:t>
      </w:r>
      <w:hyperlink r:id="rId19" w:history="1">
        <w:r>
          <w:rPr>
            <w:rStyle w:val="Hyperlink"/>
            <w:rFonts w:eastAsia="Arial"/>
          </w:rPr>
          <w:t>http://open-data.europa.eu/en/data/dataset/etpa</w:t>
        </w:r>
      </w:hyperlink>
      <w:r>
        <w:t xml:space="preserve"> </w:t>
      </w:r>
    </w:p>
  </w:footnote>
  <w:footnote w:id="37">
    <w:p>
      <w:pPr>
        <w:pStyle w:val="FootnoteText"/>
      </w:pPr>
      <w:r>
        <w:rPr>
          <w:rStyle w:val="FootnoteReference"/>
          <w:rFonts w:eastAsia="Arial"/>
        </w:rPr>
        <w:footnoteRef/>
      </w:r>
      <w:r>
        <w:t xml:space="preserve"> </w:t>
      </w:r>
      <w:hyperlink r:id="rId20" w:history="1">
        <w:r>
          <w:rPr>
            <w:rStyle w:val="Hyperlink"/>
            <w:rFonts w:eastAsia="Arial"/>
          </w:rPr>
          <w:t>http://ec.europa.eu/transport/infrastructure/tentec/tentec-portal/map/maps.html</w:t>
        </w:r>
      </w:hyperlink>
      <w:r>
        <w:t xml:space="preserve"> </w:t>
      </w:r>
    </w:p>
  </w:footnote>
  <w:footnote w:id="38">
    <w:p>
      <w:pPr>
        <w:pStyle w:val="FootnoteText"/>
      </w:pPr>
      <w:r>
        <w:rPr>
          <w:rStyle w:val="FootnoteReference"/>
          <w:rFonts w:eastAsia="Arial"/>
        </w:rPr>
        <w:footnoteRef/>
      </w:r>
      <w:r>
        <w:t xml:space="preserve"> </w:t>
      </w:r>
      <w:hyperlink r:id="rId21" w:history="1">
        <w:r>
          <w:rPr>
            <w:rStyle w:val="Hyperlink"/>
            <w:rFonts w:eastAsia="Arial"/>
          </w:rPr>
          <w:t>https://www.c-roads.eu</w:t>
        </w:r>
      </w:hyperlink>
      <w:r>
        <w:t xml:space="preserve"> </w:t>
      </w:r>
    </w:p>
  </w:footnote>
  <w:footnote w:id="39">
    <w:p>
      <w:pPr>
        <w:pStyle w:val="FootnoteText"/>
        <w:rPr>
          <w:lang w:val="en-US"/>
        </w:rPr>
      </w:pPr>
      <w:r>
        <w:rPr>
          <w:rStyle w:val="FootnoteReference"/>
          <w:rFonts w:eastAsia="Arial"/>
        </w:rPr>
        <w:footnoteRef/>
      </w:r>
      <w:r>
        <w:rPr>
          <w:lang w:val="en-US"/>
        </w:rPr>
        <w:t xml:space="preserve"> Annual report 2017: </w:t>
      </w:r>
      <w:hyperlink r:id="rId22" w:history="1">
        <w:r>
          <w:rPr>
            <w:rStyle w:val="Hyperlink"/>
            <w:rFonts w:eastAsia="Arial"/>
            <w:lang w:val="en-US"/>
          </w:rPr>
          <w:t>https://ec.europa.eu/digital-single-market/en/news/implementation-european-emergency-number-112-results-eleventh-data-gathering-round</w:t>
        </w:r>
      </w:hyperlink>
      <w:r>
        <w:rPr>
          <w:lang w:val="en-US"/>
        </w:rPr>
        <w:t xml:space="preserve"> </w:t>
      </w:r>
    </w:p>
  </w:footnote>
  <w:footnote w:id="40">
    <w:p>
      <w:pPr>
        <w:pStyle w:val="FootnoteText"/>
      </w:pPr>
      <w:r>
        <w:rPr>
          <w:rStyle w:val="FootnoteReference"/>
          <w:rFonts w:eastAsia="Arial"/>
        </w:rPr>
        <w:footnoteRef/>
      </w:r>
      <w:r>
        <w:t xml:space="preserve"> Between 2014-2016, 400 new cameras along around 1000 km of road network saved the lives of four people according to assessment by the Administration.</w:t>
      </w:r>
    </w:p>
  </w:footnote>
  <w:footnote w:id="41">
    <w:p>
      <w:pPr>
        <w:pStyle w:val="FootnoteText"/>
      </w:pPr>
      <w:r>
        <w:rPr>
          <w:rStyle w:val="FootnoteReference"/>
          <w:rFonts w:eastAsia="Arial"/>
        </w:rPr>
        <w:footnoteRef/>
      </w:r>
      <w:r>
        <w:t xml:space="preserve"> Based on socioeconomic models, CO</w:t>
      </w:r>
      <w:r>
        <w:rPr>
          <w:vertAlign w:val="subscript"/>
        </w:rPr>
        <w:t>2</w:t>
      </w:r>
      <w:r>
        <w:t xml:space="preserve"> emissions are estimated to have decreased by 24,566 tonnes during 2014-2016 thanks to ATK (400 road safety cameras along around 1000 km of road network). </w:t>
      </w:r>
    </w:p>
  </w:footnote>
  <w:footnote w:id="42">
    <w:p>
      <w:pPr>
        <w:spacing w:line="276" w:lineRule="auto"/>
        <w:rPr>
          <w:i/>
          <w:lang w:val="en-IE"/>
        </w:rPr>
      </w:pPr>
      <w:r>
        <w:rPr>
          <w:rStyle w:val="FootnoteReference"/>
        </w:rPr>
        <w:footnoteRef/>
      </w:r>
      <w:r>
        <w:rPr>
          <w:lang w:val="en-IE"/>
        </w:rPr>
        <w:t xml:space="preserve"> </w:t>
      </w:r>
      <w:r>
        <w:rPr>
          <w:i/>
          <w:lang w:val="en-IE"/>
        </w:rPr>
        <w:t>Note: it also happened that information on the implementation of specifications was provided twice (and even differently), both in the ITS national report and in a specific specifications-related report.</w:t>
      </w:r>
    </w:p>
    <w:p>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104E"/>
    <w:multiLevelType w:val="hybridMultilevel"/>
    <w:tmpl w:val="88106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8D91FDB"/>
    <w:multiLevelType w:val="multilevel"/>
    <w:tmpl w:val="8BF48C90"/>
    <w:lvl w:ilvl="0">
      <w:start w:val="3"/>
      <w:numFmt w:val="bullet"/>
      <w:lvlText w:val="-"/>
      <w:lvlJc w:val="left"/>
      <w:pPr>
        <w:ind w:left="2520" w:hanging="360"/>
      </w:pPr>
      <w:rPr>
        <w:rFonts w:ascii="Calibri" w:hAnsi="Calibri" w:cs="Calibri"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2">
    <w:nsid w:val="08FF44E5"/>
    <w:multiLevelType w:val="hybridMultilevel"/>
    <w:tmpl w:val="B32C1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D3679F2"/>
    <w:multiLevelType w:val="multilevel"/>
    <w:tmpl w:val="24368C3A"/>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4">
    <w:nsid w:val="105A0B60"/>
    <w:multiLevelType w:val="multilevel"/>
    <w:tmpl w:val="0D5CE822"/>
    <w:lvl w:ilvl="0">
      <w:start w:val="1"/>
      <w:numFmt w:val="bullet"/>
      <w:lvlText w:val="o"/>
      <w:lvlJc w:val="left"/>
      <w:pPr>
        <w:ind w:left="1800" w:hanging="360"/>
      </w:pPr>
      <w:rPr>
        <w:rFonts w:ascii="Courier New" w:hAnsi="Courier New" w:cs="Courier New"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cs="Wingdings" w:hint="default"/>
      </w:rPr>
    </w:lvl>
    <w:lvl w:ilvl="3">
      <w:start w:val="1"/>
      <w:numFmt w:val="bullet"/>
      <w:lvlText w:val=""/>
      <w:lvlJc w:val="left"/>
      <w:pPr>
        <w:ind w:left="3960" w:hanging="360"/>
      </w:pPr>
      <w:rPr>
        <w:rFonts w:ascii="Symbol" w:hAnsi="Symbol" w:cs="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cs="Wingdings" w:hint="default"/>
      </w:rPr>
    </w:lvl>
    <w:lvl w:ilvl="6">
      <w:start w:val="1"/>
      <w:numFmt w:val="bullet"/>
      <w:lvlText w:val=""/>
      <w:lvlJc w:val="left"/>
      <w:pPr>
        <w:ind w:left="6120" w:hanging="360"/>
      </w:pPr>
      <w:rPr>
        <w:rFonts w:ascii="Symbol" w:hAnsi="Symbol" w:cs="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cs="Wingdings" w:hint="default"/>
      </w:rPr>
    </w:lvl>
  </w:abstractNum>
  <w:abstractNum w:abstractNumId="5">
    <w:nsid w:val="1090206F"/>
    <w:multiLevelType w:val="hybridMultilevel"/>
    <w:tmpl w:val="0FA813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10D61993"/>
    <w:multiLevelType w:val="hybridMultilevel"/>
    <w:tmpl w:val="BD086FBE"/>
    <w:lvl w:ilvl="0" w:tplc="7C80A11E">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38926A3"/>
    <w:multiLevelType w:val="hybridMultilevel"/>
    <w:tmpl w:val="FD96160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nsid w:val="145C4D4F"/>
    <w:multiLevelType w:val="multilevel"/>
    <w:tmpl w:val="30D00EE0"/>
    <w:lvl w:ilvl="0">
      <w:numFmt w:val="bullet"/>
      <w:lvlText w:val="-"/>
      <w:lvlJc w:val="left"/>
      <w:pPr>
        <w:ind w:left="780" w:firstLine="420"/>
      </w:pPr>
      <w:rPr>
        <w:rFonts w:ascii="Arial" w:eastAsia="Arial" w:hAnsi="Arial" w:cs="Arial"/>
        <w:color w:val="000000"/>
      </w:rPr>
    </w:lvl>
    <w:lvl w:ilvl="1">
      <w:start w:val="1"/>
      <w:numFmt w:val="bullet"/>
      <w:lvlText w:val="●"/>
      <w:lvlJc w:val="left"/>
      <w:pPr>
        <w:ind w:left="1500" w:firstLine="1140"/>
      </w:pPr>
      <w:rPr>
        <w:rFonts w:ascii="Arial" w:eastAsia="Arial" w:hAnsi="Arial" w:cs="Arial"/>
      </w:rPr>
    </w:lvl>
    <w:lvl w:ilvl="2">
      <w:start w:val="1"/>
      <w:numFmt w:val="bullet"/>
      <w:lvlText w:val="▪"/>
      <w:lvlJc w:val="left"/>
      <w:pPr>
        <w:ind w:left="2220" w:firstLine="1860"/>
      </w:pPr>
      <w:rPr>
        <w:rFonts w:ascii="Arial" w:eastAsia="Arial" w:hAnsi="Arial" w:cs="Arial"/>
      </w:rPr>
    </w:lvl>
    <w:lvl w:ilvl="3">
      <w:start w:val="1"/>
      <w:numFmt w:val="bullet"/>
      <w:lvlText w:val="●"/>
      <w:lvlJc w:val="left"/>
      <w:pPr>
        <w:ind w:left="2940" w:firstLine="2580"/>
      </w:pPr>
      <w:rPr>
        <w:rFonts w:ascii="Arial" w:eastAsia="Arial" w:hAnsi="Arial" w:cs="Arial"/>
      </w:rPr>
    </w:lvl>
    <w:lvl w:ilvl="4">
      <w:start w:val="1"/>
      <w:numFmt w:val="bullet"/>
      <w:lvlText w:val="o"/>
      <w:lvlJc w:val="left"/>
      <w:pPr>
        <w:ind w:left="3660" w:firstLine="3300"/>
      </w:pPr>
      <w:rPr>
        <w:rFonts w:ascii="Arial" w:eastAsia="Arial" w:hAnsi="Arial" w:cs="Arial"/>
      </w:rPr>
    </w:lvl>
    <w:lvl w:ilvl="5">
      <w:start w:val="1"/>
      <w:numFmt w:val="bullet"/>
      <w:lvlText w:val="▪"/>
      <w:lvlJc w:val="left"/>
      <w:pPr>
        <w:ind w:left="4380" w:firstLine="4020"/>
      </w:pPr>
      <w:rPr>
        <w:rFonts w:ascii="Arial" w:eastAsia="Arial" w:hAnsi="Arial" w:cs="Arial"/>
      </w:rPr>
    </w:lvl>
    <w:lvl w:ilvl="6">
      <w:start w:val="1"/>
      <w:numFmt w:val="bullet"/>
      <w:lvlText w:val="●"/>
      <w:lvlJc w:val="left"/>
      <w:pPr>
        <w:ind w:left="5100" w:firstLine="4740"/>
      </w:pPr>
      <w:rPr>
        <w:rFonts w:ascii="Arial" w:eastAsia="Arial" w:hAnsi="Arial" w:cs="Arial"/>
      </w:rPr>
    </w:lvl>
    <w:lvl w:ilvl="7">
      <w:start w:val="1"/>
      <w:numFmt w:val="bullet"/>
      <w:lvlText w:val="o"/>
      <w:lvlJc w:val="left"/>
      <w:pPr>
        <w:ind w:left="5820" w:firstLine="5460"/>
      </w:pPr>
      <w:rPr>
        <w:rFonts w:ascii="Arial" w:eastAsia="Arial" w:hAnsi="Arial" w:cs="Arial"/>
      </w:rPr>
    </w:lvl>
    <w:lvl w:ilvl="8">
      <w:start w:val="1"/>
      <w:numFmt w:val="bullet"/>
      <w:lvlText w:val="▪"/>
      <w:lvlJc w:val="left"/>
      <w:pPr>
        <w:ind w:left="6540" w:firstLine="6180"/>
      </w:pPr>
      <w:rPr>
        <w:rFonts w:ascii="Arial" w:eastAsia="Arial" w:hAnsi="Arial" w:cs="Arial"/>
      </w:rPr>
    </w:lvl>
  </w:abstractNum>
  <w:abstractNum w:abstractNumId="9">
    <w:nsid w:val="14E975EB"/>
    <w:multiLevelType w:val="multilevel"/>
    <w:tmpl w:val="216CB178"/>
    <w:lvl w:ilvl="0">
      <w:start w:val="1"/>
      <w:numFmt w:val="decimal"/>
      <w:lvlText w:val="%1"/>
      <w:lvlJc w:val="left"/>
      <w:pPr>
        <w:ind w:left="431" w:hanging="431"/>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1002" w:hanging="576"/>
      </w:pPr>
      <w:rPr>
        <w:b/>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rPr>
        <w:rFonts w:hint="default"/>
      </w:rPr>
    </w:lvl>
    <w:lvl w:ilvl="3">
      <w:start w:val="1"/>
      <w:numFmt w:val="decimal"/>
      <w:lvlText w:val="%1.%2.%3.%4"/>
      <w:lvlJc w:val="left"/>
      <w:pPr>
        <w:ind w:left="1006" w:hanging="864"/>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nsid w:val="17363650"/>
    <w:multiLevelType w:val="multilevel"/>
    <w:tmpl w:val="B4C2E61A"/>
    <w:lvl w:ilvl="0">
      <w:start w:val="3"/>
      <w:numFmt w:val="bullet"/>
      <w:lvlText w:val="-"/>
      <w:lvlJc w:val="left"/>
      <w:pPr>
        <w:ind w:left="2520" w:hanging="360"/>
      </w:pPr>
      <w:rPr>
        <w:rFonts w:ascii="Calibri" w:hAnsi="Calibri" w:cs="Calibri" w:hint="default"/>
      </w:rPr>
    </w:lvl>
    <w:lvl w:ilvl="1">
      <w:start w:val="1"/>
      <w:numFmt w:val="bullet"/>
      <w:lvlText w:val="o"/>
      <w:lvlJc w:val="left"/>
      <w:pPr>
        <w:ind w:left="3240" w:hanging="360"/>
      </w:pPr>
      <w:rPr>
        <w:rFonts w:ascii="Courier New" w:hAnsi="Courier New" w:cs="Courier New" w:hint="default"/>
      </w:rPr>
    </w:lvl>
    <w:lvl w:ilvl="2">
      <w:start w:val="1"/>
      <w:numFmt w:val="bullet"/>
      <w:lvlText w:val=""/>
      <w:lvlJc w:val="left"/>
      <w:pPr>
        <w:ind w:left="3960" w:hanging="360"/>
      </w:pPr>
      <w:rPr>
        <w:rFonts w:ascii="Wingdings" w:hAnsi="Wingdings" w:cs="Wingdings" w:hint="default"/>
      </w:rPr>
    </w:lvl>
    <w:lvl w:ilvl="3">
      <w:start w:val="1"/>
      <w:numFmt w:val="bullet"/>
      <w:lvlText w:val=""/>
      <w:lvlJc w:val="left"/>
      <w:pPr>
        <w:ind w:left="4680" w:hanging="360"/>
      </w:pPr>
      <w:rPr>
        <w:rFonts w:ascii="Symbol" w:hAnsi="Symbol" w:cs="Symbol" w:hint="default"/>
      </w:rPr>
    </w:lvl>
    <w:lvl w:ilvl="4">
      <w:start w:val="1"/>
      <w:numFmt w:val="bullet"/>
      <w:lvlText w:val="o"/>
      <w:lvlJc w:val="left"/>
      <w:pPr>
        <w:ind w:left="5400" w:hanging="360"/>
      </w:pPr>
      <w:rPr>
        <w:rFonts w:ascii="Courier New" w:hAnsi="Courier New" w:cs="Courier New" w:hint="default"/>
      </w:rPr>
    </w:lvl>
    <w:lvl w:ilvl="5">
      <w:start w:val="1"/>
      <w:numFmt w:val="bullet"/>
      <w:lvlText w:val=""/>
      <w:lvlJc w:val="left"/>
      <w:pPr>
        <w:ind w:left="6120" w:hanging="360"/>
      </w:pPr>
      <w:rPr>
        <w:rFonts w:ascii="Wingdings" w:hAnsi="Wingdings" w:cs="Wingdings" w:hint="default"/>
      </w:rPr>
    </w:lvl>
    <w:lvl w:ilvl="6">
      <w:start w:val="1"/>
      <w:numFmt w:val="bullet"/>
      <w:lvlText w:val=""/>
      <w:lvlJc w:val="left"/>
      <w:pPr>
        <w:ind w:left="6840" w:hanging="360"/>
      </w:pPr>
      <w:rPr>
        <w:rFonts w:ascii="Symbol" w:hAnsi="Symbol" w:cs="Symbol" w:hint="default"/>
      </w:rPr>
    </w:lvl>
    <w:lvl w:ilvl="7">
      <w:start w:val="1"/>
      <w:numFmt w:val="bullet"/>
      <w:lvlText w:val="o"/>
      <w:lvlJc w:val="left"/>
      <w:pPr>
        <w:ind w:left="7560" w:hanging="360"/>
      </w:pPr>
      <w:rPr>
        <w:rFonts w:ascii="Courier New" w:hAnsi="Courier New" w:cs="Courier New" w:hint="default"/>
      </w:rPr>
    </w:lvl>
    <w:lvl w:ilvl="8">
      <w:start w:val="1"/>
      <w:numFmt w:val="bullet"/>
      <w:lvlText w:val=""/>
      <w:lvlJc w:val="left"/>
      <w:pPr>
        <w:ind w:left="8280" w:hanging="360"/>
      </w:pPr>
      <w:rPr>
        <w:rFonts w:ascii="Wingdings" w:hAnsi="Wingdings" w:cs="Wingdings" w:hint="default"/>
      </w:rPr>
    </w:lvl>
  </w:abstractNum>
  <w:abstractNum w:abstractNumId="11">
    <w:nsid w:val="18942DC2"/>
    <w:multiLevelType w:val="hybridMultilevel"/>
    <w:tmpl w:val="361E7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19A86D0F"/>
    <w:multiLevelType w:val="multilevel"/>
    <w:tmpl w:val="AEF0ADE0"/>
    <w:lvl w:ilvl="0">
      <w:start w:val="1"/>
      <w:numFmt w:val="decimal"/>
      <w:lvlText w:val="%1."/>
      <w:lvlJc w:val="left"/>
      <w:pPr>
        <w:ind w:left="480" w:firstLine="0"/>
      </w:pPr>
    </w:lvl>
    <w:lvl w:ilvl="1">
      <w:start w:val="1"/>
      <w:numFmt w:val="decimal"/>
      <w:lvlText w:val="%1.%2."/>
      <w:lvlJc w:val="left"/>
      <w:pPr>
        <w:ind w:left="1080" w:firstLine="480"/>
      </w:pPr>
    </w:lvl>
    <w:lvl w:ilvl="2">
      <w:start w:val="1"/>
      <w:numFmt w:val="decimal"/>
      <w:lvlText w:val="%1.%2.%3."/>
      <w:lvlJc w:val="left"/>
      <w:pPr>
        <w:ind w:left="1920" w:firstLine="1080"/>
      </w:pPr>
    </w:lvl>
    <w:lvl w:ilvl="3">
      <w:start w:val="1"/>
      <w:numFmt w:val="decimal"/>
      <w:lvlText w:val="%1.%2.%3.%4."/>
      <w:lvlJc w:val="left"/>
      <w:pPr>
        <w:ind w:left="2880" w:firstLine="192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13">
    <w:nsid w:val="1F246A2A"/>
    <w:multiLevelType w:val="hybridMultilevel"/>
    <w:tmpl w:val="AA169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4DF3C28"/>
    <w:multiLevelType w:val="hybridMultilevel"/>
    <w:tmpl w:val="011E57F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5">
    <w:nsid w:val="2E31460A"/>
    <w:multiLevelType w:val="hybridMultilevel"/>
    <w:tmpl w:val="8FAA14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81C5174"/>
    <w:multiLevelType w:val="multilevel"/>
    <w:tmpl w:val="1FF8BD78"/>
    <w:lvl w:ilvl="0">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38751A60"/>
    <w:multiLevelType w:val="hybridMultilevel"/>
    <w:tmpl w:val="25082C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nsid w:val="38A42C30"/>
    <w:multiLevelType w:val="hybridMultilevel"/>
    <w:tmpl w:val="D7602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3BCE0347"/>
    <w:multiLevelType w:val="hybridMultilevel"/>
    <w:tmpl w:val="F0522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F53162B"/>
    <w:multiLevelType w:val="hybridMultilevel"/>
    <w:tmpl w:val="5E844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05F362F"/>
    <w:multiLevelType w:val="hybridMultilevel"/>
    <w:tmpl w:val="F37C6C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nsid w:val="4AC11A48"/>
    <w:multiLevelType w:val="hybridMultilevel"/>
    <w:tmpl w:val="F94C6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AF97AED"/>
    <w:multiLevelType w:val="multilevel"/>
    <w:tmpl w:val="AEF0ADE0"/>
    <w:lvl w:ilvl="0">
      <w:start w:val="1"/>
      <w:numFmt w:val="decimal"/>
      <w:lvlText w:val="%1."/>
      <w:lvlJc w:val="left"/>
      <w:pPr>
        <w:ind w:left="480" w:firstLine="0"/>
      </w:pPr>
    </w:lvl>
    <w:lvl w:ilvl="1">
      <w:start w:val="1"/>
      <w:numFmt w:val="decimal"/>
      <w:lvlText w:val="%1.%2."/>
      <w:lvlJc w:val="left"/>
      <w:pPr>
        <w:ind w:left="1080" w:firstLine="480"/>
      </w:pPr>
    </w:lvl>
    <w:lvl w:ilvl="2">
      <w:start w:val="1"/>
      <w:numFmt w:val="decimal"/>
      <w:lvlText w:val="%1.%2.%3."/>
      <w:lvlJc w:val="left"/>
      <w:pPr>
        <w:ind w:left="1920" w:firstLine="1080"/>
      </w:pPr>
    </w:lvl>
    <w:lvl w:ilvl="3">
      <w:start w:val="1"/>
      <w:numFmt w:val="decimal"/>
      <w:lvlText w:val="%1.%2.%3.%4."/>
      <w:lvlJc w:val="left"/>
      <w:pPr>
        <w:ind w:left="2880" w:firstLine="192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24">
    <w:nsid w:val="4DD400AE"/>
    <w:multiLevelType w:val="hybridMultilevel"/>
    <w:tmpl w:val="6AD6F7AA"/>
    <w:lvl w:ilvl="0" w:tplc="87507380">
      <w:start w:val="1"/>
      <w:numFmt w:val="lowerLetter"/>
      <w:lvlText w:val="%1."/>
      <w:lvlJc w:val="left"/>
      <w:pPr>
        <w:ind w:left="1080"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5">
    <w:nsid w:val="52CD4163"/>
    <w:multiLevelType w:val="hybridMultilevel"/>
    <w:tmpl w:val="75720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91C45B3"/>
    <w:multiLevelType w:val="hybridMultilevel"/>
    <w:tmpl w:val="B1965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7">
    <w:nsid w:val="5E3C7F1C"/>
    <w:multiLevelType w:val="hybridMultilevel"/>
    <w:tmpl w:val="76367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11647A5"/>
    <w:multiLevelType w:val="hybridMultilevel"/>
    <w:tmpl w:val="83049728"/>
    <w:lvl w:ilvl="0" w:tplc="64964EA2">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64BE29AF"/>
    <w:multiLevelType w:val="hybridMultilevel"/>
    <w:tmpl w:val="A908214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nsid w:val="68A60593"/>
    <w:multiLevelType w:val="hybridMultilevel"/>
    <w:tmpl w:val="226258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6A2E3168"/>
    <w:multiLevelType w:val="hybridMultilevel"/>
    <w:tmpl w:val="8B9E8E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6A8657E1"/>
    <w:multiLevelType w:val="hybridMultilevel"/>
    <w:tmpl w:val="2DB04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AC439C5"/>
    <w:multiLevelType w:val="hybridMultilevel"/>
    <w:tmpl w:val="03F88B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nsid w:val="6D12158E"/>
    <w:multiLevelType w:val="multilevel"/>
    <w:tmpl w:val="5B2E7CF6"/>
    <w:lvl w:ilvl="0">
      <w:start w:val="1"/>
      <w:numFmt w:val="bullet"/>
      <w:lvlText w:val="●"/>
      <w:lvlJc w:val="left"/>
      <w:pPr>
        <w:ind w:left="1140" w:firstLine="780"/>
      </w:pPr>
      <w:rPr>
        <w:rFonts w:ascii="Arial" w:eastAsia="Arial" w:hAnsi="Arial" w:cs="Arial"/>
        <w:color w:val="000000"/>
      </w:rPr>
    </w:lvl>
    <w:lvl w:ilvl="1">
      <w:start w:val="1"/>
      <w:numFmt w:val="bullet"/>
      <w:lvlText w:val="o"/>
      <w:lvlJc w:val="left"/>
      <w:pPr>
        <w:ind w:left="1800" w:firstLine="1440"/>
      </w:pPr>
      <w:rPr>
        <w:rFonts w:ascii="Arial" w:eastAsia="Arial" w:hAnsi="Arial" w:cs="Arial"/>
      </w:rPr>
    </w:lvl>
    <w:lvl w:ilvl="2">
      <w:start w:val="1"/>
      <w:numFmt w:val="bullet"/>
      <w:lvlText w:val="▪"/>
      <w:lvlJc w:val="left"/>
      <w:pPr>
        <w:ind w:left="2520" w:firstLine="2160"/>
      </w:pPr>
      <w:rPr>
        <w:rFonts w:ascii="Arial" w:eastAsia="Arial" w:hAnsi="Arial" w:cs="Arial"/>
      </w:rPr>
    </w:lvl>
    <w:lvl w:ilvl="3">
      <w:start w:val="1"/>
      <w:numFmt w:val="bullet"/>
      <w:lvlText w:val="●"/>
      <w:lvlJc w:val="left"/>
      <w:pPr>
        <w:ind w:left="3240" w:firstLine="2880"/>
      </w:pPr>
      <w:rPr>
        <w:rFonts w:ascii="Arial" w:eastAsia="Arial" w:hAnsi="Arial" w:cs="Arial"/>
      </w:rPr>
    </w:lvl>
    <w:lvl w:ilvl="4">
      <w:start w:val="1"/>
      <w:numFmt w:val="bullet"/>
      <w:lvlText w:val="o"/>
      <w:lvlJc w:val="left"/>
      <w:pPr>
        <w:ind w:left="3960" w:firstLine="3600"/>
      </w:pPr>
      <w:rPr>
        <w:rFonts w:ascii="Arial" w:eastAsia="Arial" w:hAnsi="Arial" w:cs="Arial"/>
      </w:rPr>
    </w:lvl>
    <w:lvl w:ilvl="5">
      <w:start w:val="1"/>
      <w:numFmt w:val="bullet"/>
      <w:lvlText w:val="▪"/>
      <w:lvlJc w:val="left"/>
      <w:pPr>
        <w:ind w:left="4680" w:firstLine="4320"/>
      </w:pPr>
      <w:rPr>
        <w:rFonts w:ascii="Arial" w:eastAsia="Arial" w:hAnsi="Arial" w:cs="Arial"/>
      </w:rPr>
    </w:lvl>
    <w:lvl w:ilvl="6">
      <w:start w:val="1"/>
      <w:numFmt w:val="bullet"/>
      <w:lvlText w:val="●"/>
      <w:lvlJc w:val="left"/>
      <w:pPr>
        <w:ind w:left="5400" w:firstLine="5040"/>
      </w:pPr>
      <w:rPr>
        <w:rFonts w:ascii="Arial" w:eastAsia="Arial" w:hAnsi="Arial" w:cs="Arial"/>
      </w:rPr>
    </w:lvl>
    <w:lvl w:ilvl="7">
      <w:start w:val="1"/>
      <w:numFmt w:val="bullet"/>
      <w:lvlText w:val="o"/>
      <w:lvlJc w:val="left"/>
      <w:pPr>
        <w:ind w:left="6120" w:firstLine="5760"/>
      </w:pPr>
      <w:rPr>
        <w:rFonts w:ascii="Arial" w:eastAsia="Arial" w:hAnsi="Arial" w:cs="Arial"/>
      </w:rPr>
    </w:lvl>
    <w:lvl w:ilvl="8">
      <w:start w:val="1"/>
      <w:numFmt w:val="bullet"/>
      <w:lvlText w:val="▪"/>
      <w:lvlJc w:val="left"/>
      <w:pPr>
        <w:ind w:left="6840" w:firstLine="6480"/>
      </w:pPr>
      <w:rPr>
        <w:rFonts w:ascii="Arial" w:eastAsia="Arial" w:hAnsi="Arial" w:cs="Arial"/>
      </w:rPr>
    </w:lvl>
  </w:abstractNum>
  <w:abstractNum w:abstractNumId="35">
    <w:nsid w:val="70467A06"/>
    <w:multiLevelType w:val="hybridMultilevel"/>
    <w:tmpl w:val="C6066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CF1EAF"/>
    <w:multiLevelType w:val="hybridMultilevel"/>
    <w:tmpl w:val="8E26DA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5963B8B"/>
    <w:multiLevelType w:val="hybridMultilevel"/>
    <w:tmpl w:val="06E87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8">
    <w:nsid w:val="781B7CC4"/>
    <w:multiLevelType w:val="hybridMultilevel"/>
    <w:tmpl w:val="A22612BA"/>
    <w:lvl w:ilvl="0" w:tplc="D2C2F202">
      <w:start w:val="1"/>
      <w:numFmt w:val="bullet"/>
      <w:lvlText w:val=""/>
      <w:lvlJc w:val="left"/>
      <w:pPr>
        <w:ind w:left="720" w:hanging="360"/>
      </w:pPr>
      <w:rPr>
        <w:rFonts w:ascii="Symbol" w:hAnsi="Symbol" w:hint="default"/>
        <w:color w:val="00AEF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7A584500"/>
    <w:multiLevelType w:val="multilevel"/>
    <w:tmpl w:val="AEF0ADE0"/>
    <w:lvl w:ilvl="0">
      <w:start w:val="1"/>
      <w:numFmt w:val="decimal"/>
      <w:lvlText w:val="%1."/>
      <w:lvlJc w:val="left"/>
      <w:pPr>
        <w:ind w:left="480" w:firstLine="0"/>
      </w:pPr>
    </w:lvl>
    <w:lvl w:ilvl="1">
      <w:start w:val="1"/>
      <w:numFmt w:val="decimal"/>
      <w:lvlText w:val="%1.%2."/>
      <w:lvlJc w:val="left"/>
      <w:pPr>
        <w:ind w:left="1080" w:firstLine="480"/>
      </w:pPr>
    </w:lvl>
    <w:lvl w:ilvl="2">
      <w:start w:val="1"/>
      <w:numFmt w:val="decimal"/>
      <w:lvlText w:val="%1.%2.%3."/>
      <w:lvlJc w:val="left"/>
      <w:pPr>
        <w:ind w:left="1920" w:firstLine="1080"/>
      </w:pPr>
    </w:lvl>
    <w:lvl w:ilvl="3">
      <w:start w:val="1"/>
      <w:numFmt w:val="decimal"/>
      <w:lvlText w:val="%1.%2.%3.%4."/>
      <w:lvlJc w:val="left"/>
      <w:pPr>
        <w:ind w:left="2880" w:firstLine="1920"/>
      </w:pPr>
    </w:lvl>
    <w:lvl w:ilvl="4">
      <w:start w:val="1"/>
      <w:numFmt w:val="lowerLetter"/>
      <w:lvlText w:val="(%5)"/>
      <w:lvlJc w:val="left"/>
      <w:pPr>
        <w:ind w:left="1800" w:firstLine="1440"/>
      </w:pPr>
    </w:lvl>
    <w:lvl w:ilvl="5">
      <w:start w:val="1"/>
      <w:numFmt w:val="lowerRoman"/>
      <w:lvlText w:val="(%6)"/>
      <w:lvlJc w:val="left"/>
      <w:pPr>
        <w:ind w:left="2160" w:firstLine="1800"/>
      </w:pPr>
    </w:lvl>
    <w:lvl w:ilvl="6">
      <w:start w:val="1"/>
      <w:numFmt w:val="decimal"/>
      <w:lvlText w:val="%7."/>
      <w:lvlJc w:val="left"/>
      <w:pPr>
        <w:ind w:left="2520" w:firstLine="2160"/>
      </w:pPr>
    </w:lvl>
    <w:lvl w:ilvl="7">
      <w:start w:val="1"/>
      <w:numFmt w:val="lowerLetter"/>
      <w:lvlText w:val="%8."/>
      <w:lvlJc w:val="left"/>
      <w:pPr>
        <w:ind w:left="2880" w:firstLine="2520"/>
      </w:pPr>
    </w:lvl>
    <w:lvl w:ilvl="8">
      <w:start w:val="1"/>
      <w:numFmt w:val="lowerRoman"/>
      <w:lvlText w:val="%9."/>
      <w:lvlJc w:val="left"/>
      <w:pPr>
        <w:ind w:left="3240" w:firstLine="2880"/>
      </w:pPr>
    </w:lvl>
  </w:abstractNum>
  <w:abstractNum w:abstractNumId="40">
    <w:nsid w:val="7D075AC7"/>
    <w:multiLevelType w:val="hybridMultilevel"/>
    <w:tmpl w:val="9B4E6B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F3F5F1B"/>
    <w:multiLevelType w:val="hybridMultilevel"/>
    <w:tmpl w:val="94C49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4"/>
  </w:num>
  <w:num w:numId="2">
    <w:abstractNumId w:val="39"/>
  </w:num>
  <w:num w:numId="3">
    <w:abstractNumId w:val="28"/>
  </w:num>
  <w:num w:numId="4">
    <w:abstractNumId w:val="16"/>
  </w:num>
  <w:num w:numId="5">
    <w:abstractNumId w:val="8"/>
  </w:num>
  <w:num w:numId="6">
    <w:abstractNumId w:val="9"/>
  </w:num>
  <w:num w:numId="7">
    <w:abstractNumId w:val="38"/>
  </w:num>
  <w:num w:numId="8">
    <w:abstractNumId w:val="17"/>
  </w:num>
  <w:num w:numId="9">
    <w:abstractNumId w:val="26"/>
  </w:num>
  <w:num w:numId="10">
    <w:abstractNumId w:val="7"/>
  </w:num>
  <w:num w:numId="11">
    <w:abstractNumId w:val="21"/>
  </w:num>
  <w:num w:numId="12">
    <w:abstractNumId w:val="14"/>
  </w:num>
  <w:num w:numId="1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num>
  <w:num w:numId="15">
    <w:abstractNumId w:val="29"/>
  </w:num>
  <w:num w:numId="16">
    <w:abstractNumId w:val="37"/>
  </w:num>
  <w:num w:numId="17">
    <w:abstractNumId w:val="40"/>
  </w:num>
  <w:num w:numId="18">
    <w:abstractNumId w:val="5"/>
  </w:num>
  <w:num w:numId="19">
    <w:abstractNumId w:val="35"/>
  </w:num>
  <w:num w:numId="20">
    <w:abstractNumId w:val="0"/>
  </w:num>
  <w:num w:numId="21">
    <w:abstractNumId w:val="19"/>
  </w:num>
  <w:num w:numId="22">
    <w:abstractNumId w:val="2"/>
  </w:num>
  <w:num w:numId="23">
    <w:abstractNumId w:val="41"/>
  </w:num>
  <w:num w:numId="24">
    <w:abstractNumId w:val="25"/>
  </w:num>
  <w:num w:numId="25">
    <w:abstractNumId w:val="18"/>
  </w:num>
  <w:num w:numId="26">
    <w:abstractNumId w:val="30"/>
  </w:num>
  <w:num w:numId="27">
    <w:abstractNumId w:val="15"/>
  </w:num>
  <w:num w:numId="28">
    <w:abstractNumId w:val="22"/>
  </w:num>
  <w:num w:numId="29">
    <w:abstractNumId w:val="32"/>
  </w:num>
  <w:num w:numId="30">
    <w:abstractNumId w:val="11"/>
  </w:num>
  <w:num w:numId="31">
    <w:abstractNumId w:val="36"/>
  </w:num>
  <w:num w:numId="32">
    <w:abstractNumId w:val="27"/>
  </w:num>
  <w:num w:numId="33">
    <w:abstractNumId w:val="13"/>
  </w:num>
  <w:num w:numId="34">
    <w:abstractNumId w:val="31"/>
  </w:num>
  <w:num w:numId="35">
    <w:abstractNumId w:val="20"/>
  </w:num>
  <w:num w:numId="36">
    <w:abstractNumId w:val="6"/>
  </w:num>
  <w:num w:numId="37">
    <w:abstractNumId w:val="3"/>
  </w:num>
  <w:num w:numId="38">
    <w:abstractNumId w:val="10"/>
  </w:num>
  <w:num w:numId="39">
    <w:abstractNumId w:val="4"/>
  </w:num>
  <w:num w:numId="40">
    <w:abstractNumId w:val="1"/>
  </w:num>
  <w:num w:numId="41">
    <w:abstractNumId w:val="23"/>
  </w:num>
  <w:num w:numId="42">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revisionView w:markup="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FD50AA3C-5CB8-43F5-87E6-C523C853C49A"/>
    <w:docVar w:name="LW_COVERPAGE_TYPE" w:val="1"/>
    <w:docVar w:name="LW_CROSSREFERENCE" w:val="{COM(2019) 464 final}"/>
    <w:docVar w:name="LW_DATE.ADOPT.CP_ISODATE" w:val="&lt;EMPTY&gt;"/>
    <w:docVar w:name="LW_DocType" w:val="NORMAL"/>
    <w:docVar w:name="LW_EMISSION" w:val="8.10.2019"/>
    <w:docVar w:name="LW_EMISSION_ISODATE" w:val="2019-10-08"/>
    <w:docVar w:name="LW_EMISSION_LOCATION" w:val="BRX"/>
    <w:docVar w:name="LW_EMISSION_PREFIX" w:val="Brussels, "/>
    <w:docVar w:name="LW_EMISSION_SUFFIX" w:val=" "/>
    <w:docVar w:name="LW_ID_DOCTYPE_NONLW" w:val="CP-025"/>
    <w:docVar w:name="LW_INTERETEEE.CP" w:val="&lt;UNUSED&gt;"/>
    <w:docVar w:name="LW_LANGUE" w:val="EN"/>
    <w:docVar w:name="LW_LANGUESFAISANTFOI.CP" w:val="&lt;UNUSED&gt;"/>
    <w:docVar w:name="LW_LEVEL_OF_SENSITIVITY" w:val="Standard treatment"/>
    <w:docVar w:name="LW_NOM.INST" w:val="EUROPEAN COMMISSION"/>
    <w:docVar w:name="LW_NOM.INST_JOINTDOC" w:val="&lt;EMPTY&gt;"/>
    <w:docVar w:name="LW_OBJETACTEPRINCIPAL.CP" w:val="Implementation of Directive 2010/40/EU of the European Parliament and of the Council of 7 July 2010 on the framework for the deployment of Intelligent Transport Systems in the field of road transport and for interfaces with other modes of transport"/>
    <w:docVar w:name="LW_PART_NBR" w:val="1"/>
    <w:docVar w:name="LW_PART_NBR_TOTAL" w:val="1"/>
    <w:docVar w:name="LW_REF.II.NEW.CP" w:val="&lt;UNUSED&gt;"/>
    <w:docVar w:name="LW_REF.II.NEW.CP_NUMBER" w:val="&lt;UNUSED&gt;"/>
    <w:docVar w:name="LW_REF.II.NEW.CP_YEAR" w:val="2019"/>
    <w:docVar w:name="LW_REF.INST.NEW" w:val="SWD"/>
    <w:docVar w:name="LW_REF.INST.NEW_ADOPTED" w:val="final"/>
    <w:docVar w:name="LW_REF.INST.NEW_TEXT" w:val="(2019) 3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nalysis of Member States reports"/>
    <w:docVar w:name="LW_TYPE.DOC.CP" w:val="COMMISSION STAFF WORKING DOCUMENT"/>
    <w:docVar w:name="LW_TYPEACTEPRINCIPAL.CP" w:val="Report from the Commission to the European Parliament and the Council "/>
  </w:docVar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Normal"/>
    <w:link w:val="Heading1Char"/>
    <w:uiPriority w:val="9"/>
    <w:qFormat/>
    <w:pPr>
      <w:keepNext/>
      <w:keepLines/>
      <w:spacing w:before="240" w:after="240" w:line="240" w:lineRule="auto"/>
      <w:ind w:left="480" w:hanging="480"/>
      <w:jc w:val="both"/>
      <w:outlineLvl w:val="0"/>
    </w:pPr>
    <w:rPr>
      <w:rFonts w:ascii="Times New Roman" w:eastAsia="Times New Roman" w:hAnsi="Times New Roman" w:cs="Times New Roman"/>
      <w:b/>
      <w:smallCaps/>
      <w:color w:val="000000"/>
      <w:sz w:val="24"/>
      <w:szCs w:val="24"/>
      <w:lang w:val="en-GB" w:eastAsia="en-GB"/>
    </w:rPr>
  </w:style>
  <w:style w:type="paragraph" w:styleId="Heading2">
    <w:name w:val="heading 2"/>
    <w:aliases w:val="Heading 21,2/1,Paragraaf,cv titles,Heading 2 - Main Heading within Document,h2,h2 main heading,H2,Section,2m,h 2,Main Heading,Main Headi,Oscar Faber 2,(SubSection),Para Nos,Para,Numbered - 2,(Main Heading),Paragraph,Sub Heading,ignorer2,Major"/>
    <w:basedOn w:val="Normal"/>
    <w:next w:val="Normal"/>
    <w:link w:val="Heading2Char"/>
    <w:uiPriority w:val="1"/>
    <w:qFormat/>
    <w:pPr>
      <w:keepNext/>
      <w:keepLines/>
      <w:spacing w:after="240" w:line="240" w:lineRule="auto"/>
      <w:ind w:left="1080" w:hanging="600"/>
      <w:jc w:val="both"/>
      <w:outlineLvl w:val="1"/>
    </w:pPr>
    <w:rPr>
      <w:rFonts w:ascii="Times New Roman" w:eastAsia="Times New Roman" w:hAnsi="Times New Roman" w:cs="Times New Roman"/>
      <w:b/>
      <w:color w:val="000000"/>
      <w:sz w:val="24"/>
      <w:szCs w:val="24"/>
      <w:lang w:val="en-GB" w:eastAsia="en-GB"/>
    </w:rPr>
  </w:style>
  <w:style w:type="paragraph" w:styleId="Heading3">
    <w:name w:val="heading 3"/>
    <w:aliases w:val="Subparagraaf,Heading 3 - Bold heading for document - will appear in index,h3,l3,CT,h3 sub heading,H3,Head 3,3m,H31,(Alt+3),C Sub-Sub/Italic,Heading 2a,1.2.3.,titolo 3,level3,level 3,Dritte Ebene,Numbered - 3,F5 Heading 3,Premessa,h31,h32,h33,3"/>
    <w:basedOn w:val="Normal"/>
    <w:next w:val="Normal"/>
    <w:link w:val="Heading3Char"/>
    <w:uiPriority w:val="1"/>
    <w:qFormat/>
    <w:pPr>
      <w:keepNext/>
      <w:keepLines/>
      <w:spacing w:after="240" w:line="240" w:lineRule="auto"/>
      <w:ind w:left="1920" w:hanging="840"/>
      <w:jc w:val="both"/>
      <w:outlineLvl w:val="2"/>
    </w:pPr>
    <w:rPr>
      <w:rFonts w:ascii="Times New Roman" w:eastAsia="Times New Roman" w:hAnsi="Times New Roman" w:cs="Times New Roman"/>
      <w:i/>
      <w:color w:val="000000"/>
      <w:sz w:val="24"/>
      <w:szCs w:val="24"/>
      <w:lang w:val="en-GB" w:eastAsia="en-GB"/>
    </w:rPr>
  </w:style>
  <w:style w:type="paragraph" w:styleId="Heading4">
    <w:name w:val="heading 4"/>
    <w:aliases w:val="ALK_K4,NEA4,Kopje,Tussenkop"/>
    <w:basedOn w:val="Normal"/>
    <w:next w:val="Normal"/>
    <w:link w:val="Heading4Char"/>
    <w:uiPriority w:val="1"/>
    <w:qFormat/>
    <w:pPr>
      <w:keepNext/>
      <w:keepLines/>
      <w:spacing w:after="240" w:line="240" w:lineRule="auto"/>
      <w:ind w:left="2880" w:hanging="960"/>
      <w:jc w:val="both"/>
      <w:outlineLvl w:val="3"/>
    </w:pPr>
    <w:rPr>
      <w:rFonts w:ascii="Times New Roman" w:eastAsia="Times New Roman" w:hAnsi="Times New Roman" w:cs="Times New Roman"/>
      <w:color w:val="000000"/>
      <w:sz w:val="24"/>
      <w:szCs w:val="24"/>
      <w:lang w:val="en-GB" w:eastAsia="en-G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pPr>
      <w:keepNext/>
      <w:keepLines/>
      <w:spacing w:before="240" w:after="60" w:line="240" w:lineRule="auto"/>
      <w:ind w:left="3332" w:hanging="708"/>
      <w:jc w:val="both"/>
      <w:outlineLvl w:val="4"/>
    </w:pPr>
    <w:rPr>
      <w:rFonts w:ascii="Arial" w:eastAsia="Arial" w:hAnsi="Arial" w:cs="Arial"/>
      <w:color w:val="000000"/>
      <w:lang w:val="en-GB" w:eastAsia="en-GB"/>
    </w:rPr>
  </w:style>
  <w:style w:type="paragraph" w:styleId="Heading6">
    <w:name w:val="heading 6"/>
    <w:basedOn w:val="Normal"/>
    <w:next w:val="Normal"/>
    <w:link w:val="Heading6Char"/>
    <w:qFormat/>
    <w:pPr>
      <w:keepNext/>
      <w:keepLines/>
      <w:spacing w:before="240" w:after="60" w:line="240" w:lineRule="auto"/>
      <w:ind w:left="4040" w:hanging="708"/>
      <w:jc w:val="both"/>
      <w:outlineLvl w:val="5"/>
    </w:pPr>
    <w:rPr>
      <w:rFonts w:ascii="Arial" w:eastAsia="Arial" w:hAnsi="Arial" w:cs="Arial"/>
      <w:i/>
      <w:color w:val="000000"/>
      <w:lang w:val="en-GB" w:eastAsia="en-GB"/>
    </w:rPr>
  </w:style>
  <w:style w:type="paragraph" w:styleId="Heading7">
    <w:name w:val="heading 7"/>
    <w:aliases w:val="sub3,Heading 7 (do not use),aoua-titre annexes"/>
    <w:basedOn w:val="Normal"/>
    <w:next w:val="Normal"/>
    <w:link w:val="Heading7Char"/>
    <w:qFormat/>
    <w:pPr>
      <w:spacing w:before="240" w:after="60" w:line="240" w:lineRule="auto"/>
      <w:ind w:left="1296" w:hanging="1296"/>
      <w:jc w:val="both"/>
      <w:outlineLvl w:val="6"/>
    </w:pPr>
    <w:rPr>
      <w:rFonts w:ascii="Arial" w:eastAsia="Times New Roman" w:hAnsi="Arial" w:cs="Times New Roman"/>
      <w:sz w:val="20"/>
      <w:szCs w:val="20"/>
      <w:lang w:val="en-GB"/>
    </w:rPr>
  </w:style>
  <w:style w:type="paragraph" w:styleId="Heading8">
    <w:name w:val="heading 8"/>
    <w:aliases w:val="sub4,Heading 8 (do not use)"/>
    <w:basedOn w:val="Normal"/>
    <w:next w:val="Normal"/>
    <w:link w:val="Heading8Char"/>
    <w:qFormat/>
    <w:pPr>
      <w:spacing w:before="240" w:after="60" w:line="240" w:lineRule="auto"/>
      <w:ind w:left="1440" w:hanging="1440"/>
      <w:jc w:val="both"/>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pPr>
      <w:spacing w:before="240" w:after="60" w:line="240" w:lineRule="auto"/>
      <w:ind w:left="1584" w:hanging="1584"/>
      <w:jc w:val="both"/>
      <w:outlineLvl w:val="8"/>
    </w:pPr>
    <w:rPr>
      <w:rFonts w:ascii="Arial" w:eastAsia="Times New Roman" w:hAnsi="Arial" w:cs="Times New Roman"/>
      <w:i/>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9"/>
    <w:rPr>
      <w:rFonts w:ascii="Times New Roman" w:eastAsia="Times New Roman" w:hAnsi="Times New Roman" w:cs="Times New Roman"/>
      <w:b/>
      <w:smallCaps/>
      <w:color w:val="000000"/>
      <w:sz w:val="24"/>
      <w:szCs w:val="24"/>
      <w:lang w:val="en-GB" w:eastAsia="en-GB"/>
    </w:rPr>
  </w:style>
  <w:style w:type="character" w:customStyle="1" w:styleId="Heading2Char">
    <w:name w:val="Heading 2 Char"/>
    <w:aliases w:val="Heading 21 Char,2/1 Char,Paragraaf Char,cv titles Char,Heading 2 - Main Heading within Document Char,h2 Char,h2 main heading Char,H2 Char,Section Char,2m Char,h 2 Char,Main Heading Char,Main Headi Char,Oscar Faber 2 Char,(SubSection) Char"/>
    <w:basedOn w:val="DefaultParagraphFont"/>
    <w:link w:val="Heading2"/>
    <w:uiPriority w:val="1"/>
    <w:rPr>
      <w:rFonts w:ascii="Times New Roman" w:eastAsia="Times New Roman" w:hAnsi="Times New Roman" w:cs="Times New Roman"/>
      <w:b/>
      <w:color w:val="000000"/>
      <w:sz w:val="24"/>
      <w:szCs w:val="24"/>
      <w:lang w:val="en-GB" w:eastAsia="en-GB"/>
    </w:rPr>
  </w:style>
  <w:style w:type="character" w:customStyle="1" w:styleId="Heading3Char">
    <w:name w:val="Heading 3 Char"/>
    <w:aliases w:val="Subparagraaf Char,Heading 3 - Bold heading for document - will appear in index Char,h3 Char,l3 Char,CT Char,h3 sub heading Char,H3 Char,Head 3 Char,3m Char,H31 Char,(Alt+3) Char,C Sub-Sub/Italic Char,Heading 2a Char,1.2.3. Char,h31 Char"/>
    <w:basedOn w:val="DefaultParagraphFont"/>
    <w:link w:val="Heading3"/>
    <w:uiPriority w:val="1"/>
    <w:rPr>
      <w:rFonts w:ascii="Times New Roman" w:eastAsia="Times New Roman" w:hAnsi="Times New Roman" w:cs="Times New Roman"/>
      <w:i/>
      <w:color w:val="000000"/>
      <w:sz w:val="24"/>
      <w:szCs w:val="24"/>
      <w:lang w:val="en-GB" w:eastAsia="en-GB"/>
    </w:rPr>
  </w:style>
  <w:style w:type="character" w:customStyle="1" w:styleId="Heading4Char">
    <w:name w:val="Heading 4 Char"/>
    <w:aliases w:val="ALK_K4 Char,NEA4 Char,Kopje Char,Tussenkop Char"/>
    <w:basedOn w:val="DefaultParagraphFont"/>
    <w:link w:val="Heading4"/>
    <w:uiPriority w:val="1"/>
    <w:rPr>
      <w:rFonts w:ascii="Times New Roman" w:eastAsia="Times New Roman" w:hAnsi="Times New Roman" w:cs="Times New Roman"/>
      <w:color w:val="000000"/>
      <w:sz w:val="24"/>
      <w:szCs w:val="24"/>
      <w:lang w:val="en-GB" w:eastAsia="en-GB"/>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Arial" w:eastAsia="Arial" w:hAnsi="Arial" w:cs="Arial"/>
      <w:color w:val="000000"/>
      <w:lang w:val="en-GB" w:eastAsia="en-GB"/>
    </w:rPr>
  </w:style>
  <w:style w:type="character" w:customStyle="1" w:styleId="Heading6Char">
    <w:name w:val="Heading 6 Char"/>
    <w:basedOn w:val="DefaultParagraphFont"/>
    <w:link w:val="Heading6"/>
    <w:rPr>
      <w:rFonts w:ascii="Arial" w:eastAsia="Arial" w:hAnsi="Arial" w:cs="Arial"/>
      <w:i/>
      <w:color w:val="000000"/>
      <w:lang w:val="en-GB" w:eastAsia="en-GB"/>
    </w:rPr>
  </w:style>
  <w:style w:type="character" w:customStyle="1" w:styleId="Heading7Char">
    <w:name w:val="Heading 7 Char"/>
    <w:aliases w:val="sub3 Char,Heading 7 (do not use) Char,aoua-titre annexes Char"/>
    <w:basedOn w:val="DefaultParagraphFont"/>
    <w:link w:val="Heading7"/>
    <w:rPr>
      <w:rFonts w:ascii="Arial" w:eastAsia="Times New Roman" w:hAnsi="Arial" w:cs="Times New Roman"/>
      <w:sz w:val="20"/>
      <w:szCs w:val="20"/>
      <w:lang w:val="en-GB"/>
    </w:rPr>
  </w:style>
  <w:style w:type="character" w:customStyle="1" w:styleId="Heading8Char">
    <w:name w:val="Heading 8 Char"/>
    <w:aliases w:val="sub4 Char,Heading 8 (do not use) Char"/>
    <w:basedOn w:val="DefaultParagraphFont"/>
    <w:link w:val="Heading8"/>
    <w:rPr>
      <w:rFonts w:ascii="Arial" w:eastAsia="Times New Roman" w:hAnsi="Arial" w:cs="Times New Roman"/>
      <w:i/>
      <w:sz w:val="20"/>
      <w:szCs w:val="20"/>
      <w:lang w:val="en-GB"/>
    </w:rPr>
  </w:style>
  <w:style w:type="character" w:customStyle="1" w:styleId="Heading9Char">
    <w:name w:val="Heading 9 Char"/>
    <w:basedOn w:val="DefaultParagraphFont"/>
    <w:link w:val="Heading9"/>
    <w:rPr>
      <w:rFonts w:ascii="Arial" w:eastAsia="Times New Roman" w:hAnsi="Arial" w:cs="Times New Roman"/>
      <w:i/>
      <w:sz w:val="18"/>
      <w:szCs w:val="20"/>
      <w:lang w:val="en-GB"/>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aliases w:val="Heading 2_sj,Dot pt,Numbered Para 1,No Spacing1,List Paragraph Char Char Char,Indicator Text,Bullet 1,List Paragraph1,Bullet Points,MAIN CONTENT,List Paragraph12,F5 List Paragraph,1st level - Bullet List Paragraph,Lettre d'introduction"/>
    <w:basedOn w:val="Normal"/>
    <w:link w:val="ListParagraphChar"/>
    <w:uiPriority w:val="34"/>
    <w:qFormat/>
    <w:pPr>
      <w:spacing w:after="240" w:line="240" w:lineRule="auto"/>
      <w:ind w:left="720"/>
      <w:contextualSpacing/>
      <w:jc w:val="both"/>
    </w:pPr>
    <w:rPr>
      <w:rFonts w:ascii="Times New Roman" w:eastAsia="Times New Roman" w:hAnsi="Times New Roman" w:cs="Times New Roman"/>
      <w:color w:val="000000"/>
      <w:sz w:val="24"/>
      <w:szCs w:val="24"/>
      <w:lang w:val="en-GB" w:eastAsia="en-GB"/>
    </w:rPr>
  </w:style>
  <w:style w:type="paragraph" w:styleId="FootnoteText">
    <w:name w:val="footnote text"/>
    <w:aliases w:val="-E Fußnotentext,footnote text,Fußnotentext Ursprung,Footnote Text Char Char,Footnote Text Char Char Char Char,Footnote Text1,Footnote Text Char Char Char,Fußnotentext Char1,Fußnotentext Char Char,Fußnotentext Char2,Fußn,Footnote,Fußnote,fn"/>
    <w:basedOn w:val="Normal"/>
    <w:link w:val="FootnoteTextChar"/>
    <w:uiPriority w:val="99"/>
    <w:unhideWhenUsed/>
    <w:qFormat/>
    <w:pPr>
      <w:spacing w:after="0" w:line="240" w:lineRule="auto"/>
      <w:jc w:val="both"/>
    </w:pPr>
    <w:rPr>
      <w:rFonts w:ascii="Times New Roman" w:eastAsia="Times New Roman" w:hAnsi="Times New Roman" w:cs="Times New Roman"/>
      <w:color w:val="000000"/>
      <w:sz w:val="20"/>
      <w:szCs w:val="20"/>
      <w:lang w:val="en-GB" w:eastAsia="en-GB"/>
    </w:rPr>
  </w:style>
  <w:style w:type="character" w:customStyle="1" w:styleId="FootnoteTextChar">
    <w:name w:val="Footnote Text Char"/>
    <w:aliases w:val="-E Fußnotentext Char,footnote text Char,Fußnotentext Ursprung Char,Footnote Text Char Char Char1,Footnote Text Char Char Char Char Char,Footnote Text1 Char,Footnote Text Char Char Char Char1,Fußnotentext Char1 Char,Fußn Char,fn Char"/>
    <w:basedOn w:val="DefaultParagraphFont"/>
    <w:link w:val="FootnoteText"/>
    <w:uiPriority w:val="99"/>
    <w:rPr>
      <w:rFonts w:ascii="Times New Roman" w:eastAsia="Times New Roman" w:hAnsi="Times New Roman" w:cs="Times New Roman"/>
      <w:color w:val="000000"/>
      <w:sz w:val="20"/>
      <w:szCs w:val="20"/>
      <w:lang w:val="en-GB" w:eastAsia="en-GB"/>
    </w:rPr>
  </w:style>
  <w:style w:type="character" w:styleId="FootnoteReference">
    <w:name w:val="footnote reference"/>
    <w:aliases w:val="-E Fußnotenzeichen,number,SUPERS,Footnote Reference Superscript,-E Fuﬂnotenzeichen,-E Fuûnotenzeichen,EN Footnote Reference,Footnote text,BVI fnr,Footnote symbol,stylish,Footnote reference number,note TESI,ftref,(Footnote Reference),R"/>
    <w:basedOn w:val="DefaultParagraphFont"/>
    <w:uiPriority w:val="99"/>
    <w:unhideWhenUsed/>
    <w:qFormat/>
    <w:rPr>
      <w:vertAlign w:val="superscript"/>
    </w:rPr>
  </w:style>
  <w:style w:type="paragraph" w:styleId="Title">
    <w:name w:val="Title"/>
    <w:basedOn w:val="Normal"/>
    <w:next w:val="Normal"/>
    <w:link w:val="TitleChar"/>
    <w:pPr>
      <w:keepNext/>
      <w:keepLines/>
      <w:spacing w:before="240" w:after="60" w:line="240" w:lineRule="auto"/>
      <w:jc w:val="center"/>
    </w:pPr>
    <w:rPr>
      <w:rFonts w:ascii="Arial" w:eastAsia="Arial" w:hAnsi="Arial" w:cs="Arial"/>
      <w:b/>
      <w:color w:val="000000"/>
      <w:sz w:val="32"/>
      <w:szCs w:val="32"/>
      <w:lang w:val="en-GB" w:eastAsia="en-GB"/>
    </w:rPr>
  </w:style>
  <w:style w:type="character" w:customStyle="1" w:styleId="TitleChar">
    <w:name w:val="Title Char"/>
    <w:basedOn w:val="DefaultParagraphFont"/>
    <w:link w:val="Title"/>
    <w:rPr>
      <w:rFonts w:ascii="Arial" w:eastAsia="Arial" w:hAnsi="Arial" w:cs="Arial"/>
      <w:b/>
      <w:color w:val="000000"/>
      <w:sz w:val="32"/>
      <w:szCs w:val="32"/>
      <w:lang w:val="en-GB" w:eastAsia="en-GB"/>
    </w:rPr>
  </w:style>
  <w:style w:type="paragraph" w:styleId="Subtitle">
    <w:name w:val="Subtitle"/>
    <w:basedOn w:val="Normal"/>
    <w:next w:val="Normal"/>
    <w:link w:val="SubtitleChar"/>
    <w:pPr>
      <w:keepNext/>
      <w:keepLines/>
      <w:spacing w:after="60" w:line="240" w:lineRule="auto"/>
      <w:jc w:val="center"/>
    </w:pPr>
    <w:rPr>
      <w:rFonts w:ascii="Arial" w:eastAsia="Arial" w:hAnsi="Arial" w:cs="Arial"/>
      <w:i/>
      <w:color w:val="666666"/>
      <w:sz w:val="24"/>
      <w:szCs w:val="24"/>
      <w:lang w:val="en-GB" w:eastAsia="en-GB"/>
    </w:rPr>
  </w:style>
  <w:style w:type="character" w:customStyle="1" w:styleId="SubtitleChar">
    <w:name w:val="Subtitle Char"/>
    <w:basedOn w:val="DefaultParagraphFont"/>
    <w:link w:val="Subtitle"/>
    <w:rPr>
      <w:rFonts w:ascii="Arial" w:eastAsia="Arial" w:hAnsi="Arial" w:cs="Arial"/>
      <w:i/>
      <w:color w:val="666666"/>
      <w:sz w:val="24"/>
      <w:szCs w:val="24"/>
      <w:lang w:val="en-GB" w:eastAsia="en-GB"/>
    </w:rPr>
  </w:style>
  <w:style w:type="paragraph" w:styleId="CommentText">
    <w:name w:val="annotation text"/>
    <w:basedOn w:val="Normal"/>
    <w:link w:val="CommentTextChar"/>
    <w:uiPriority w:val="99"/>
    <w:semiHidden/>
    <w:unhideWhenUsed/>
    <w:pPr>
      <w:spacing w:after="240" w:line="240" w:lineRule="auto"/>
      <w:jc w:val="both"/>
    </w:pPr>
    <w:rPr>
      <w:rFonts w:ascii="Times New Roman" w:eastAsia="Times New Roman" w:hAnsi="Times New Roman" w:cs="Times New Roman"/>
      <w:color w:val="000000"/>
      <w:sz w:val="20"/>
      <w:szCs w:val="20"/>
      <w:lang w:val="en-GB"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sz w:val="20"/>
      <w:szCs w:val="20"/>
      <w:lang w:val="en-GB"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color w:val="000000"/>
      <w:sz w:val="16"/>
      <w:szCs w:val="16"/>
      <w:lang w:val="en-GB" w:eastAsia="en-GB"/>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lang w:val="en-GB" w:eastAsia="en-GB"/>
    </w:rPr>
  </w:style>
  <w:style w:type="table" w:styleId="TableGrid">
    <w:name w:val="Table Grid"/>
    <w:basedOn w:val="TableNormal"/>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ParagrapheCar">
    <w:name w:val="Paragraphe Car"/>
    <w:link w:val="Paragraphe"/>
    <w:locked/>
    <w:rPr>
      <w:rFonts w:ascii="Arial" w:hAnsi="Arial" w:cs="Arial"/>
      <w:lang w:eastAsia="fr-FR"/>
    </w:rPr>
  </w:style>
  <w:style w:type="paragraph" w:customStyle="1" w:styleId="Paragraphe">
    <w:name w:val="Paragraphe"/>
    <w:basedOn w:val="Normal"/>
    <w:link w:val="ParagrapheCar"/>
    <w:pPr>
      <w:spacing w:after="120" w:line="280" w:lineRule="atLeast"/>
      <w:ind w:left="2040"/>
      <w:jc w:val="both"/>
    </w:pPr>
    <w:rPr>
      <w:rFonts w:ascii="Arial" w:hAnsi="Arial" w:cs="Arial"/>
      <w:lang w:eastAsia="fr-FR"/>
    </w:rPr>
  </w:style>
  <w:style w:type="character" w:customStyle="1" w:styleId="ListParagraphChar">
    <w:name w:val="List Paragraph Char"/>
    <w:aliases w:val="Heading 2_sj Char,Dot pt Char,Numbered Para 1 Char,No Spacing1 Char,List Paragraph Char Char Char Char,Indicator Text Char,Bullet 1 Char,List Paragraph1 Char,Bullet Points Char,MAIN CONTENT Char,List Paragraph12 Char"/>
    <w:basedOn w:val="DefaultParagraphFont"/>
    <w:link w:val="ListParagraph"/>
    <w:uiPriority w:val="34"/>
    <w:qFormat/>
    <w:locked/>
    <w:rPr>
      <w:rFonts w:ascii="Times New Roman" w:eastAsia="Times New Roman" w:hAnsi="Times New Roman" w:cs="Times New Roman"/>
      <w:color w:val="000000"/>
      <w:sz w:val="24"/>
      <w:szCs w:val="24"/>
      <w:lang w:val="en-GB"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lang w:val="en-GB" w:eastAsia="en-GB"/>
    </w:rPr>
  </w:style>
  <w:style w:type="numbering" w:customStyle="1" w:styleId="NoList1">
    <w:name w:val="No List1"/>
    <w:next w:val="NoList"/>
    <w:uiPriority w:val="99"/>
    <w:semiHidden/>
    <w:unhideWhenUsed/>
  </w:style>
  <w:style w:type="paragraph" w:styleId="TOCHeading">
    <w:name w:val="TOC Heading"/>
    <w:basedOn w:val="Heading1"/>
    <w:next w:val="Normal"/>
    <w:uiPriority w:val="39"/>
    <w:unhideWhenUsed/>
    <w:qFormat/>
    <w:pPr>
      <w:spacing w:after="0" w:line="259" w:lineRule="auto"/>
      <w:ind w:left="0" w:firstLine="0"/>
      <w:jc w:val="left"/>
      <w:outlineLvl w:val="9"/>
    </w:pPr>
    <w:rPr>
      <w:rFonts w:asciiTheme="majorHAnsi" w:eastAsiaTheme="majorEastAsia" w:hAnsiTheme="majorHAnsi" w:cstheme="majorBidi"/>
      <w:b w:val="0"/>
      <w:smallCaps w:val="0"/>
      <w:color w:val="2E74B5" w:themeColor="accent1" w:themeShade="BF"/>
      <w:sz w:val="32"/>
      <w:szCs w:val="32"/>
      <w:lang w:val="en-US" w:eastAsia="en-US"/>
    </w:rPr>
  </w:style>
  <w:style w:type="paragraph" w:styleId="TOC1">
    <w:name w:val="toc 1"/>
    <w:basedOn w:val="Normal"/>
    <w:next w:val="Normal"/>
    <w:autoRedefine/>
    <w:uiPriority w:val="39"/>
    <w:unhideWhenUsed/>
    <w:pPr>
      <w:spacing w:after="100"/>
    </w:pPr>
    <w:rPr>
      <w:lang w:val="en-GB"/>
    </w:rPr>
  </w:style>
  <w:style w:type="paragraph" w:styleId="TOC2">
    <w:name w:val="toc 2"/>
    <w:basedOn w:val="Normal"/>
    <w:next w:val="Normal"/>
    <w:autoRedefine/>
    <w:uiPriority w:val="39"/>
    <w:unhideWhenUsed/>
    <w:pPr>
      <w:spacing w:after="100"/>
      <w:ind w:left="220"/>
    </w:pPr>
    <w:rPr>
      <w:lang w:val="en-GB"/>
    </w:rPr>
  </w:style>
  <w:style w:type="paragraph" w:customStyle="1" w:styleId="SecurityMarking">
    <w:name w:val="SecurityMarking"/>
    <w:basedOn w:val="Normal"/>
    <w:pPr>
      <w:spacing w:after="0" w:line="276" w:lineRule="auto"/>
      <w:ind w:left="5103"/>
    </w:pPr>
    <w:rPr>
      <w:rFonts w:ascii="Times New Roman" w:hAnsi="Times New Roman" w:cs="Times New Roman"/>
      <w:sz w:val="28"/>
      <w:lang w:val="en-GB"/>
    </w:rPr>
  </w:style>
  <w:style w:type="paragraph" w:customStyle="1" w:styleId="DateMarking">
    <w:name w:val="DateMarking"/>
    <w:basedOn w:val="Normal"/>
    <w:pPr>
      <w:spacing w:after="0" w:line="276" w:lineRule="auto"/>
      <w:ind w:left="5103"/>
    </w:pPr>
    <w:rPr>
      <w:rFonts w:ascii="Times New Roman" w:hAnsi="Times New Roman" w:cs="Times New Roman"/>
      <w:i/>
      <w:sz w:val="28"/>
      <w:lang w:val="en-GB"/>
    </w:rPr>
  </w:style>
  <w:style w:type="paragraph" w:customStyle="1" w:styleId="ReleasableTo">
    <w:name w:val="ReleasableTo"/>
    <w:basedOn w:val="Normal"/>
    <w:pPr>
      <w:spacing w:after="0" w:line="276" w:lineRule="auto"/>
      <w:ind w:left="5103"/>
    </w:pPr>
    <w:rPr>
      <w:rFonts w:ascii="Times New Roman" w:hAnsi="Times New Roman" w:cs="Times New Roman"/>
      <w:i/>
      <w:sz w:val="28"/>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1" w:qFormat="1"/>
    <w:lsdException w:name="heading 4" w:uiPriority="1"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Section),MOVE-it 1,Heading 11,Hoofdstuk,Heading 1 - Main Heading of Document,Sub code header,h1,l1,H1,Section heading,No numbers,Numbered - 1,Chapter Hdg,CH TITLE 1,F3 Heading 1 - Section,Επικεφαλίδα 1 ΌΧΙ,Chapter Heading,AChapter,1,L1,Chapte"/>
    <w:basedOn w:val="Normal"/>
    <w:next w:val="Normal"/>
    <w:link w:val="Heading1Char"/>
    <w:uiPriority w:val="9"/>
    <w:qFormat/>
    <w:pPr>
      <w:keepNext/>
      <w:keepLines/>
      <w:spacing w:before="240" w:after="240" w:line="240" w:lineRule="auto"/>
      <w:ind w:left="480" w:hanging="480"/>
      <w:jc w:val="both"/>
      <w:outlineLvl w:val="0"/>
    </w:pPr>
    <w:rPr>
      <w:rFonts w:ascii="Times New Roman" w:eastAsia="Times New Roman" w:hAnsi="Times New Roman" w:cs="Times New Roman"/>
      <w:b/>
      <w:smallCaps/>
      <w:color w:val="000000"/>
      <w:sz w:val="24"/>
      <w:szCs w:val="24"/>
      <w:lang w:val="en-GB" w:eastAsia="en-GB"/>
    </w:rPr>
  </w:style>
  <w:style w:type="paragraph" w:styleId="Heading2">
    <w:name w:val="heading 2"/>
    <w:aliases w:val="Heading 21,2/1,Paragraaf,cv titles,Heading 2 - Main Heading within Document,h2,h2 main heading,H2,Section,2m,h 2,Main Heading,Main Headi,Oscar Faber 2,(SubSection),Para Nos,Para,Numbered - 2,(Main Heading),Paragraph,Sub Heading,ignorer2,Major"/>
    <w:basedOn w:val="Normal"/>
    <w:next w:val="Normal"/>
    <w:link w:val="Heading2Char"/>
    <w:uiPriority w:val="1"/>
    <w:qFormat/>
    <w:pPr>
      <w:keepNext/>
      <w:keepLines/>
      <w:spacing w:after="240" w:line="240" w:lineRule="auto"/>
      <w:ind w:left="1080" w:hanging="600"/>
      <w:jc w:val="both"/>
      <w:outlineLvl w:val="1"/>
    </w:pPr>
    <w:rPr>
      <w:rFonts w:ascii="Times New Roman" w:eastAsia="Times New Roman" w:hAnsi="Times New Roman" w:cs="Times New Roman"/>
      <w:b/>
      <w:color w:val="000000"/>
      <w:sz w:val="24"/>
      <w:szCs w:val="24"/>
      <w:lang w:val="en-GB" w:eastAsia="en-GB"/>
    </w:rPr>
  </w:style>
  <w:style w:type="paragraph" w:styleId="Heading3">
    <w:name w:val="heading 3"/>
    <w:aliases w:val="Subparagraaf,Heading 3 - Bold heading for document - will appear in index,h3,l3,CT,h3 sub heading,H3,Head 3,3m,H31,(Alt+3),C Sub-Sub/Italic,Heading 2a,1.2.3.,titolo 3,level3,level 3,Dritte Ebene,Numbered - 3,F5 Heading 3,Premessa,h31,h32,h33,3"/>
    <w:basedOn w:val="Normal"/>
    <w:next w:val="Normal"/>
    <w:link w:val="Heading3Char"/>
    <w:uiPriority w:val="1"/>
    <w:qFormat/>
    <w:pPr>
      <w:keepNext/>
      <w:keepLines/>
      <w:spacing w:after="240" w:line="240" w:lineRule="auto"/>
      <w:ind w:left="1920" w:hanging="840"/>
      <w:jc w:val="both"/>
      <w:outlineLvl w:val="2"/>
    </w:pPr>
    <w:rPr>
      <w:rFonts w:ascii="Times New Roman" w:eastAsia="Times New Roman" w:hAnsi="Times New Roman" w:cs="Times New Roman"/>
      <w:i/>
      <w:color w:val="000000"/>
      <w:sz w:val="24"/>
      <w:szCs w:val="24"/>
      <w:lang w:val="en-GB" w:eastAsia="en-GB"/>
    </w:rPr>
  </w:style>
  <w:style w:type="paragraph" w:styleId="Heading4">
    <w:name w:val="heading 4"/>
    <w:aliases w:val="ALK_K4,NEA4,Kopje,Tussenkop"/>
    <w:basedOn w:val="Normal"/>
    <w:next w:val="Normal"/>
    <w:link w:val="Heading4Char"/>
    <w:uiPriority w:val="1"/>
    <w:qFormat/>
    <w:pPr>
      <w:keepNext/>
      <w:keepLines/>
      <w:spacing w:after="240" w:line="240" w:lineRule="auto"/>
      <w:ind w:left="2880" w:hanging="960"/>
      <w:jc w:val="both"/>
      <w:outlineLvl w:val="3"/>
    </w:pPr>
    <w:rPr>
      <w:rFonts w:ascii="Times New Roman" w:eastAsia="Times New Roman" w:hAnsi="Times New Roman" w:cs="Times New Roman"/>
      <w:color w:val="000000"/>
      <w:sz w:val="24"/>
      <w:szCs w:val="24"/>
      <w:lang w:val="en-GB" w:eastAsia="en-GB"/>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qFormat/>
    <w:pPr>
      <w:keepNext/>
      <w:keepLines/>
      <w:spacing w:before="240" w:after="60" w:line="240" w:lineRule="auto"/>
      <w:ind w:left="3332" w:hanging="708"/>
      <w:jc w:val="both"/>
      <w:outlineLvl w:val="4"/>
    </w:pPr>
    <w:rPr>
      <w:rFonts w:ascii="Arial" w:eastAsia="Arial" w:hAnsi="Arial" w:cs="Arial"/>
      <w:color w:val="000000"/>
      <w:lang w:val="en-GB" w:eastAsia="en-GB"/>
    </w:rPr>
  </w:style>
  <w:style w:type="paragraph" w:styleId="Heading6">
    <w:name w:val="heading 6"/>
    <w:basedOn w:val="Normal"/>
    <w:next w:val="Normal"/>
    <w:link w:val="Heading6Char"/>
    <w:qFormat/>
    <w:pPr>
      <w:keepNext/>
      <w:keepLines/>
      <w:spacing w:before="240" w:after="60" w:line="240" w:lineRule="auto"/>
      <w:ind w:left="4040" w:hanging="708"/>
      <w:jc w:val="both"/>
      <w:outlineLvl w:val="5"/>
    </w:pPr>
    <w:rPr>
      <w:rFonts w:ascii="Arial" w:eastAsia="Arial" w:hAnsi="Arial" w:cs="Arial"/>
      <w:i/>
      <w:color w:val="000000"/>
      <w:lang w:val="en-GB" w:eastAsia="en-GB"/>
    </w:rPr>
  </w:style>
  <w:style w:type="paragraph" w:styleId="Heading7">
    <w:name w:val="heading 7"/>
    <w:aliases w:val="sub3,Heading 7 (do not use),aoua-titre annexes"/>
    <w:basedOn w:val="Normal"/>
    <w:next w:val="Normal"/>
    <w:link w:val="Heading7Char"/>
    <w:qFormat/>
    <w:pPr>
      <w:spacing w:before="240" w:after="60" w:line="240" w:lineRule="auto"/>
      <w:ind w:left="1296" w:hanging="1296"/>
      <w:jc w:val="both"/>
      <w:outlineLvl w:val="6"/>
    </w:pPr>
    <w:rPr>
      <w:rFonts w:ascii="Arial" w:eastAsia="Times New Roman" w:hAnsi="Arial" w:cs="Times New Roman"/>
      <w:sz w:val="20"/>
      <w:szCs w:val="20"/>
      <w:lang w:val="en-GB"/>
    </w:rPr>
  </w:style>
  <w:style w:type="paragraph" w:styleId="Heading8">
    <w:name w:val="heading 8"/>
    <w:aliases w:val="sub4,Heading 8 (do not use)"/>
    <w:basedOn w:val="Normal"/>
    <w:next w:val="Normal"/>
    <w:link w:val="Heading8Char"/>
    <w:qFormat/>
    <w:pPr>
      <w:spacing w:before="240" w:after="60" w:line="240" w:lineRule="auto"/>
      <w:ind w:left="1440" w:hanging="1440"/>
      <w:jc w:val="both"/>
      <w:outlineLvl w:val="7"/>
    </w:pPr>
    <w:rPr>
      <w:rFonts w:ascii="Arial" w:eastAsia="Times New Roman" w:hAnsi="Arial" w:cs="Times New Roman"/>
      <w:i/>
      <w:sz w:val="20"/>
      <w:szCs w:val="20"/>
      <w:lang w:val="en-GB"/>
    </w:rPr>
  </w:style>
  <w:style w:type="paragraph" w:styleId="Heading9">
    <w:name w:val="heading 9"/>
    <w:basedOn w:val="Normal"/>
    <w:next w:val="Normal"/>
    <w:link w:val="Heading9Char"/>
    <w:qFormat/>
    <w:pPr>
      <w:spacing w:before="240" w:after="60" w:line="240" w:lineRule="auto"/>
      <w:ind w:left="1584" w:hanging="1584"/>
      <w:jc w:val="both"/>
      <w:outlineLvl w:val="8"/>
    </w:pPr>
    <w:rPr>
      <w:rFonts w:ascii="Arial" w:eastAsia="Times New Roman" w:hAnsi="Arial" w:cs="Times New Roman"/>
      <w:i/>
      <w:sz w:val="18"/>
      <w:szCs w:val="2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customStyle="1" w:styleId="HeaderSensitivityRight">
    <w:name w:val="Header Sensitivity Right"/>
    <w:basedOn w:val="Normal"/>
    <w:link w:val="HeaderSensitivityRightChar"/>
    <w:pPr>
      <w:spacing w:after="120" w:line="240" w:lineRule="auto"/>
      <w:jc w:val="right"/>
    </w:pPr>
    <w:rPr>
      <w:rFonts w:ascii="Times New Roman" w:hAnsi="Times New Roman" w:cs="Times New Roman"/>
      <w:sz w:val="28"/>
    </w:rPr>
  </w:style>
  <w:style w:type="character" w:customStyle="1" w:styleId="HeaderSensitivityRightChar">
    <w:name w:val="Header Sensitivity Right Char"/>
    <w:basedOn w:val="DefaultParagraphFont"/>
    <w:link w:val="HeaderSensitivityRight"/>
    <w:rPr>
      <w:rFonts w:ascii="Times New Roman" w:hAnsi="Times New Roman" w:cs="Times New Roman"/>
      <w:sz w:val="28"/>
    </w:rPr>
  </w:style>
  <w:style w:type="character" w:customStyle="1" w:styleId="Heading1Char">
    <w:name w:val="Heading 1 Char"/>
    <w:aliases w:val="(Section) Char,MOVE-it 1 Char,Heading 11 Char,Hoofdstuk Char,Heading 1 - Main Heading of Document Char,Sub code header Char,h1 Char,l1 Char,H1 Char,Section heading Char,No numbers Char,Numbered - 1 Char,Chapter Hdg Char,CH TITLE 1 Char"/>
    <w:basedOn w:val="DefaultParagraphFont"/>
    <w:link w:val="Heading1"/>
    <w:uiPriority w:val="9"/>
    <w:rPr>
      <w:rFonts w:ascii="Times New Roman" w:eastAsia="Times New Roman" w:hAnsi="Times New Roman" w:cs="Times New Roman"/>
      <w:b/>
      <w:smallCaps/>
      <w:color w:val="000000"/>
      <w:sz w:val="24"/>
      <w:szCs w:val="24"/>
      <w:lang w:val="en-GB" w:eastAsia="en-GB"/>
    </w:rPr>
  </w:style>
  <w:style w:type="character" w:customStyle="1" w:styleId="Heading2Char">
    <w:name w:val="Heading 2 Char"/>
    <w:aliases w:val="Heading 21 Char,2/1 Char,Paragraaf Char,cv titles Char,Heading 2 - Main Heading within Document Char,h2 Char,h2 main heading Char,H2 Char,Section Char,2m Char,h 2 Char,Main Heading Char,Main Headi Char,Oscar Faber 2 Char,(SubSection) Char"/>
    <w:basedOn w:val="DefaultParagraphFont"/>
    <w:link w:val="Heading2"/>
    <w:uiPriority w:val="1"/>
    <w:rPr>
      <w:rFonts w:ascii="Times New Roman" w:eastAsia="Times New Roman" w:hAnsi="Times New Roman" w:cs="Times New Roman"/>
      <w:b/>
      <w:color w:val="000000"/>
      <w:sz w:val="24"/>
      <w:szCs w:val="24"/>
      <w:lang w:val="en-GB" w:eastAsia="en-GB"/>
    </w:rPr>
  </w:style>
  <w:style w:type="character" w:customStyle="1" w:styleId="Heading3Char">
    <w:name w:val="Heading 3 Char"/>
    <w:aliases w:val="Subparagraaf Char,Heading 3 - Bold heading for document - will appear in index Char,h3 Char,l3 Char,CT Char,h3 sub heading Char,H3 Char,Head 3 Char,3m Char,H31 Char,(Alt+3) Char,C Sub-Sub/Italic Char,Heading 2a Char,1.2.3. Char,h31 Char"/>
    <w:basedOn w:val="DefaultParagraphFont"/>
    <w:link w:val="Heading3"/>
    <w:uiPriority w:val="1"/>
    <w:rPr>
      <w:rFonts w:ascii="Times New Roman" w:eastAsia="Times New Roman" w:hAnsi="Times New Roman" w:cs="Times New Roman"/>
      <w:i/>
      <w:color w:val="000000"/>
      <w:sz w:val="24"/>
      <w:szCs w:val="24"/>
      <w:lang w:val="en-GB" w:eastAsia="en-GB"/>
    </w:rPr>
  </w:style>
  <w:style w:type="character" w:customStyle="1" w:styleId="Heading4Char">
    <w:name w:val="Heading 4 Char"/>
    <w:aliases w:val="ALK_K4 Char,NEA4 Char,Kopje Char,Tussenkop Char"/>
    <w:basedOn w:val="DefaultParagraphFont"/>
    <w:link w:val="Heading4"/>
    <w:uiPriority w:val="1"/>
    <w:rPr>
      <w:rFonts w:ascii="Times New Roman" w:eastAsia="Times New Roman" w:hAnsi="Times New Roman" w:cs="Times New Roman"/>
      <w:color w:val="000000"/>
      <w:sz w:val="24"/>
      <w:szCs w:val="24"/>
      <w:lang w:val="en-GB" w:eastAsia="en-GB"/>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rPr>
      <w:rFonts w:ascii="Arial" w:eastAsia="Arial" w:hAnsi="Arial" w:cs="Arial"/>
      <w:color w:val="000000"/>
      <w:lang w:val="en-GB" w:eastAsia="en-GB"/>
    </w:rPr>
  </w:style>
  <w:style w:type="character" w:customStyle="1" w:styleId="Heading6Char">
    <w:name w:val="Heading 6 Char"/>
    <w:basedOn w:val="DefaultParagraphFont"/>
    <w:link w:val="Heading6"/>
    <w:rPr>
      <w:rFonts w:ascii="Arial" w:eastAsia="Arial" w:hAnsi="Arial" w:cs="Arial"/>
      <w:i/>
      <w:color w:val="000000"/>
      <w:lang w:val="en-GB" w:eastAsia="en-GB"/>
    </w:rPr>
  </w:style>
  <w:style w:type="character" w:customStyle="1" w:styleId="Heading7Char">
    <w:name w:val="Heading 7 Char"/>
    <w:aliases w:val="sub3 Char,Heading 7 (do not use) Char,aoua-titre annexes Char"/>
    <w:basedOn w:val="DefaultParagraphFont"/>
    <w:link w:val="Heading7"/>
    <w:rPr>
      <w:rFonts w:ascii="Arial" w:eastAsia="Times New Roman" w:hAnsi="Arial" w:cs="Times New Roman"/>
      <w:sz w:val="20"/>
      <w:szCs w:val="20"/>
      <w:lang w:val="en-GB"/>
    </w:rPr>
  </w:style>
  <w:style w:type="character" w:customStyle="1" w:styleId="Heading8Char">
    <w:name w:val="Heading 8 Char"/>
    <w:aliases w:val="sub4 Char,Heading 8 (do not use) Char"/>
    <w:basedOn w:val="DefaultParagraphFont"/>
    <w:link w:val="Heading8"/>
    <w:rPr>
      <w:rFonts w:ascii="Arial" w:eastAsia="Times New Roman" w:hAnsi="Arial" w:cs="Times New Roman"/>
      <w:i/>
      <w:sz w:val="20"/>
      <w:szCs w:val="20"/>
      <w:lang w:val="en-GB"/>
    </w:rPr>
  </w:style>
  <w:style w:type="character" w:customStyle="1" w:styleId="Heading9Char">
    <w:name w:val="Heading 9 Char"/>
    <w:basedOn w:val="DefaultParagraphFont"/>
    <w:link w:val="Heading9"/>
    <w:rPr>
      <w:rFonts w:ascii="Arial" w:eastAsia="Times New Roman" w:hAnsi="Arial" w:cs="Times New Roman"/>
      <w:i/>
      <w:sz w:val="18"/>
      <w:szCs w:val="20"/>
      <w:lang w:val="en-GB"/>
    </w:rPr>
  </w:style>
  <w:style w:type="character" w:styleId="Hyperlink">
    <w:name w:val="Hyperlink"/>
    <w:basedOn w:val="DefaultParagraphFont"/>
    <w:uiPriority w:val="99"/>
    <w:unhideWhenUsed/>
    <w:rPr>
      <w:color w:val="0563C1" w:themeColor="hyperlink"/>
      <w:u w:val="single"/>
    </w:rPr>
  </w:style>
  <w:style w:type="paragraph" w:styleId="ListParagraph">
    <w:name w:val="List Paragraph"/>
    <w:aliases w:val="Heading 2_sj,Dot pt,Numbered Para 1,No Spacing1,List Paragraph Char Char Char,Indicator Text,Bullet 1,List Paragraph1,Bullet Points,MAIN CONTENT,List Paragraph12,F5 List Paragraph,1st level - Bullet List Paragraph,Lettre d'introduction"/>
    <w:basedOn w:val="Normal"/>
    <w:link w:val="ListParagraphChar"/>
    <w:uiPriority w:val="34"/>
    <w:qFormat/>
    <w:pPr>
      <w:spacing w:after="240" w:line="240" w:lineRule="auto"/>
      <w:ind w:left="720"/>
      <w:contextualSpacing/>
      <w:jc w:val="both"/>
    </w:pPr>
    <w:rPr>
      <w:rFonts w:ascii="Times New Roman" w:eastAsia="Times New Roman" w:hAnsi="Times New Roman" w:cs="Times New Roman"/>
      <w:color w:val="000000"/>
      <w:sz w:val="24"/>
      <w:szCs w:val="24"/>
      <w:lang w:val="en-GB" w:eastAsia="en-GB"/>
    </w:rPr>
  </w:style>
  <w:style w:type="paragraph" w:styleId="FootnoteText">
    <w:name w:val="footnote text"/>
    <w:aliases w:val="-E Fußnotentext,footnote text,Fußnotentext Ursprung,Footnote Text Char Char,Footnote Text Char Char Char Char,Footnote Text1,Footnote Text Char Char Char,Fußnotentext Char1,Fußnotentext Char Char,Fußnotentext Char2,Fußn,Footnote,Fußnote,fn"/>
    <w:basedOn w:val="Normal"/>
    <w:link w:val="FootnoteTextChar"/>
    <w:uiPriority w:val="99"/>
    <w:unhideWhenUsed/>
    <w:qFormat/>
    <w:pPr>
      <w:spacing w:after="0" w:line="240" w:lineRule="auto"/>
      <w:jc w:val="both"/>
    </w:pPr>
    <w:rPr>
      <w:rFonts w:ascii="Times New Roman" w:eastAsia="Times New Roman" w:hAnsi="Times New Roman" w:cs="Times New Roman"/>
      <w:color w:val="000000"/>
      <w:sz w:val="20"/>
      <w:szCs w:val="20"/>
      <w:lang w:val="en-GB" w:eastAsia="en-GB"/>
    </w:rPr>
  </w:style>
  <w:style w:type="character" w:customStyle="1" w:styleId="FootnoteTextChar">
    <w:name w:val="Footnote Text Char"/>
    <w:aliases w:val="-E Fußnotentext Char,footnote text Char,Fußnotentext Ursprung Char,Footnote Text Char Char Char1,Footnote Text Char Char Char Char Char,Footnote Text1 Char,Footnote Text Char Char Char Char1,Fußnotentext Char1 Char,Fußn Char,fn Char"/>
    <w:basedOn w:val="DefaultParagraphFont"/>
    <w:link w:val="FootnoteText"/>
    <w:uiPriority w:val="99"/>
    <w:rPr>
      <w:rFonts w:ascii="Times New Roman" w:eastAsia="Times New Roman" w:hAnsi="Times New Roman" w:cs="Times New Roman"/>
      <w:color w:val="000000"/>
      <w:sz w:val="20"/>
      <w:szCs w:val="20"/>
      <w:lang w:val="en-GB" w:eastAsia="en-GB"/>
    </w:rPr>
  </w:style>
  <w:style w:type="character" w:styleId="FootnoteReference">
    <w:name w:val="footnote reference"/>
    <w:aliases w:val="-E Fußnotenzeichen,number,SUPERS,Footnote Reference Superscript,-E Fuﬂnotenzeichen,-E Fuûnotenzeichen,EN Footnote Reference,Footnote text,BVI fnr,Footnote symbol,stylish,Footnote reference number,note TESI,ftref,(Footnote Reference),R"/>
    <w:basedOn w:val="DefaultParagraphFont"/>
    <w:uiPriority w:val="99"/>
    <w:unhideWhenUsed/>
    <w:qFormat/>
    <w:rPr>
      <w:vertAlign w:val="superscript"/>
    </w:rPr>
  </w:style>
  <w:style w:type="paragraph" w:styleId="Title">
    <w:name w:val="Title"/>
    <w:basedOn w:val="Normal"/>
    <w:next w:val="Normal"/>
    <w:link w:val="TitleChar"/>
    <w:pPr>
      <w:keepNext/>
      <w:keepLines/>
      <w:spacing w:before="240" w:after="60" w:line="240" w:lineRule="auto"/>
      <w:jc w:val="center"/>
    </w:pPr>
    <w:rPr>
      <w:rFonts w:ascii="Arial" w:eastAsia="Arial" w:hAnsi="Arial" w:cs="Arial"/>
      <w:b/>
      <w:color w:val="000000"/>
      <w:sz w:val="32"/>
      <w:szCs w:val="32"/>
      <w:lang w:val="en-GB" w:eastAsia="en-GB"/>
    </w:rPr>
  </w:style>
  <w:style w:type="character" w:customStyle="1" w:styleId="TitleChar">
    <w:name w:val="Title Char"/>
    <w:basedOn w:val="DefaultParagraphFont"/>
    <w:link w:val="Title"/>
    <w:rPr>
      <w:rFonts w:ascii="Arial" w:eastAsia="Arial" w:hAnsi="Arial" w:cs="Arial"/>
      <w:b/>
      <w:color w:val="000000"/>
      <w:sz w:val="32"/>
      <w:szCs w:val="32"/>
      <w:lang w:val="en-GB" w:eastAsia="en-GB"/>
    </w:rPr>
  </w:style>
  <w:style w:type="paragraph" w:styleId="Subtitle">
    <w:name w:val="Subtitle"/>
    <w:basedOn w:val="Normal"/>
    <w:next w:val="Normal"/>
    <w:link w:val="SubtitleChar"/>
    <w:pPr>
      <w:keepNext/>
      <w:keepLines/>
      <w:spacing w:after="60" w:line="240" w:lineRule="auto"/>
      <w:jc w:val="center"/>
    </w:pPr>
    <w:rPr>
      <w:rFonts w:ascii="Arial" w:eastAsia="Arial" w:hAnsi="Arial" w:cs="Arial"/>
      <w:i/>
      <w:color w:val="666666"/>
      <w:sz w:val="24"/>
      <w:szCs w:val="24"/>
      <w:lang w:val="en-GB" w:eastAsia="en-GB"/>
    </w:rPr>
  </w:style>
  <w:style w:type="character" w:customStyle="1" w:styleId="SubtitleChar">
    <w:name w:val="Subtitle Char"/>
    <w:basedOn w:val="DefaultParagraphFont"/>
    <w:link w:val="Subtitle"/>
    <w:rPr>
      <w:rFonts w:ascii="Arial" w:eastAsia="Arial" w:hAnsi="Arial" w:cs="Arial"/>
      <w:i/>
      <w:color w:val="666666"/>
      <w:sz w:val="24"/>
      <w:szCs w:val="24"/>
      <w:lang w:val="en-GB" w:eastAsia="en-GB"/>
    </w:rPr>
  </w:style>
  <w:style w:type="paragraph" w:styleId="CommentText">
    <w:name w:val="annotation text"/>
    <w:basedOn w:val="Normal"/>
    <w:link w:val="CommentTextChar"/>
    <w:uiPriority w:val="99"/>
    <w:semiHidden/>
    <w:unhideWhenUsed/>
    <w:pPr>
      <w:spacing w:after="240" w:line="240" w:lineRule="auto"/>
      <w:jc w:val="both"/>
    </w:pPr>
    <w:rPr>
      <w:rFonts w:ascii="Times New Roman" w:eastAsia="Times New Roman" w:hAnsi="Times New Roman" w:cs="Times New Roman"/>
      <w:color w:val="000000"/>
      <w:sz w:val="20"/>
      <w:szCs w:val="20"/>
      <w:lang w:val="en-GB" w:eastAsia="en-GB"/>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color w:val="000000"/>
      <w:sz w:val="20"/>
      <w:szCs w:val="20"/>
      <w:lang w:val="en-GB" w:eastAsia="en-GB"/>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pPr>
      <w:spacing w:after="0" w:line="240" w:lineRule="auto"/>
      <w:jc w:val="both"/>
    </w:pPr>
    <w:rPr>
      <w:rFonts w:ascii="Tahoma" w:eastAsia="Times New Roman" w:hAnsi="Tahoma" w:cs="Tahoma"/>
      <w:color w:val="000000"/>
      <w:sz w:val="16"/>
      <w:szCs w:val="16"/>
      <w:lang w:val="en-GB" w:eastAsia="en-GB"/>
    </w:rPr>
  </w:style>
  <w:style w:type="character" w:customStyle="1" w:styleId="BalloonTextChar">
    <w:name w:val="Balloon Text Char"/>
    <w:basedOn w:val="DefaultParagraphFont"/>
    <w:link w:val="BalloonText"/>
    <w:uiPriority w:val="99"/>
    <w:semiHidden/>
    <w:rPr>
      <w:rFonts w:ascii="Tahoma" w:eastAsia="Times New Roman" w:hAnsi="Tahoma" w:cs="Tahoma"/>
      <w:color w:val="000000"/>
      <w:sz w:val="16"/>
      <w:szCs w:val="16"/>
      <w:lang w:val="en-GB" w:eastAsia="en-GB"/>
    </w:rPr>
  </w:style>
  <w:style w:type="table" w:styleId="TableGrid">
    <w:name w:val="Table Grid"/>
    <w:basedOn w:val="TableNormal"/>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Pr>
      <w:color w:val="954F72" w:themeColor="followedHyperlink"/>
      <w:u w:val="single"/>
    </w:rPr>
  </w:style>
  <w:style w:type="character" w:customStyle="1" w:styleId="ParagrapheCar">
    <w:name w:val="Paragraphe Car"/>
    <w:link w:val="Paragraphe"/>
    <w:locked/>
    <w:rPr>
      <w:rFonts w:ascii="Arial" w:hAnsi="Arial" w:cs="Arial"/>
      <w:lang w:eastAsia="fr-FR"/>
    </w:rPr>
  </w:style>
  <w:style w:type="paragraph" w:customStyle="1" w:styleId="Paragraphe">
    <w:name w:val="Paragraphe"/>
    <w:basedOn w:val="Normal"/>
    <w:link w:val="ParagrapheCar"/>
    <w:pPr>
      <w:spacing w:after="120" w:line="280" w:lineRule="atLeast"/>
      <w:ind w:left="2040"/>
      <w:jc w:val="both"/>
    </w:pPr>
    <w:rPr>
      <w:rFonts w:ascii="Arial" w:hAnsi="Arial" w:cs="Arial"/>
      <w:lang w:eastAsia="fr-FR"/>
    </w:rPr>
  </w:style>
  <w:style w:type="character" w:customStyle="1" w:styleId="ListParagraphChar">
    <w:name w:val="List Paragraph Char"/>
    <w:aliases w:val="Heading 2_sj Char,Dot pt Char,Numbered Para 1 Char,No Spacing1 Char,List Paragraph Char Char Char Char,Indicator Text Char,Bullet 1 Char,List Paragraph1 Char,Bullet Points Char,MAIN CONTENT Char,List Paragraph12 Char"/>
    <w:basedOn w:val="DefaultParagraphFont"/>
    <w:link w:val="ListParagraph"/>
    <w:uiPriority w:val="34"/>
    <w:qFormat/>
    <w:locked/>
    <w:rPr>
      <w:rFonts w:ascii="Times New Roman" w:eastAsia="Times New Roman" w:hAnsi="Times New Roman" w:cs="Times New Roman"/>
      <w:color w:val="000000"/>
      <w:sz w:val="24"/>
      <w:szCs w:val="24"/>
      <w:lang w:val="en-GB"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color w:val="000000"/>
      <w:sz w:val="20"/>
      <w:szCs w:val="20"/>
      <w:lang w:val="en-GB" w:eastAsia="en-GB"/>
    </w:rPr>
  </w:style>
  <w:style w:type="numbering" w:customStyle="1" w:styleId="NoList1">
    <w:name w:val="No List1"/>
    <w:next w:val="NoList"/>
    <w:uiPriority w:val="99"/>
    <w:semiHidden/>
    <w:unhideWhenUsed/>
  </w:style>
  <w:style w:type="paragraph" w:styleId="TOCHeading">
    <w:name w:val="TOC Heading"/>
    <w:basedOn w:val="Heading1"/>
    <w:next w:val="Normal"/>
    <w:uiPriority w:val="39"/>
    <w:unhideWhenUsed/>
    <w:qFormat/>
    <w:pPr>
      <w:spacing w:after="0" w:line="259" w:lineRule="auto"/>
      <w:ind w:left="0" w:firstLine="0"/>
      <w:jc w:val="left"/>
      <w:outlineLvl w:val="9"/>
    </w:pPr>
    <w:rPr>
      <w:rFonts w:asciiTheme="majorHAnsi" w:eastAsiaTheme="majorEastAsia" w:hAnsiTheme="majorHAnsi" w:cstheme="majorBidi"/>
      <w:b w:val="0"/>
      <w:smallCaps w:val="0"/>
      <w:color w:val="2E74B5" w:themeColor="accent1" w:themeShade="BF"/>
      <w:sz w:val="32"/>
      <w:szCs w:val="32"/>
      <w:lang w:val="en-US" w:eastAsia="en-US"/>
    </w:rPr>
  </w:style>
  <w:style w:type="paragraph" w:styleId="TOC1">
    <w:name w:val="toc 1"/>
    <w:basedOn w:val="Normal"/>
    <w:next w:val="Normal"/>
    <w:autoRedefine/>
    <w:uiPriority w:val="39"/>
    <w:unhideWhenUsed/>
    <w:pPr>
      <w:spacing w:after="100"/>
    </w:pPr>
    <w:rPr>
      <w:lang w:val="en-GB"/>
    </w:rPr>
  </w:style>
  <w:style w:type="paragraph" w:styleId="TOC2">
    <w:name w:val="toc 2"/>
    <w:basedOn w:val="Normal"/>
    <w:next w:val="Normal"/>
    <w:autoRedefine/>
    <w:uiPriority w:val="39"/>
    <w:unhideWhenUsed/>
    <w:pPr>
      <w:spacing w:after="100"/>
      <w:ind w:left="220"/>
    </w:pPr>
    <w:rPr>
      <w:lang w:val="en-GB"/>
    </w:rPr>
  </w:style>
  <w:style w:type="paragraph" w:customStyle="1" w:styleId="SecurityMarking">
    <w:name w:val="SecurityMarking"/>
    <w:basedOn w:val="Normal"/>
    <w:pPr>
      <w:spacing w:after="0" w:line="276" w:lineRule="auto"/>
      <w:ind w:left="5103"/>
    </w:pPr>
    <w:rPr>
      <w:rFonts w:ascii="Times New Roman" w:hAnsi="Times New Roman" w:cs="Times New Roman"/>
      <w:sz w:val="28"/>
      <w:lang w:val="en-GB"/>
    </w:rPr>
  </w:style>
  <w:style w:type="paragraph" w:customStyle="1" w:styleId="DateMarking">
    <w:name w:val="DateMarking"/>
    <w:basedOn w:val="Normal"/>
    <w:pPr>
      <w:spacing w:after="0" w:line="276" w:lineRule="auto"/>
      <w:ind w:left="5103"/>
    </w:pPr>
    <w:rPr>
      <w:rFonts w:ascii="Times New Roman" w:hAnsi="Times New Roman" w:cs="Times New Roman"/>
      <w:i/>
      <w:sz w:val="28"/>
      <w:lang w:val="en-GB"/>
    </w:rPr>
  </w:style>
  <w:style w:type="paragraph" w:customStyle="1" w:styleId="ReleasableTo">
    <w:name w:val="ReleasableTo"/>
    <w:basedOn w:val="Normal"/>
    <w:pPr>
      <w:spacing w:after="0" w:line="276" w:lineRule="auto"/>
      <w:ind w:left="5103"/>
    </w:pPr>
    <w:rPr>
      <w:rFonts w:ascii="Times New Roman" w:hAnsi="Times New Roman" w:cs="Times New Roman"/>
      <w:i/>
      <w:sz w:val="2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package" Target="embeddings/Microsoft_Word_Document1.docx"/><Relationship Id="rId26" Type="http://schemas.openxmlformats.org/officeDocument/2006/relationships/package" Target="embeddings/Microsoft_Word_Document3.docx"/><Relationship Id="rId39" Type="http://schemas.openxmlformats.org/officeDocument/2006/relationships/footer" Target="footer5.xml"/><Relationship Id="rId3" Type="http://schemas.microsoft.com/office/2007/relationships/stylesWithEffects" Target="stylesWithEffects.xml"/><Relationship Id="rId21" Type="http://schemas.openxmlformats.org/officeDocument/2006/relationships/image" Target="media/image6.emf"/><Relationship Id="rId34" Type="http://schemas.openxmlformats.org/officeDocument/2006/relationships/hyperlink" Target="https://digitransit.fi/en/" TargetMode="External"/><Relationship Id="rId42" Type="http://schemas.openxmlformats.org/officeDocument/2006/relationships/image" Target="media/image14.emf"/><Relationship Id="rId47" Type="http://schemas.openxmlformats.org/officeDocument/2006/relationships/header" Target="header9.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hyperlink" Target="http://www.peatus.ee" TargetMode="External"/><Relationship Id="rId38" Type="http://schemas.openxmlformats.org/officeDocument/2006/relationships/footer" Target="footer4.xml"/><Relationship Id="rId46" Type="http://schemas.openxmlformats.org/officeDocument/2006/relationships/footer" Target="footer8.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5.emf"/><Relationship Id="rId29" Type="http://schemas.openxmlformats.org/officeDocument/2006/relationships/package" Target="embeddings/Microsoft_Word_Document4.docx"/><Relationship Id="rId41"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Word_Document2.docx"/><Relationship Id="rId32" Type="http://schemas.openxmlformats.org/officeDocument/2006/relationships/image" Target="media/image13.emf"/><Relationship Id="rId37" Type="http://schemas.openxmlformats.org/officeDocument/2006/relationships/header" Target="header5.xml"/><Relationship Id="rId40" Type="http://schemas.openxmlformats.org/officeDocument/2006/relationships/header" Target="header6.xml"/><Relationship Id="rId45"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header" Target="header4.xml"/><Relationship Id="rId49"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yperlink" Target="http://www.traffic4cyprus.org.cy" TargetMode="External"/><Relationship Id="rId31" Type="http://schemas.openxmlformats.org/officeDocument/2006/relationships/image" Target="media/image12.emf"/><Relationship Id="rId44"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transportforireland.ie" TargetMode="External"/><Relationship Id="rId27" Type="http://schemas.openxmlformats.org/officeDocument/2006/relationships/image" Target="media/image9.jpeg"/><Relationship Id="rId30" Type="http://schemas.openxmlformats.org/officeDocument/2006/relationships/image" Target="media/image11.emf"/><Relationship Id="rId35" Type="http://schemas.openxmlformats.org/officeDocument/2006/relationships/hyperlink" Target="http://www.visimarsrutai.lt/" TargetMode="External"/><Relationship Id="rId43" Type="http://schemas.openxmlformats.org/officeDocument/2006/relationships/header" Target="header7.xml"/><Relationship Id="rId48" Type="http://schemas.openxmlformats.org/officeDocument/2006/relationships/footer" Target="footer9.xml"/><Relationship Id="rId8"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s://ec.europa.eu/transport/themes/its/road/action_plan/its_national_reports_en" TargetMode="External"/><Relationship Id="rId13" Type="http://schemas.openxmlformats.org/officeDocument/2006/relationships/hyperlink" Target="https://ec.europa.eu/inea/en/connecting-europe-facility/cef-transport/2014-eu-tm-0588-w" TargetMode="External"/><Relationship Id="rId18" Type="http://schemas.openxmlformats.org/officeDocument/2006/relationships/hyperlink" Target="http://ec.europa.eu/transport/themes/its/road/action_plan/ecall_en.htm" TargetMode="External"/><Relationship Id="rId3" Type="http://schemas.openxmlformats.org/officeDocument/2006/relationships/hyperlink" Target="http://ec.europa.eu/transport/themes/its/road/action_plan/ecall_en.htm" TargetMode="External"/><Relationship Id="rId21" Type="http://schemas.openxmlformats.org/officeDocument/2006/relationships/hyperlink" Target="https://www.c-roads.eu" TargetMode="External"/><Relationship Id="rId7" Type="http://schemas.openxmlformats.org/officeDocument/2006/relationships/hyperlink" Target="https://ec.europa.eu/transport/themes/its/road/action_plan/its_national_reports_en" TargetMode="External"/><Relationship Id="rId12" Type="http://schemas.openxmlformats.org/officeDocument/2006/relationships/hyperlink" Target="https://ec.europa.eu/inea/en/connecting-europe-facility/cef-transport/2014-eu-tm-0597-w" TargetMode="External"/><Relationship Id="rId17" Type="http://schemas.openxmlformats.org/officeDocument/2006/relationships/hyperlink" Target="https://ec.europa.eu/inea/en/connecting-europe-facility/cef-transport/2014-eu-tm-0365-w" TargetMode="External"/><Relationship Id="rId2" Type="http://schemas.openxmlformats.org/officeDocument/2006/relationships/hyperlink" Target="http://www.czechspaceportal.cz" TargetMode="External"/><Relationship Id="rId16" Type="http://schemas.openxmlformats.org/officeDocument/2006/relationships/hyperlink" Target="%20https://ec.europa.eu/inea/en/connecting-europe-facility/cef-transport/2014-eu-tm-0310-w" TargetMode="External"/><Relationship Id="rId20" Type="http://schemas.openxmlformats.org/officeDocument/2006/relationships/hyperlink" Target="http://ec.europa.eu/transport/infrastructure/tentec/tentec-portal/map/maps.html" TargetMode="External"/><Relationship Id="rId1" Type="http://schemas.openxmlformats.org/officeDocument/2006/relationships/hyperlink" Target="http://ec.europa.eu/transport/themes/its/road/action_plan/its_national_reports_en.htm" TargetMode="External"/><Relationship Id="rId6" Type="http://schemas.openxmlformats.org/officeDocument/2006/relationships/hyperlink" Target="http://ec.europa.eu/transport/themes/its/road/action_plan/its_national_reports_en.htm" TargetMode="External"/><Relationship Id="rId11" Type="http://schemas.openxmlformats.org/officeDocument/2006/relationships/hyperlink" Target="https://eip.its-platform.eu/" TargetMode="External"/><Relationship Id="rId5" Type="http://schemas.openxmlformats.org/officeDocument/2006/relationships/hyperlink" Target="https://ec.europa.eu/inea/en/connecting-europe-facility/cef-transport/projects-by-country/austria/2014-at-ta-0259-m" TargetMode="External"/><Relationship Id="rId15" Type="http://schemas.openxmlformats.org/officeDocument/2006/relationships/hyperlink" Target="https://ec.europa.eu/inea/en/connecting-europe-facility/cef-transport/2014-at-ta-0259-m" TargetMode="External"/><Relationship Id="rId10" Type="http://schemas.openxmlformats.org/officeDocument/2006/relationships/hyperlink" Target="https://ec.europa.eu/inea/en/connecting-europe-facility/cef-transport/2014-eu-tm-0563-w" TargetMode="External"/><Relationship Id="rId19" Type="http://schemas.openxmlformats.org/officeDocument/2006/relationships/hyperlink" Target="http://open-data.europa.eu/en/data/dataset/etpa" TargetMode="External"/><Relationship Id="rId4" Type="http://schemas.openxmlformats.org/officeDocument/2006/relationships/hyperlink" Target="https://ec.europa.eu/inea/en/connecting-europe-facility/cef-transport/projects-by-country/multi-country/2014-eu-ta-0582-s" TargetMode="External"/><Relationship Id="rId9" Type="http://schemas.openxmlformats.org/officeDocument/2006/relationships/hyperlink" Target="https://ec.europa.eu/transport/themes/its/road/action_plan/nap_en" TargetMode="External"/><Relationship Id="rId14" Type="http://schemas.openxmlformats.org/officeDocument/2006/relationships/hyperlink" Target="https://ec.europa.eu/inea/en/connecting-europe-facility/cef-transport/2014-eu-ta-0582-s" TargetMode="External"/><Relationship Id="rId22" Type="http://schemas.openxmlformats.org/officeDocument/2006/relationships/hyperlink" Target="https://ec.europa.eu/digital-single-market/en/news/implementation-european-emergency-number-112-results-eleventh-data-gathering-rou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12</Pages>
  <Words>14959</Words>
  <Characters>84672</Characters>
  <Application>Microsoft Office Word</Application>
  <DocSecurity>0</DocSecurity>
  <Lines>1365</Lines>
  <Paragraphs>465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99166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WES PDFC Administrator</cp:lastModifiedBy>
  <cp:revision>15</cp:revision>
  <dcterms:created xsi:type="dcterms:W3CDTF">2019-09-06T08:41:00Z</dcterms:created>
  <dcterms:modified xsi:type="dcterms:W3CDTF">2019-10-08T08:45:00Z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y fmtid="{D5CDD505-2E9C-101B-9397-08002B2CF9AE}" pid="6" name="CPTemplateID">
    <vt:lpwstr>CP-025</vt:lpwstr>
  </property>
  <property fmtid="{D5CDD505-2E9C-101B-9397-08002B2CF9AE}" pid="7" name="Last edited using">
    <vt:lpwstr>LW 7.0, Build 20190717</vt:lpwstr>
  </property>
  <property fmtid="{D5CDD505-2E9C-101B-9397-08002B2CF9AE}" pid="8" name="Created using">
    <vt:lpwstr>LW 7.0, Build 20190717</vt:lpwstr>
  </property>
</Properties>
</file>