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448997A-499E-40BB-9653-D79515A9099F"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noProof/>
        </w:rPr>
      </w:pPr>
      <w:r>
        <w:rPr>
          <w:noProof/>
        </w:rPr>
        <w:t>Целта на Регламент (ЕС) № 1380/2013 на Европейския парламент и на Съвета относно общата политика в областта на рибарството</w:t>
      </w:r>
      <w:r>
        <w:rPr>
          <w:rStyle w:val="FootnoteReference"/>
          <w:noProof/>
        </w:rPr>
        <w:footnoteReference w:id="1"/>
      </w:r>
      <w:r>
        <w:rPr>
          <w:noProof/>
        </w:rPr>
        <w:t xml:space="preserve"> (наричан по-нататък „основния регламент за ОПОР“) е да се гарантира, че експлоатацията на живите водни ресурси се извършва при устойчиви икономически, екологични и социални условия. Една от важните мерки в това отношение е ежегодното определяне на възможностите за риболов. Всички регламенти относно възможностите за риболов трябва да ограничават използването на рибните запаси до равнища, които са съобразени с основните цели на общата политика в областта на рибарството (ОПОР).</w:t>
      </w:r>
    </w:p>
    <w:p>
      <w:pPr>
        <w:pBdr>
          <w:top w:val="nil"/>
          <w:left w:val="nil"/>
          <w:bottom w:val="nil"/>
          <w:right w:val="nil"/>
          <w:between w:val="nil"/>
          <w:bar w:val="nil"/>
        </w:pBdr>
        <w:spacing w:before="0" w:after="240"/>
        <w:rPr>
          <w:noProof/>
        </w:rPr>
      </w:pPr>
      <w:r>
        <w:rPr>
          <w:noProof/>
        </w:rPr>
        <w:t>Целта на настоящото предложение е да се определят възможностите за риболов на някои запаси и групи запаси в Средиземно море и Черно море.</w:t>
      </w:r>
    </w:p>
    <w:p>
      <w:pPr>
        <w:pBdr>
          <w:top w:val="nil"/>
          <w:left w:val="nil"/>
          <w:bottom w:val="nil"/>
          <w:right w:val="nil"/>
          <w:between w:val="nil"/>
          <w:bar w:val="nil"/>
        </w:pBdr>
        <w:spacing w:before="0" w:after="240"/>
        <w:rPr>
          <w:noProof/>
        </w:rPr>
      </w:pPr>
      <w:r>
        <w:rPr>
          <w:noProof/>
        </w:rPr>
        <w:t>След приемането и влизането в сила на многогодишния план за запасите от дънни видове в западната част на Средиземно море</w:t>
      </w:r>
      <w:r>
        <w:rPr>
          <w:rStyle w:val="FootnoteReference"/>
          <w:noProof/>
        </w:rPr>
        <w:footnoteReference w:id="2"/>
      </w:r>
      <w:r>
        <w:rPr>
          <w:noProof/>
        </w:rPr>
        <w:t xml:space="preserve"> с настоящото предложение се определят възможностите за риболов, изразени в общо допустимо риболовно усилие, за съответните държави членки в посочения регион (Испания, Франция и Италия).</w:t>
      </w:r>
    </w:p>
    <w:p>
      <w:pPr>
        <w:pBdr>
          <w:top w:val="nil"/>
          <w:left w:val="nil"/>
          <w:bottom w:val="nil"/>
          <w:right w:val="nil"/>
          <w:between w:val="nil"/>
          <w:bar w:val="nil"/>
        </w:pBdr>
        <w:spacing w:before="0" w:after="240"/>
        <w:rPr>
          <w:noProof/>
        </w:rPr>
      </w:pPr>
      <w:r>
        <w:rPr>
          <w:noProof/>
        </w:rPr>
        <w:t>Освен това с настоящото предложение се определят възможностите за риболов, произтичащи от споразумения, постигнати в рамките на Генералната комисия по рибарство за Средиземно море (GFCM) — регионална организация за управление на рибарството, която следи за опазването и управлението на живите морски ресурси в Средиземно и Черно море. Европейският съюз е член на GFCM, заедно с България, Гърция, Испания, Италия, Кипър, Малта, Румъния, Словения, Франция и Хърватия. Приетите в рамките на GFCM мерки са обвързващи за нейните членове.</w:t>
      </w:r>
    </w:p>
    <w:p>
      <w:pPr>
        <w:pBdr>
          <w:top w:val="nil"/>
          <w:left w:val="nil"/>
          <w:bottom w:val="nil"/>
          <w:right w:val="nil"/>
          <w:between w:val="nil"/>
          <w:bar w:val="nil"/>
        </w:pBdr>
        <w:spacing w:before="0" w:after="240"/>
        <w:rPr>
          <w:noProof/>
        </w:rPr>
      </w:pPr>
      <w:r>
        <w:rPr>
          <w:noProof/>
        </w:rPr>
        <w:t>И накрая, по отношение на Черно море с настоящото предложение се установява автономна квота за цаца, за да се запази сегашното равнище на смъртността от риболов. По отношение на калкана предложението транспонира общия допустим улов (ОДУ) и квотите, установени от GFCM.</w:t>
      </w:r>
    </w:p>
    <w:p>
      <w:pPr>
        <w:pBdr>
          <w:top w:val="nil"/>
          <w:left w:val="nil"/>
          <w:bottom w:val="nil"/>
          <w:right w:val="nil"/>
          <w:between w:val="nil"/>
          <w:bar w:val="nil"/>
        </w:pBdr>
        <w:spacing w:before="0" w:after="240"/>
        <w:rPr>
          <w:noProof/>
        </w:rPr>
      </w:pPr>
      <w:r>
        <w:rPr>
          <w:noProof/>
        </w:rPr>
        <w:t>Крайната цел е да се постигнат и поддържат равнища на запасите, при които може да се осигури максимален устойчив улов (МУУ). Тази цел изрично е включена в основния регламент за ОПОР, в чийто член 2, параграф 2 се посочва, че „когато е възможно […] [тя] трябва да бъде постигнат[а] до 2015 г., като за всички запаси трябва да бъде постигнат[а] най-късно до 2020 г. […]“ Това изискване отразява ангажимента на Съюза във връзка със заключенията от Световната среща на върха по въпросите на устойчивото развитие, проведена през 2002 г. в Йоханесбург, и съответния план за изпълнение. От друга страна, предвид наближаването на крайния срок (2020 г.) и изключително същественото намаляване на риболовното усилие, до което ще доведе изпълнението на изискването, разпоредбите на многогодишния план за запасите от дънни видове в западната част на Средиземно море целят постигане на смъртност от риболов на равнището на максималния устойчив улов (МУУ) постепенно и поетапно до 2020 г., доколкото е възможно, и най-късно до 1 януари 2025 г.</w:t>
      </w:r>
    </w:p>
    <w:p>
      <w:pPr>
        <w:pBdr>
          <w:top w:val="nil"/>
          <w:left w:val="nil"/>
          <w:bottom w:val="nil"/>
          <w:right w:val="nil"/>
          <w:between w:val="nil"/>
          <w:bar w:val="nil"/>
        </w:pBdr>
        <w:spacing w:before="0" w:after="240"/>
        <w:rPr>
          <w:noProof/>
        </w:rPr>
      </w:pPr>
      <w:r>
        <w:rPr>
          <w:noProof/>
        </w:rPr>
        <w:t>Макар за първи път да се предлага самостоятелен регламент за възможностите за риболов едновременно за Средиземно море и за Черно море, определянето на възможностите за риболов представлява от своя страна едногодишен цикъл на управление. Затова през предходните години възможностите за риболов са били определяни отделно за Черно море</w:t>
      </w:r>
      <w:r>
        <w:rPr>
          <w:rStyle w:val="FootnoteReference"/>
          <w:noProof/>
        </w:rPr>
        <w:footnoteReference w:id="3"/>
      </w:r>
      <w:r>
        <w:rPr>
          <w:noProof/>
        </w:rPr>
        <w:t xml:space="preserve"> и за зоната по Споразумението за GFCM</w:t>
      </w:r>
      <w:r>
        <w:rPr>
          <w:rStyle w:val="FootnoteReference"/>
          <w:noProof/>
        </w:rPr>
        <w:footnoteReference w:id="4"/>
      </w:r>
      <w:r>
        <w:rPr>
          <w:noProof/>
        </w:rPr>
        <w:t>. За 2020 г. възможностите за риболов трябва да бъдат определени и за запасите от дънни видове в западната част на Средиземно море, след като бъде приет и влезе в сила многогодишният план.</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Предложените мерки са разработени в съответствие с целите и правилата на ОПОР.</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Предложените мерки са съгласувани с политиката на Съюза за устойчиво развитие.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Правното основание на настоящото предложение е член 43, параграф 3 от Договора за функционирането на Европейския съюз (ДФЕС).</w:t>
      </w:r>
    </w:p>
    <w:p>
      <w:pPr>
        <w:pStyle w:val="ManualHeading2"/>
        <w:rPr>
          <w:rFonts w:eastAsia="Arial Unicode MS"/>
          <w:noProof/>
          <w:u w:color="000000"/>
          <w:bdr w:val="nil"/>
        </w:rPr>
      </w:pPr>
      <w:r>
        <w:rPr>
          <w:noProof/>
          <w:u w:color="000000"/>
          <w:bdr w:val="nil"/>
        </w:rPr>
        <w:t>•</w:t>
      </w:r>
      <w:r>
        <w:rPr>
          <w:noProof/>
          <w:u w:color="000000"/>
          <w:bdr w:val="nil"/>
        </w:rPr>
        <w:tab/>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Предложението попада в изключителната компетентност на Съюза, посочена в член 3, параграф 1, буква г) от ДФЕС.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noProof/>
        </w:rPr>
      </w:pPr>
      <w:r>
        <w:rPr>
          <w:noProof/>
        </w:rPr>
        <w:t>Настоящото предложение е в съответствие с принципа на пропорционалност поради следните причини: ОПОР е обща политика. Съгласно член 43, параграф 3 от ДФЕС мерките за определянето и разпределянето на възможностите за риболов се приемат от Съвета.</w:t>
      </w:r>
    </w:p>
    <w:p>
      <w:pPr>
        <w:pBdr>
          <w:top w:val="nil"/>
          <w:left w:val="nil"/>
          <w:bottom w:val="nil"/>
          <w:right w:val="nil"/>
          <w:between w:val="nil"/>
          <w:bar w:val="nil"/>
        </w:pBdr>
        <w:spacing w:before="0" w:after="240"/>
        <w:rPr>
          <w:noProof/>
        </w:rPr>
      </w:pPr>
      <w:r>
        <w:rPr>
          <w:noProof/>
        </w:rPr>
        <w:t>С предложения регламент на Съвета възможностите за риболов се разпределят на държавите членки. Съгласно членове 16 и 17 от основния регламент за ОПОР държавите членки са свободни да разпределят тези възможности по своя преценка между корабите, плаващи под тяхното знаме. От това следва, че държавите членки разполагат със значителна свобода на действие във връзка с решенията относно социално-икономическите модели, които ще изберат, за да усвоят предоставените им възможности за риболов.</w:t>
      </w:r>
    </w:p>
    <w:p>
      <w:pPr>
        <w:pBdr>
          <w:top w:val="nil"/>
          <w:left w:val="nil"/>
          <w:bottom w:val="nil"/>
          <w:right w:val="nil"/>
          <w:between w:val="nil"/>
          <w:bar w:val="nil"/>
        </w:pBdr>
        <w:spacing w:before="0" w:after="240"/>
        <w:rPr>
          <w:rFonts w:eastAsia="Arial Unicode MS"/>
          <w:noProof/>
        </w:rPr>
      </w:pPr>
      <w:r>
        <w:rPr>
          <w:noProof/>
        </w:rPr>
        <w:t>Предложението не поражда нови финансови последици за държавите членки.</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noProof/>
        </w:rPr>
      </w:pPr>
      <w:r>
        <w:rPr>
          <w:noProof/>
        </w:rPr>
        <w:t>Предложеният инструмент е регламент на Съвета.</w:t>
      </w:r>
    </w:p>
    <w:p>
      <w:pPr>
        <w:pBdr>
          <w:top w:val="nil"/>
          <w:left w:val="nil"/>
          <w:bottom w:val="nil"/>
          <w:right w:val="nil"/>
          <w:between w:val="nil"/>
          <w:bar w:val="nil"/>
        </w:pBdr>
        <w:spacing w:before="0" w:after="240"/>
        <w:rPr>
          <w:rFonts w:eastAsia="Arial Unicode MS"/>
          <w:noProof/>
        </w:rPr>
      </w:pPr>
      <w:r>
        <w:rPr>
          <w:noProof/>
        </w:rPr>
        <w:t>Настоящото е предложение за управление на рибарството въз основа на член 43, параграф 3 от ДФЕС и в съответствие с член 16 от Регламент (ЕС) № 1380/2013.</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Консултации със заинтересованите страни бяха осъществени чрез Съобщението на Комисията до Европейския парламент и Съвета относно актуалното състояние на общата политика в областта на рибарството и консултацията относно възможностите за риболов за 2020 г.</w:t>
      </w:r>
      <w:r>
        <w:rPr>
          <w:rStyle w:val="FootnoteReference"/>
          <w:noProof/>
        </w:rPr>
        <w:footnoteReference w:id="5"/>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Оценката на състоянието на запасите в Средиземно море и Черно море се основава на най-актуалните становища, изготвени от Научния, технически и икономически комитет по рибарство (НТИКР), Научния консултативен комитет по рибарство към GFCM и работната група за Черно море към GFCM.</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noProof/>
        </w:rPr>
      </w:pPr>
      <w:r>
        <w:rPr>
          <w:noProof/>
        </w:rPr>
        <w:t>Обхватът на Регламента относно възможностите за риболов е ограничен от член 43, параграф 3 от ДФЕС.</w:t>
      </w:r>
    </w:p>
    <w:p>
      <w:pPr>
        <w:pBdr>
          <w:top w:val="nil"/>
          <w:left w:val="nil"/>
          <w:bottom w:val="nil"/>
          <w:right w:val="nil"/>
          <w:between w:val="nil"/>
          <w:bar w:val="nil"/>
        </w:pBdr>
        <w:spacing w:before="0" w:after="240"/>
        <w:rPr>
          <w:noProof/>
        </w:rPr>
      </w:pPr>
      <w:r>
        <w:rPr>
          <w:noProof/>
        </w:rPr>
        <w:t>Предложенията на Комисията за основния регламент за ОПОР и за многогодишния план за риболова на дънни видове в западната част на Средиземно море бяха надлежно разработени въз основа на оценки на въздействието</w:t>
      </w:r>
      <w:r>
        <w:rPr>
          <w:rStyle w:val="FootnoteReference"/>
          <w:noProof/>
        </w:rPr>
        <w:footnoteReference w:id="6"/>
      </w:r>
      <w:r>
        <w:rPr>
          <w:noProof/>
        </w:rPr>
        <w:t>. Един от главните инструменти на основния регламент за ОПОР, предназначени за постигане на целите, посочени в член 2 от същия регламент, е определянето на възможности за риболов. Колкото до многогодишния план, с него бе въведен режим на риболовното усилие, за да бъде решен проблемът с прекомерния риболов.</w:t>
      </w:r>
    </w:p>
    <w:p>
      <w:pPr>
        <w:pBdr>
          <w:top w:val="nil"/>
          <w:left w:val="nil"/>
          <w:bottom w:val="nil"/>
          <w:right w:val="nil"/>
          <w:between w:val="nil"/>
          <w:bar w:val="nil"/>
        </w:pBdr>
        <w:spacing w:before="0" w:after="240"/>
        <w:rPr>
          <w:noProof/>
        </w:rPr>
      </w:pPr>
      <w:r>
        <w:rPr>
          <w:noProof/>
        </w:rPr>
        <w:t>Що се отнася до възможностите за риболов, определени от GFCM както за Средиземно море, така и за Черно море, с настоящото предложение по същество се прилагат мерки, договорени в международен план. Всички елементи, които са от значение за оценката на евентуалното въздействие на възможностите за риболов, се разглеждат при подготовката и провеждането на международни преговори, в рамките на които възможностите за риболов на Съюза се съгласуват с трети страни.</w:t>
      </w:r>
    </w:p>
    <w:p>
      <w:pPr>
        <w:pBdr>
          <w:top w:val="nil"/>
          <w:left w:val="nil"/>
          <w:bottom w:val="nil"/>
          <w:right w:val="nil"/>
          <w:between w:val="nil"/>
          <w:bar w:val="nil"/>
        </w:pBdr>
        <w:spacing w:before="0" w:after="240"/>
        <w:rPr>
          <w:noProof/>
        </w:rPr>
      </w:pPr>
      <w:r>
        <w:rPr>
          <w:noProof/>
        </w:rPr>
        <w:t>Предложението засяга не само опасенията в краткосрочен аспект, но също така отразява по-дългосрочен подход, при който равнището на риболова постепенно се адаптира към дългосрочно устойчивите равнища.</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Настоящото предложение ще се прилага в съответствие със съществуващите правила за ОПОР. Мониторингът и спазването ще се гарантират в съответствие с правилата на Регламент (ЕО) № 1224/2009 на Съвета.</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С настоящото предложение се определят възможностите за риболов на някои запаси или групи запаси в Средиземно море и Черно море за 2020 г. По-специално възможностите за риболов включват следното:</w:t>
      </w:r>
    </w:p>
    <w:p>
      <w:pPr>
        <w:pStyle w:val="ManualNumPar1"/>
        <w:rPr>
          <w:noProof/>
        </w:rPr>
      </w:pPr>
      <w:r>
        <w:rPr>
          <w:noProof/>
        </w:rPr>
        <w:t>1.</w:t>
      </w:r>
      <w:r>
        <w:rPr>
          <w:noProof/>
        </w:rPr>
        <w:tab/>
        <w:t>режим на риболовното усилие за траулери, използвани при риболов на запасите от дънни видове в западната част на Средиземно море. Новият многогодишен план за риболова на дънни видове в западната част на Средиземно море влезе в сила на 16 юли 2019 г. Съгласно този план Съветът трябва да определя всяка година общото допустимо риболовно усилие за всяка група за целите на риболовното усилие — с разбивка по държави членки — и за групите запаси, определени в приложение І към плана. През първата година на изпълнение общото допустимо риболовно усилие трябва да бъде намалено с 10 % спрямо изходното равнище (от 1 януари 2015 г. до 31 декември 2017 г.), изчислено от всяка държава членка за всяка група за целите на риболовното усилие или географска подзона;</w:t>
      </w:r>
    </w:p>
    <w:p>
      <w:pPr>
        <w:pStyle w:val="ManualNumPar1"/>
        <w:rPr>
          <w:noProof/>
        </w:rPr>
      </w:pPr>
      <w:r>
        <w:rPr>
          <w:noProof/>
        </w:rPr>
        <w:t xml:space="preserve">2. </w:t>
      </w:r>
      <w:r>
        <w:rPr>
          <w:noProof/>
        </w:rPr>
        <w:tab/>
        <w:t xml:space="preserve">мерки, приети от GFCM и приложими в Средиземно море. Тези мерки включват следното: период на забрана за риболов на европейска змиорка в цялото Средиземно море (географски подзони 1—27) и ограничения на улова и на риболовното усилие за дребни пелагични видове в Адриатическо море (географски подзони 17 и 18). Тези мерки бяха приети на годишното заседание на GFCM през 2018 г. Освен това предложението включва ограничения на риболовното усилие за запасите от дънни видове в Адриатическо море (географски подзони 17 и 18), които да бъдат приети на годишното заседание на GFCM за 2019 г., планирано за 4—8 ноември 2019 г. Споменатите мерки още не са приети, тъй като годишното заседание на GFCM все още не се е състояло, поради което в настоящото предложение те са отбелязани като </w:t>
      </w:r>
      <w:r>
        <w:rPr>
          <w:i/>
          <w:noProof/>
        </w:rPr>
        <w:t>pm (pro memoria)</w:t>
      </w:r>
      <w:r>
        <w:rPr>
          <w:noProof/>
        </w:rPr>
        <w:t>. Данните ще бъдат актуализирани, след като бъдат приети от GFCM;</w:t>
      </w:r>
    </w:p>
    <w:p>
      <w:pPr>
        <w:pStyle w:val="ManualNumPar1"/>
        <w:rPr>
          <w:noProof/>
        </w:rPr>
      </w:pPr>
      <w:r>
        <w:rPr>
          <w:noProof/>
        </w:rPr>
        <w:t xml:space="preserve">3. </w:t>
      </w:r>
      <w:r>
        <w:rPr>
          <w:noProof/>
        </w:rPr>
        <w:tab/>
        <w:t xml:space="preserve">възможности за риболов в Черно море. Те включват следното: а) автономна квота за цаца въз основа на научните становища, съгласно които е необходимо да се запази сегашното равнище на смъртност от риболов, за да се гарантира устойчивостта на запаса; б) общия допустим улов (ОДУ) и разпределение на квотите за калкан в рамките на нов многогодишен план за управление на риболова на калкан, който да се приеме на годишното заседание на GFCM за 2019 г. ОДУ и квотите за калкан са отбелязани като </w:t>
      </w:r>
      <w:r>
        <w:rPr>
          <w:i/>
          <w:noProof/>
        </w:rPr>
        <w:t>pm</w:t>
      </w:r>
      <w:r>
        <w:rPr>
          <w:noProof/>
        </w:rPr>
        <w:t xml:space="preserve"> в предложението и се очаква да бъдат приети от GFCM.</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2019/0211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определяне на възможностите за риболов на някои рибни запаси и групи рибни запаси за 2020 година в Средиземно море и Черно море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Член 43, параграф 3 ДФЕС предвижда, че Съветът, по предложение на Комисията, приема мерки за определянето и разпределянето на възможностите за риболов.</w:t>
      </w:r>
    </w:p>
    <w:p>
      <w:pPr>
        <w:pStyle w:val="ManualConsidrant"/>
        <w:rPr>
          <w:noProof/>
        </w:rPr>
      </w:pPr>
      <w:r>
        <w:t>(2)</w:t>
      </w:r>
      <w:r>
        <w:tab/>
      </w:r>
      <w:r>
        <w:rPr>
          <w:noProof/>
        </w:rPr>
        <w:t>Съгласно Регламент (ЕС) № 1380/2013 на Европейския парламент и на Съвета</w:t>
      </w:r>
      <w:r>
        <w:rPr>
          <w:rStyle w:val="FootnoteReference"/>
          <w:noProof/>
        </w:rPr>
        <w:footnoteReference w:id="7"/>
      </w:r>
      <w:r>
        <w:rPr>
          <w:noProof/>
        </w:rPr>
        <w:t xml:space="preserve"> се изисква при приемането на мерки за опазване да се вземат предвид наличните научни, технически и икономически становища, включително — когато е целесъобразно — докладите, изготвени от Научния, технически и икономически комитет по рибарство (НТИКР).</w:t>
      </w:r>
    </w:p>
    <w:p>
      <w:pPr>
        <w:pStyle w:val="ManualConsidrant"/>
        <w:rPr>
          <w:noProof/>
        </w:rPr>
      </w:pPr>
      <w:r>
        <w:t>(3)</w:t>
      </w:r>
      <w:r>
        <w:tab/>
      </w:r>
      <w:r>
        <w:rPr>
          <w:noProof/>
        </w:rPr>
        <w:t>Задължение на Съвета е да приема мерки за определянето и разпределянето на възможностите за риболов, включително — при необходимост — на някои функционално свързани с това условия. В член 16, параграф 4 от Регламент (ЕС) № 1380/2013 се предвижда възможностите за риболов да се определят в съответствие с целите на общата политика в областта на рибарството (ОПОР), установени в член 2, параграф 2 от същия регламент. В член 16, параграф 1 от Регламент (ЕС) № 1380/2013 се предвижда възможностите за риболов да бъдат разпределени на държавите членки така, че да осигуряват относителна стабилност на риболовните дейности на всяка държава членка за всеки рибен запас или вид риболов.</w:t>
      </w:r>
    </w:p>
    <w:p>
      <w:pPr>
        <w:pStyle w:val="ManualConsidrant"/>
        <w:rPr>
          <w:noProof/>
        </w:rPr>
      </w:pPr>
      <w:r>
        <w:t>(4)</w:t>
      </w:r>
      <w:r>
        <w:tab/>
      </w:r>
      <w:r>
        <w:rPr>
          <w:noProof/>
        </w:rPr>
        <w:t>Съгласно член 16, параграф 4 от Регламент (ЕС) № 1380/2013 възможностите за риболов на запасите, обхванати от специални многогодишни планове, следва да се определят в съответствие с правилата, предвидени в тези планове.</w:t>
      </w:r>
    </w:p>
    <w:p>
      <w:pPr>
        <w:pStyle w:val="ManualConsidrant"/>
        <w:rPr>
          <w:noProof/>
        </w:rPr>
      </w:pPr>
      <w:r>
        <w:t>(5)</w:t>
      </w:r>
      <w:r>
        <w:tab/>
      </w:r>
      <w:r>
        <w:rPr>
          <w:noProof/>
        </w:rPr>
        <w:t>Многогодишният план за риболова на запасите от дънни видове в западната част на Средиземно море бе установен с Регламент (ЕС) 2019/1022 на Европейския парламент и на Съвета</w:t>
      </w:r>
      <w:r>
        <w:rPr>
          <w:rStyle w:val="FootnoteReference"/>
          <w:noProof/>
        </w:rPr>
        <w:footnoteReference w:id="8"/>
      </w:r>
      <w:r>
        <w:rPr>
          <w:noProof/>
        </w:rPr>
        <w:t xml:space="preserve"> и влезе в сила на 16 юли 2019 г. Съгласно член 4, параграф 1 от посочения регламент възможностите за риболов на запасите, посочени в член 1 от него, следва да бъдат определени, така че да се постигне смъртност от риболов на равнището на максималния устойчив улов (МУУ) постепенно и поетапно до 2020 г., доколкото е възможно, и най-късно до 1 януари 2025 г. Възможностите за риболов следва да бъдат изразени като общо допустимо риболовно усилие и да бъдат определени в съответствие с режима на риболовното усилие, установен в член 7 от Регламент (ЕС) 2019/1022. Поради това общото допустимо риболовно усилие следва да бъде намалено с 10 % спрямо изходното равнище, определено в съответствие с член 7, параграф 4 от посочения регламент.</w:t>
      </w:r>
    </w:p>
    <w:p>
      <w:pPr>
        <w:pStyle w:val="ManualConsidrant"/>
        <w:rPr>
          <w:noProof/>
        </w:rPr>
      </w:pPr>
      <w:r>
        <w:t>(6)</w:t>
      </w:r>
      <w:r>
        <w:tab/>
      </w:r>
      <w:r>
        <w:rPr>
          <w:noProof/>
        </w:rPr>
        <w:t>На 42-рото си годишно заседание през 2018 г. Генералната комисия по рибарство за Средиземно море (GFCM) прие Препоръка GFCM/42/2018/1 за определяне на мерки за управление на европейска змиорка (</w:t>
      </w:r>
      <w:r>
        <w:rPr>
          <w:i/>
          <w:noProof/>
        </w:rPr>
        <w:t>Anguilla anguilla L</w:t>
      </w:r>
      <w:r>
        <w:rPr>
          <w:noProof/>
        </w:rPr>
        <w:t>.) в Средиземно море (географски подзони 1—27 на GFCM). Тези мерки предвиждат годишен период на забрана от три последователни месеца, който да бъде определен от всяка отделна държава членка в съответствие с целите за опазване на Регламент (ЕО) № 1100/2007</w:t>
      </w:r>
      <w:r>
        <w:rPr>
          <w:rStyle w:val="FootnoteReference"/>
          <w:noProof/>
        </w:rPr>
        <w:footnoteReference w:id="9"/>
      </w:r>
      <w:r>
        <w:rPr>
          <w:noProof/>
        </w:rPr>
        <w:t>, националния(ите) план(ове) за управление за европейската змиорка и времевите миграционни модели на европейската змиорка в държавата членка. В съответствие с препоръката забраната се прилага за всички морски води на Средиземно море и за водите с ниска соленост, като устията, крайбрежните лагуни и преходните води. Тази мярка следва да се въведе в правото на Съюза.</w:t>
      </w:r>
    </w:p>
    <w:p>
      <w:pPr>
        <w:pStyle w:val="ManualConsidrant"/>
        <w:rPr>
          <w:noProof/>
        </w:rPr>
      </w:pPr>
      <w:r>
        <w:t>(7)</w:t>
      </w:r>
      <w:r>
        <w:tab/>
      </w:r>
      <w:r>
        <w:rPr>
          <w:noProof/>
        </w:rPr>
        <w:t>На 42-рото си годишно заседание през 2018 г. GFCM прие също така Препоръка GFCM/42/2018/8, която предвижда ограничения на улова и на риболовното усилие за дребни пелагични видове за 2019 г., 2020 г. и 2021 г. в географските подзони 17 и 18 на GFCM (Адриатическо море). Тези мерки следва да се въведат в правото на Съюза. Максималните ограничения на улова се определят само за една година и без да се засягат други евентуални мерки, които ще се приемат в бъдеще, както и евентуална схема за разпределение между държавите членки.</w:t>
      </w:r>
    </w:p>
    <w:p>
      <w:pPr>
        <w:pStyle w:val="ManualConsidrant"/>
        <w:rPr>
          <w:noProof/>
        </w:rPr>
      </w:pPr>
      <w:r>
        <w:t>(8)</w:t>
      </w:r>
      <w:r>
        <w:tab/>
      </w:r>
      <w:r>
        <w:rPr>
          <w:noProof/>
        </w:rPr>
        <w:t>На 43-тото си годишно заседание през 2019 г. GFCM прие Препоръка GFCM/43/2019/хх за установяване на мерки за управление на запасите от дънни видове в географските подзони 17 и 18 на GFCM (Адриатическо море), с които бе въведен режим на риболовното усилие за някои запаси от дънни видове. Тези мерки следва да се въведат в правото на Съюза.</w:t>
      </w:r>
    </w:p>
    <w:p>
      <w:pPr>
        <w:ind w:left="709"/>
        <w:rPr>
          <w:noProof/>
        </w:rPr>
      </w:pPr>
      <w:r>
        <w:rPr>
          <w:noProof/>
        </w:rPr>
        <w:t>[</w:t>
      </w:r>
      <w:r>
        <w:rPr>
          <w:i/>
          <w:noProof/>
        </w:rPr>
        <w:t>Съображението, както и съответните разпоредби и приложения, ще бъдат актуализирани след годишното заседание</w:t>
      </w:r>
      <w:r>
        <w:rPr>
          <w:noProof/>
        </w:rPr>
        <w:t>.]</w:t>
      </w:r>
    </w:p>
    <w:p>
      <w:pPr>
        <w:pStyle w:val="ManualConsidrant"/>
        <w:rPr>
          <w:noProof/>
        </w:rPr>
      </w:pPr>
      <w:r>
        <w:t>(9)</w:t>
      </w:r>
      <w:r>
        <w:tab/>
      </w:r>
      <w:r>
        <w:rPr>
          <w:noProof/>
        </w:rPr>
        <w:t>Предвид особеностите на словенския флот и неговото незначително въздействие върху запасите от дребни пелагични видове и дънни видове, е целесъобразно да се запазят съществуващите риболовни модели и на словенския флот да се гарантира достъпът до минимално количество дребни пелагични видове, както и минимална квота за риболовно усилие по отношение на запасите от дънни видове.</w:t>
      </w:r>
    </w:p>
    <w:p>
      <w:pPr>
        <w:pStyle w:val="ManualConsidrant"/>
        <w:rPr>
          <w:noProof/>
        </w:rPr>
      </w:pPr>
      <w:r>
        <w:t>(10)</w:t>
      </w:r>
      <w:r>
        <w:tab/>
      </w:r>
      <w:r>
        <w:rPr>
          <w:noProof/>
        </w:rPr>
        <w:t>На 43-тото си годишно заседание през 2019 г. GFCM прие Препоръка GFCM/43/2019/хх за изменение на Препоръка GFCM/41/2017/4 относно многогодишен план за управление на риболова на калкан в Черно море (географска подзона 29 на GFCM). Със споменатата препоръка се въвеждат актуализиран регионален общ допустим улов (ОДУ) и схема за разпределение на квотите за калкан, както и други мерки за опазване на този запас, по-специално двумесечен период на забрана на риболова и ограничение на риболовните дни до 180 на година. Тези мерки следва да се въведат в правото на Съюза.</w:t>
      </w:r>
    </w:p>
    <w:p>
      <w:pPr>
        <w:ind w:left="709"/>
        <w:rPr>
          <w:noProof/>
        </w:rPr>
      </w:pPr>
      <w:r>
        <w:rPr>
          <w:noProof/>
        </w:rPr>
        <w:t>[</w:t>
      </w:r>
      <w:r>
        <w:rPr>
          <w:i/>
          <w:noProof/>
        </w:rPr>
        <w:t>Съображението, както и съответните разпоредби и приложения, ще бъдат актуализирани след годишното заседание</w:t>
      </w:r>
      <w:r>
        <w:rPr>
          <w:noProof/>
        </w:rPr>
        <w:t>.]</w:t>
      </w:r>
    </w:p>
    <w:p>
      <w:pPr>
        <w:pStyle w:val="ManualConsidrant"/>
        <w:rPr>
          <w:noProof/>
        </w:rPr>
      </w:pPr>
      <w:r>
        <w:t>(11)</w:t>
      </w:r>
      <w:r>
        <w:tab/>
      </w:r>
      <w:r>
        <w:rPr>
          <w:noProof/>
        </w:rPr>
        <w:t>В съответствие с предоставеното от GFCM научно становище е необходимо да се запази сегашното равнище на смъртност от риболов, за да се гарантира устойчивостта на запаса от цаца в Черно море. Поради това е целесъобразно да се продължи определянето на автономна квота за този запас.</w:t>
      </w:r>
    </w:p>
    <w:p>
      <w:pPr>
        <w:pStyle w:val="ManualConsidrant"/>
        <w:rPr>
          <w:noProof/>
        </w:rPr>
      </w:pPr>
      <w:r>
        <w:t>(12)</w:t>
      </w:r>
      <w:r>
        <w:tab/>
      </w:r>
      <w:r>
        <w:rPr>
          <w:noProof/>
        </w:rPr>
        <w:t>Възможностите за риболов следва да се определят въз основа на наличните научни становища, като бъдат отчетени биологичните и социално-икономическите фактори, и същевременно се гарантира справедливо третиране на различните сектори на риболова, както и въз основа на мненията, изразени при консултациите със заинтересованите страни.</w:t>
      </w:r>
    </w:p>
    <w:p>
      <w:pPr>
        <w:pStyle w:val="ManualConsidrant"/>
        <w:rPr>
          <w:noProof/>
        </w:rPr>
      </w:pPr>
      <w:r>
        <w:t>(13)</w:t>
      </w:r>
      <w:r>
        <w:tab/>
      </w:r>
      <w:r>
        <w:rPr>
          <w:noProof/>
        </w:rPr>
        <w:t>С Регламент (ЕО) № 847/96 на Съвета</w:t>
      </w:r>
      <w:r>
        <w:rPr>
          <w:rStyle w:val="FootnoteReference"/>
          <w:noProof/>
        </w:rPr>
        <w:footnoteReference w:id="10"/>
      </w:r>
      <w:r>
        <w:rPr>
          <w:noProof/>
        </w:rPr>
        <w:t xml:space="preserve"> бяха въведени допълнителни условия за годишното управление на ОДУ, включително — съгласно членове 3 и 4 от посочения регламент — разпоредби за гъвкавост по отношение на предпазния и аналитичния ОДУ. Съгласно член 2 от посочения регламент при определяне на равнищата на ОДУ Съветът решава за кои запаси не се прилага член 3 или 4 от същия регламент, по-специално въз основа на биологичното състояние на запасите. Наскоро с член 15, параграф 9 от Регламент (ЕС) № 1380/2013 беше въведен механизмът за гъвкавост по отношение на квотите в две последователни години за всички запаси, за които се прилага задължението за разтоварване. Поради това, с цел да се избегне прекомерната гъвкавост, която би накърнила принципа на разумната и отговорна експлоатация на морските биологични ресурси, би възпрепятствала постигането на целите на ОПОР и би влошила биологичното състояние на запасите, следва да се предвиди членове 3 и 4 от Регламент (ЕО) № 847/96 да се прилагат към аналитичните ОДУ само когато не се използва гъвкавостта по отношение на квотите в две последователни години, предвидена в член 15, параграф 9 от Регламент (ЕС) № 1380/2013.</w:t>
      </w:r>
    </w:p>
    <w:p>
      <w:pPr>
        <w:pStyle w:val="ManualConsidrant"/>
        <w:rPr>
          <w:noProof/>
        </w:rPr>
      </w:pPr>
      <w:r>
        <w:t>(14)</w:t>
      </w:r>
      <w:r>
        <w:tab/>
      </w:r>
      <w:r>
        <w:rPr>
          <w:noProof/>
        </w:rPr>
        <w:t>Използването на определените в настоящия регламент възможности за риболов, предоставени на риболовните кораби на Съюза, е уредено с Регламент (ЕО) № 1224/2009 на Съвета</w:t>
      </w:r>
      <w:r>
        <w:rPr>
          <w:rStyle w:val="FootnoteReference"/>
          <w:noProof/>
        </w:rPr>
        <w:footnoteReference w:id="11"/>
      </w:r>
      <w:r>
        <w:rPr>
          <w:noProof/>
        </w:rPr>
        <w:t>, и по-специално с членове 33 и 34 от него, които се отнасят до записването на улова и риболовното усилие и съобщаването на данни относно изчерпването на възможностите за риболов. Във връзка с това е необходимо да се определят кодовете, които да бъдат използвани от държавите членки при изпращането до Комисията на данни относно разтоварването на запасите, обхванати от настоящия регламент.</w:t>
      </w:r>
    </w:p>
    <w:p>
      <w:pPr>
        <w:pStyle w:val="ManualConsidrant"/>
        <w:rPr>
          <w:noProof/>
        </w:rPr>
      </w:pPr>
      <w:r>
        <w:t>(15)</w:t>
      </w:r>
      <w:r>
        <w:tab/>
      </w:r>
      <w:r>
        <w:rPr>
          <w:noProof/>
        </w:rPr>
        <w:t>С цел да се избегне прекъсването на риболовните дейности и да се осигури поминъкът на рибарите от Съюза настоящият регламент следва да се прилага от 1 януари 2020 г. От съображения за спешност настоящият регламент следва да влезе в сила веднага след публикуването му.</w:t>
      </w:r>
    </w:p>
    <w:p>
      <w:pPr>
        <w:pStyle w:val="ManualConsidrant"/>
        <w:rPr>
          <w:noProof/>
        </w:rPr>
      </w:pPr>
      <w:r>
        <w:t>(16)</w:t>
      </w:r>
      <w:r>
        <w:tab/>
      </w:r>
      <w:r>
        <w:rPr>
          <w:noProof/>
        </w:rPr>
        <w:t>Възможностите за риболов следва да се използват при пълно спазване на правото на Съюза,</w:t>
      </w:r>
    </w:p>
    <w:p>
      <w:pPr>
        <w:pStyle w:val="Formuledadoption"/>
        <w:rPr>
          <w:noProof/>
        </w:rPr>
      </w:pPr>
      <w:r>
        <w:rPr>
          <w:noProof/>
        </w:rPr>
        <w:t>ПРИЕ НАСТОЯЩИЯ РЕГЛАМЕНТ:</w:t>
      </w:r>
    </w:p>
    <w:p>
      <w:pPr>
        <w:pStyle w:val="ChapterTitle"/>
        <w:rPr>
          <w:noProof/>
        </w:rPr>
      </w:pPr>
      <w:r>
        <w:rPr>
          <w:noProof/>
        </w:rPr>
        <w:t>ДЯЛ I</w:t>
      </w:r>
      <w:r>
        <w:rPr>
          <w:noProof/>
        </w:rPr>
        <w:br/>
        <w:t>ОБЩИ РАЗПОРЕДБИ</w:t>
      </w:r>
    </w:p>
    <w:p>
      <w:pPr>
        <w:pStyle w:val="Titrearticle"/>
        <w:rPr>
          <w:b/>
          <w:i w:val="0"/>
          <w:noProof/>
        </w:rPr>
      </w:pPr>
      <w:r>
        <w:rPr>
          <w:noProof/>
        </w:rPr>
        <w:t>Член 1</w:t>
      </w:r>
      <w:r>
        <w:rPr>
          <w:noProof/>
        </w:rPr>
        <w:br/>
      </w:r>
      <w:r>
        <w:rPr>
          <w:b/>
          <w:i w:val="0"/>
          <w:noProof/>
        </w:rPr>
        <w:t>Предмет</w:t>
      </w:r>
      <w:r>
        <w:rPr>
          <w:b/>
          <w:i w:val="0"/>
          <w:noProof/>
        </w:rPr>
        <w:br/>
      </w:r>
    </w:p>
    <w:p>
      <w:pPr>
        <w:rPr>
          <w:noProof/>
        </w:rPr>
      </w:pPr>
      <w:r>
        <w:rPr>
          <w:noProof/>
        </w:rPr>
        <w:t>С настоящия регламент се определят за 2020 година възможностите за риболов в Средиземно море и Черно море за някои рибни запаси или групи рибни запаси.</w:t>
      </w:r>
    </w:p>
    <w:p>
      <w:pPr>
        <w:pStyle w:val="Titrearticle"/>
        <w:rPr>
          <w:noProof/>
        </w:rPr>
      </w:pPr>
      <w:r>
        <w:rPr>
          <w:noProof/>
        </w:rPr>
        <w:t>Член 2</w:t>
      </w:r>
      <w:r>
        <w:rPr>
          <w:noProof/>
        </w:rPr>
        <w:br/>
      </w:r>
      <w:r>
        <w:rPr>
          <w:b/>
          <w:i w:val="0"/>
          <w:noProof/>
        </w:rPr>
        <w:t>Обхват</w:t>
      </w:r>
      <w:r>
        <w:rPr>
          <w:b/>
          <w:i w:val="0"/>
          <w:noProof/>
        </w:rPr>
        <w:br/>
      </w:r>
    </w:p>
    <w:p>
      <w:pPr>
        <w:pStyle w:val="ManualNumPar1"/>
        <w:rPr>
          <w:noProof/>
        </w:rPr>
      </w:pPr>
      <w:r>
        <w:t>1.</w:t>
      </w:r>
      <w:r>
        <w:tab/>
      </w:r>
      <w:r>
        <w:rPr>
          <w:noProof/>
        </w:rPr>
        <w:t>Настоящият регламент се прилага по отношение на риболовните кораби на Съюза, използвани при риболова на следните рибни запаси:</w:t>
      </w:r>
    </w:p>
    <w:p>
      <w:pPr>
        <w:pStyle w:val="Point0"/>
        <w:rPr>
          <w:noProof/>
        </w:rPr>
      </w:pPr>
      <w:r>
        <w:rPr>
          <w:noProof/>
        </w:rPr>
        <w:t>а)</w:t>
      </w:r>
      <w:r>
        <w:rPr>
          <w:noProof/>
        </w:rPr>
        <w:tab/>
        <w:t>европейска змиорка (</w:t>
      </w:r>
      <w:r>
        <w:rPr>
          <w:i/>
          <w:noProof/>
        </w:rPr>
        <w:t>Anguilla anguilla L</w:t>
      </w:r>
      <w:r>
        <w:rPr>
          <w:noProof/>
        </w:rPr>
        <w:t>.) в Средиземно морe съгласно определението в член 4, буква б);</w:t>
      </w:r>
    </w:p>
    <w:p>
      <w:pPr>
        <w:pStyle w:val="Point0"/>
        <w:rPr>
          <w:noProof/>
        </w:rPr>
      </w:pPr>
      <w:r>
        <w:rPr>
          <w:noProof/>
        </w:rPr>
        <w:t>б)</w:t>
      </w:r>
      <w:r>
        <w:rPr>
          <w:noProof/>
        </w:rPr>
        <w:tab/>
        <w:t>синьо-червена скарида (</w:t>
      </w:r>
      <w:r>
        <w:rPr>
          <w:i/>
          <w:noProof/>
        </w:rPr>
        <w:t>Aristeus antennatus</w:t>
      </w:r>
      <w:r>
        <w:rPr>
          <w:noProof/>
        </w:rPr>
        <w:t>), океанска розова скарида (</w:t>
      </w:r>
      <w:r>
        <w:rPr>
          <w:i/>
          <w:noProof/>
        </w:rPr>
        <w:t>Parapenaeus longirostris</w:t>
      </w:r>
      <w:r>
        <w:rPr>
          <w:noProof/>
        </w:rPr>
        <w:t>), червена скарида (</w:t>
      </w:r>
      <w:r>
        <w:rPr>
          <w:i/>
          <w:noProof/>
        </w:rPr>
        <w:t>Aristaeomorpha foliacea</w:t>
      </w:r>
      <w:r>
        <w:rPr>
          <w:noProof/>
        </w:rPr>
        <w:t>), мерлуза (</w:t>
      </w:r>
      <w:r>
        <w:rPr>
          <w:i/>
          <w:noProof/>
        </w:rPr>
        <w:t>Merluccius merluccius</w:t>
      </w:r>
      <w:r>
        <w:rPr>
          <w:noProof/>
        </w:rPr>
        <w:t>), норвежки омар (</w:t>
      </w:r>
      <w:r>
        <w:rPr>
          <w:i/>
          <w:noProof/>
        </w:rPr>
        <w:t>Nephrops norvegicus</w:t>
      </w:r>
      <w:r>
        <w:rPr>
          <w:noProof/>
        </w:rPr>
        <w:t>) и барбуня (</w:t>
      </w:r>
      <w:r>
        <w:rPr>
          <w:i/>
          <w:noProof/>
        </w:rPr>
        <w:t>Mullus barbatus</w:t>
      </w:r>
      <w:r>
        <w:rPr>
          <w:noProof/>
        </w:rPr>
        <w:t>) в западната част на Средиземно море съгласно определението в член 4, буква в);</w:t>
      </w:r>
    </w:p>
    <w:p>
      <w:pPr>
        <w:pStyle w:val="Point0"/>
        <w:rPr>
          <w:noProof/>
        </w:rPr>
      </w:pPr>
      <w:r>
        <w:rPr>
          <w:noProof/>
        </w:rPr>
        <w:t>в)</w:t>
      </w:r>
      <w:r>
        <w:rPr>
          <w:noProof/>
        </w:rPr>
        <w:tab/>
        <w:t>хамсия (</w:t>
      </w:r>
      <w:r>
        <w:rPr>
          <w:i/>
          <w:noProof/>
        </w:rPr>
        <w:t>Engraulis encrasicolus</w:t>
      </w:r>
      <w:r>
        <w:rPr>
          <w:noProof/>
        </w:rPr>
        <w:t>) и средиземноморска сардина (</w:t>
      </w:r>
      <w:r>
        <w:rPr>
          <w:i/>
          <w:noProof/>
        </w:rPr>
        <w:t>Sardina pilchardus</w:t>
      </w:r>
      <w:r>
        <w:rPr>
          <w:noProof/>
        </w:rPr>
        <w:t>) в Адриатическо море съгласно определението в член 4, буква г);</w:t>
      </w:r>
    </w:p>
    <w:p>
      <w:pPr>
        <w:pStyle w:val="Point0"/>
        <w:rPr>
          <w:noProof/>
        </w:rPr>
      </w:pPr>
      <w:r>
        <w:rPr>
          <w:noProof/>
        </w:rPr>
        <w:t>г)</w:t>
      </w:r>
      <w:r>
        <w:rPr>
          <w:noProof/>
        </w:rPr>
        <w:tab/>
        <w:t>мерлуза (</w:t>
      </w:r>
      <w:r>
        <w:rPr>
          <w:i/>
          <w:noProof/>
        </w:rPr>
        <w:t>Merluccius merluccius</w:t>
      </w:r>
      <w:r>
        <w:rPr>
          <w:noProof/>
        </w:rPr>
        <w:t>), норвежки омар (</w:t>
      </w:r>
      <w:r>
        <w:rPr>
          <w:i/>
          <w:noProof/>
        </w:rPr>
        <w:t>Nephrops norvegicus</w:t>
      </w:r>
      <w:r>
        <w:rPr>
          <w:noProof/>
        </w:rPr>
        <w:t>), обикновен морски език (</w:t>
      </w:r>
      <w:r>
        <w:rPr>
          <w:i/>
          <w:noProof/>
        </w:rPr>
        <w:t>Solea solea)</w:t>
      </w:r>
      <w:r>
        <w:rPr>
          <w:noProof/>
        </w:rPr>
        <w:t>, океанска розова скарида (</w:t>
      </w:r>
      <w:r>
        <w:rPr>
          <w:i/>
          <w:noProof/>
        </w:rPr>
        <w:t>Parapenaeus longirostris</w:t>
      </w:r>
      <w:r>
        <w:rPr>
          <w:noProof/>
        </w:rPr>
        <w:t>) и барбуня (</w:t>
      </w:r>
      <w:r>
        <w:rPr>
          <w:i/>
          <w:noProof/>
        </w:rPr>
        <w:t>Mullus barbatus</w:t>
      </w:r>
      <w:r>
        <w:rPr>
          <w:noProof/>
        </w:rPr>
        <w:t>) в Адриатическо море съгласно определението в член 4, буква г);</w:t>
      </w:r>
    </w:p>
    <w:p>
      <w:pPr>
        <w:pStyle w:val="Point0"/>
        <w:rPr>
          <w:noProof/>
        </w:rPr>
      </w:pPr>
      <w:r>
        <w:rPr>
          <w:noProof/>
        </w:rPr>
        <w:t>д)</w:t>
      </w:r>
      <w:r>
        <w:rPr>
          <w:noProof/>
        </w:rPr>
        <w:tab/>
        <w:t>цаца (</w:t>
      </w:r>
      <w:r>
        <w:rPr>
          <w:i/>
          <w:noProof/>
        </w:rPr>
        <w:t>Sprattus sprattus</w:t>
      </w:r>
      <w:r>
        <w:rPr>
          <w:noProof/>
        </w:rPr>
        <w:t>) и калкан (</w:t>
      </w:r>
      <w:r>
        <w:rPr>
          <w:i/>
          <w:noProof/>
        </w:rPr>
        <w:t>Psetta maxima</w:t>
      </w:r>
      <w:r>
        <w:rPr>
          <w:noProof/>
        </w:rPr>
        <w:t>) в Черно море съгласно определението в член 4, буква д).</w:t>
      </w:r>
    </w:p>
    <w:p>
      <w:pPr>
        <w:pStyle w:val="ManualNumPar1"/>
        <w:rPr>
          <w:noProof/>
        </w:rPr>
      </w:pPr>
      <w:r>
        <w:t>2.</w:t>
      </w:r>
      <w:r>
        <w:tab/>
      </w:r>
      <w:r>
        <w:rPr>
          <w:noProof/>
        </w:rPr>
        <w:t>Настоящият регламент се прилага и по отношение на любителския риболов, когато той е изрично посочен в съответните разпоредби.</w:t>
      </w:r>
    </w:p>
    <w:p>
      <w:pPr>
        <w:pStyle w:val="Titrearticle"/>
        <w:rPr>
          <w:b/>
          <w:i w:val="0"/>
          <w:noProof/>
        </w:rPr>
      </w:pPr>
      <w:r>
        <w:rPr>
          <w:noProof/>
        </w:rPr>
        <w:t>Член 3</w:t>
      </w:r>
      <w:r>
        <w:rPr>
          <w:noProof/>
        </w:rPr>
        <w:br/>
      </w:r>
      <w:r>
        <w:rPr>
          <w:b/>
          <w:i w:val="0"/>
          <w:noProof/>
        </w:rPr>
        <w:t>Определения</w:t>
      </w:r>
      <w:r>
        <w:rPr>
          <w:b/>
          <w:i w:val="0"/>
          <w:noProof/>
        </w:rPr>
        <w:br/>
      </w:r>
    </w:p>
    <w:p>
      <w:pPr>
        <w:rPr>
          <w:noProof/>
        </w:rPr>
      </w:pPr>
      <w:r>
        <w:rPr>
          <w:noProof/>
        </w:rPr>
        <w:t>За целите на настоящия регламент се прилагат определенията, формулирани в член 4 от Регламент (ЕС) № 1380/2013. Освен това се прилагат следните определения:</w:t>
      </w:r>
    </w:p>
    <w:p>
      <w:pPr>
        <w:pStyle w:val="Point0"/>
        <w:rPr>
          <w:noProof/>
        </w:rPr>
      </w:pPr>
      <w:r>
        <w:rPr>
          <w:noProof/>
        </w:rPr>
        <w:t>а)</w:t>
      </w:r>
      <w:r>
        <w:rPr>
          <w:noProof/>
        </w:rPr>
        <w:tab/>
        <w:t>„международни води“ означава водите извън суверенитета или юрисдикцията на която и да е държава;</w:t>
      </w:r>
    </w:p>
    <w:p>
      <w:pPr>
        <w:pStyle w:val="Point0"/>
        <w:rPr>
          <w:noProof/>
        </w:rPr>
      </w:pPr>
      <w:r>
        <w:rPr>
          <w:noProof/>
        </w:rPr>
        <w:t>б)</w:t>
      </w:r>
      <w:r>
        <w:rPr>
          <w:noProof/>
        </w:rPr>
        <w:tab/>
        <w:t>„любителски риболов“ означава риболовни дейности с нетърговска цел, използващи живи морски ресурси за развлечение, туризъм или спорт;</w:t>
      </w:r>
    </w:p>
    <w:p>
      <w:pPr>
        <w:pStyle w:val="Point0"/>
        <w:rPr>
          <w:noProof/>
        </w:rPr>
      </w:pPr>
      <w:r>
        <w:rPr>
          <w:noProof/>
        </w:rPr>
        <w:t>в)</w:t>
      </w:r>
      <w:r>
        <w:rPr>
          <w:noProof/>
        </w:rPr>
        <w:tab/>
        <w:t>„общ допустим улов“ (ОДУ) означава:</w:t>
      </w:r>
    </w:p>
    <w:p>
      <w:pPr>
        <w:pStyle w:val="Point2"/>
        <w:rPr>
          <w:noProof/>
        </w:rPr>
      </w:pPr>
      <w:r>
        <w:rPr>
          <w:noProof/>
        </w:rPr>
        <w:t>i)</w:t>
      </w:r>
      <w:r>
        <w:rPr>
          <w:noProof/>
        </w:rPr>
        <w:tab/>
        <w:t>при видовете риболов, спрямо които се прилага изключението от задължението за разтоварване по член 15, параграфи 4—7 от Регламент (ЕС) № 1380/2013 — количеството риба от всеки запас, което може да се разтоварва всяка година;</w:t>
      </w:r>
    </w:p>
    <w:p>
      <w:pPr>
        <w:pStyle w:val="Point2"/>
        <w:rPr>
          <w:noProof/>
        </w:rPr>
      </w:pPr>
      <w:r>
        <w:rPr>
          <w:noProof/>
        </w:rPr>
        <w:t>ii)</w:t>
      </w:r>
      <w:r>
        <w:rPr>
          <w:noProof/>
        </w:rPr>
        <w:tab/>
        <w:t>при всички други видове риболов — количеството риба от всеки запас, което може да се улови в рамките на една година;</w:t>
      </w:r>
    </w:p>
    <w:p>
      <w:pPr>
        <w:pStyle w:val="Point0"/>
        <w:rPr>
          <w:noProof/>
        </w:rPr>
      </w:pPr>
      <w:r>
        <w:rPr>
          <w:noProof/>
        </w:rPr>
        <w:t>г)</w:t>
      </w:r>
      <w:r>
        <w:rPr>
          <w:noProof/>
        </w:rPr>
        <w:tab/>
        <w:t>„квота“ означава дял от ОДУ, разпределен на Съюза или на държава членка;</w:t>
      </w:r>
    </w:p>
    <w:p>
      <w:pPr>
        <w:pStyle w:val="Point0"/>
        <w:rPr>
          <w:noProof/>
        </w:rPr>
      </w:pPr>
      <w:r>
        <w:rPr>
          <w:noProof/>
        </w:rPr>
        <w:t>д)</w:t>
      </w:r>
      <w:r>
        <w:rPr>
          <w:noProof/>
        </w:rPr>
        <w:tab/>
        <w:t>„автономна квота на Съюза“ означава ограничение на улова, разпределено автономно на риболовните кораби на Съюза при липсата на договорен ОДУ;</w:t>
      </w:r>
    </w:p>
    <w:p>
      <w:pPr>
        <w:pStyle w:val="Point0"/>
        <w:rPr>
          <w:noProof/>
        </w:rPr>
      </w:pPr>
      <w:r>
        <w:rPr>
          <w:noProof/>
        </w:rPr>
        <w:t>е)</w:t>
      </w:r>
      <w:r>
        <w:rPr>
          <w:noProof/>
        </w:rPr>
        <w:tab/>
        <w:t>„аналитична квота“ означава автономна квота на Съюза, за която е налице аналитична оценка;</w:t>
      </w:r>
    </w:p>
    <w:p>
      <w:pPr>
        <w:pStyle w:val="Point0"/>
        <w:rPr>
          <w:noProof/>
        </w:rPr>
      </w:pPr>
      <w:r>
        <w:rPr>
          <w:noProof/>
        </w:rPr>
        <w:t>ж)</w:t>
      </w:r>
      <w:r>
        <w:rPr>
          <w:noProof/>
        </w:rPr>
        <w:tab/>
        <w:t>„аналитична оценка“ означава количествена оценка на тенденциите за даден запас въз основа на данни за биологичните характеристики и експлоатацията на запаса, за които в резултата на научен преглед е установено, че са с достатъчно добро качество за осигуряване на научно становище относно възможностите за бъдещ улов;</w:t>
      </w:r>
    </w:p>
    <w:p>
      <w:pPr>
        <w:pStyle w:val="Titrearticle"/>
        <w:rPr>
          <w:b/>
          <w:i w:val="0"/>
          <w:noProof/>
        </w:rPr>
      </w:pPr>
      <w:r>
        <w:rPr>
          <w:noProof/>
        </w:rPr>
        <w:t>Член 4</w:t>
      </w:r>
      <w:r>
        <w:rPr>
          <w:noProof/>
        </w:rPr>
        <w:br/>
      </w:r>
      <w:r>
        <w:rPr>
          <w:b/>
          <w:i w:val="0"/>
          <w:noProof/>
        </w:rPr>
        <w:t>Риболовни зони</w:t>
      </w:r>
    </w:p>
    <w:p>
      <w:pPr>
        <w:rPr>
          <w:noProof/>
        </w:rPr>
      </w:pPr>
      <w:r>
        <w:rPr>
          <w:noProof/>
        </w:rPr>
        <w:t>За целите на настоящия регламент се прилагат следните определения на зони:</w:t>
      </w:r>
    </w:p>
    <w:p>
      <w:pPr>
        <w:pStyle w:val="Point0"/>
        <w:rPr>
          <w:noProof/>
        </w:rPr>
      </w:pPr>
      <w:r>
        <w:rPr>
          <w:noProof/>
        </w:rPr>
        <w:t>а)</w:t>
      </w:r>
      <w:r>
        <w:rPr>
          <w:noProof/>
        </w:rPr>
        <w:tab/>
        <w:t>„географски подзони на GFCM (Генерална комисия по рибарство за Средиземно море)“ означава зоните, определени в приложение I към Регламент (ЕС) № 1343/2011 на Европейския парламент и на Съвета</w:t>
      </w:r>
      <w:r>
        <w:rPr>
          <w:rStyle w:val="FootnoteReference"/>
          <w:noProof/>
        </w:rPr>
        <w:footnoteReference w:id="12"/>
      </w:r>
      <w:r>
        <w:rPr>
          <w:noProof/>
        </w:rPr>
        <w:t>;</w:t>
      </w:r>
    </w:p>
    <w:p>
      <w:pPr>
        <w:pStyle w:val="Point0"/>
        <w:rPr>
          <w:noProof/>
        </w:rPr>
      </w:pPr>
      <w:r>
        <w:rPr>
          <w:noProof/>
        </w:rPr>
        <w:t>б)</w:t>
      </w:r>
      <w:r>
        <w:rPr>
          <w:noProof/>
        </w:rPr>
        <w:tab/>
        <w:t>„Средиземно море“ означава водите в географските подзони 1—27 на GFCM, определени в приложение I към Регламент (ЕС) № 1343/2011;</w:t>
      </w:r>
    </w:p>
    <w:p>
      <w:pPr>
        <w:pStyle w:val="Point0"/>
        <w:rPr>
          <w:noProof/>
        </w:rPr>
      </w:pPr>
      <w:r>
        <w:rPr>
          <w:noProof/>
        </w:rPr>
        <w:t>в)</w:t>
      </w:r>
      <w:r>
        <w:rPr>
          <w:noProof/>
        </w:rPr>
        <w:tab/>
        <w:t>„западната част на Средиземно море“ означава водите на географските подзони 1, 2, 5, 6, 7, 8, 9, 10 и 11 на GFCM, определени в приложение I към Регламент (ЕС) № 1343/2011;</w:t>
      </w:r>
    </w:p>
    <w:p>
      <w:pPr>
        <w:pStyle w:val="Point0"/>
        <w:rPr>
          <w:noProof/>
        </w:rPr>
      </w:pPr>
      <w:r>
        <w:rPr>
          <w:noProof/>
        </w:rPr>
        <w:t>г)</w:t>
      </w:r>
      <w:r>
        <w:rPr>
          <w:noProof/>
        </w:rPr>
        <w:tab/>
        <w:t>„Адриатическо море“ означава водите на географските подзони 17 и 18 на GFCM, определени в приложение I към Регламент (ЕС) № 1343/2011;</w:t>
      </w:r>
    </w:p>
    <w:p>
      <w:pPr>
        <w:pStyle w:val="Point0"/>
        <w:rPr>
          <w:noProof/>
        </w:rPr>
      </w:pPr>
      <w:r>
        <w:rPr>
          <w:noProof/>
        </w:rPr>
        <w:t>д)</w:t>
      </w:r>
      <w:r>
        <w:rPr>
          <w:noProof/>
        </w:rPr>
        <w:tab/>
        <w:t>„Черно море“ означава водите в географската подзона 29 на GFCM, определена в приложение I към Регламент (ЕС) № 1343/2011.</w:t>
      </w:r>
    </w:p>
    <w:p>
      <w:pPr>
        <w:rPr>
          <w:noProof/>
        </w:rPr>
      </w:pPr>
    </w:p>
    <w:p>
      <w:pPr>
        <w:pStyle w:val="ChapterTitle"/>
        <w:rPr>
          <w:noProof/>
        </w:rPr>
      </w:pPr>
      <w:r>
        <w:rPr>
          <w:noProof/>
        </w:rPr>
        <w:t>ДЯЛ II</w:t>
      </w:r>
    </w:p>
    <w:p>
      <w:pPr>
        <w:pStyle w:val="ChapterTitle"/>
        <w:rPr>
          <w:noProof/>
        </w:rPr>
      </w:pPr>
      <w:r>
        <w:rPr>
          <w:noProof/>
        </w:rPr>
        <w:t>ВЪЗМОЖНОСТИ ЗА РИБОЛОВ</w:t>
      </w:r>
    </w:p>
    <w:p>
      <w:pPr>
        <w:pStyle w:val="ChapterTitle"/>
        <w:rPr>
          <w:noProof/>
          <w:highlight w:val="yellow"/>
        </w:rPr>
      </w:pPr>
      <w:r>
        <w:rPr>
          <w:noProof/>
        </w:rPr>
        <w:t>ГЛАВА I</w:t>
      </w:r>
    </w:p>
    <w:p>
      <w:pPr>
        <w:pStyle w:val="ChapterTitle"/>
        <w:rPr>
          <w:noProof/>
        </w:rPr>
      </w:pPr>
      <w:r>
        <w:rPr>
          <w:noProof/>
        </w:rPr>
        <w:t>Средиземно море</w:t>
      </w:r>
    </w:p>
    <w:p>
      <w:pPr>
        <w:pStyle w:val="Titrearticle"/>
        <w:rPr>
          <w:b/>
          <w:i w:val="0"/>
          <w:noProof/>
        </w:rPr>
      </w:pPr>
      <w:r>
        <w:rPr>
          <w:noProof/>
        </w:rPr>
        <w:t>Член 5</w:t>
      </w:r>
      <w:r>
        <w:rPr>
          <w:noProof/>
        </w:rPr>
        <w:br/>
      </w:r>
      <w:r>
        <w:rPr>
          <w:b/>
          <w:i w:val="0"/>
          <w:noProof/>
        </w:rPr>
        <w:t>Европейска змиорка</w:t>
      </w:r>
      <w:r>
        <w:rPr>
          <w:b/>
          <w:i w:val="0"/>
          <w:noProof/>
        </w:rPr>
        <w:br/>
      </w:r>
    </w:p>
    <w:p>
      <w:pPr>
        <w:pStyle w:val="ManualNumPar1"/>
        <w:rPr>
          <w:noProof/>
        </w:rPr>
      </w:pPr>
      <w:r>
        <w:rPr>
          <w:noProof/>
        </w:rPr>
        <w:t xml:space="preserve">1. </w:t>
      </w:r>
      <w:r>
        <w:rPr>
          <w:noProof/>
        </w:rPr>
        <w:tab/>
        <w:t>Всички дейности на риболовни кораби на Съюза, както и други риболовни дейности на Съюза за улов на европейска змиорка (</w:t>
      </w:r>
      <w:r>
        <w:rPr>
          <w:i/>
          <w:noProof/>
        </w:rPr>
        <w:t>Anguilla anguilla L</w:t>
      </w:r>
      <w:r>
        <w:rPr>
          <w:noProof/>
        </w:rPr>
        <w:t>.), по-точно целеви, случаен и любителски риболов, се уреждат с разпоредбите на настоящия член.</w:t>
      </w:r>
    </w:p>
    <w:p>
      <w:pPr>
        <w:pStyle w:val="ManualNumPar2"/>
        <w:rPr>
          <w:noProof/>
        </w:rPr>
      </w:pPr>
      <w:r>
        <w:rPr>
          <w:noProof/>
        </w:rPr>
        <w:t xml:space="preserve">2. </w:t>
      </w:r>
      <w:r>
        <w:rPr>
          <w:noProof/>
        </w:rPr>
        <w:tab/>
        <w:t>Настоящият член се прилага за Средиземно море и за водите с ниска соленост, като устия, крайбрежни лагуни и преходни води.</w:t>
      </w:r>
    </w:p>
    <w:p>
      <w:pPr>
        <w:pStyle w:val="ManualNumPar3"/>
        <w:rPr>
          <w:noProof/>
        </w:rPr>
      </w:pPr>
      <w:r>
        <w:rPr>
          <w:noProof/>
        </w:rPr>
        <w:t xml:space="preserve">3. </w:t>
      </w:r>
      <w:r>
        <w:rPr>
          <w:noProof/>
        </w:rPr>
        <w:tab/>
        <w:t>На риболовните кораби на Съюза се забранява риболовът на европейска змиорка във води на Съюза и международни води в Средиземно море за период от три последователни месеца, който се определя от всяка държава членка. Периодът на забрана за риболов е съобразен с целите за опазване, определени в Регламент (ЕО) № 1100/2007</w:t>
      </w:r>
      <w:r>
        <w:rPr>
          <w:rStyle w:val="FootnoteReference"/>
          <w:noProof/>
        </w:rPr>
        <w:footnoteReference w:id="13"/>
      </w:r>
      <w:r>
        <w:rPr>
          <w:noProof/>
        </w:rPr>
        <w:t>, с действащите национални планове за управление и с времевите миграционни модели на европейската змиорка в съответните държави членки. Държавите членки съобщават на Комисията определения от тях период най-късно един месец преди влизането в сила на забраната и във всички случаи не по-късно от 31 януари 2020 г.</w:t>
      </w:r>
    </w:p>
    <w:p>
      <w:pPr>
        <w:pStyle w:val="Titrearticle"/>
        <w:rPr>
          <w:noProof/>
        </w:rPr>
      </w:pPr>
      <w:r>
        <w:rPr>
          <w:noProof/>
        </w:rPr>
        <w:br/>
      </w:r>
    </w:p>
    <w:p>
      <w:pPr>
        <w:pStyle w:val="ChapterTitle"/>
        <w:rPr>
          <w:noProof/>
        </w:rPr>
      </w:pPr>
      <w:r>
        <w:rPr>
          <w:noProof/>
        </w:rPr>
        <w:t>ГЛАВА II</w:t>
      </w:r>
      <w:r>
        <w:rPr>
          <w:i/>
          <w:noProof/>
          <w:highlight w:val="yellow"/>
        </w:rPr>
        <w:t xml:space="preserve"> </w:t>
      </w:r>
    </w:p>
    <w:p>
      <w:pPr>
        <w:pStyle w:val="ChapterTitle"/>
        <w:rPr>
          <w:noProof/>
        </w:rPr>
      </w:pPr>
      <w:r>
        <w:rPr>
          <w:noProof/>
        </w:rPr>
        <w:t>Западна част на Средиземно море</w:t>
      </w:r>
    </w:p>
    <w:p>
      <w:pPr>
        <w:pStyle w:val="Titrearticle"/>
        <w:rPr>
          <w:b/>
          <w:i w:val="0"/>
          <w:noProof/>
        </w:rPr>
      </w:pPr>
      <w:r>
        <w:rPr>
          <w:noProof/>
        </w:rPr>
        <w:t>Член 6</w:t>
      </w:r>
      <w:r>
        <w:rPr>
          <w:noProof/>
        </w:rPr>
        <w:br/>
      </w:r>
      <w:r>
        <w:rPr>
          <w:b/>
          <w:i w:val="0"/>
          <w:noProof/>
        </w:rPr>
        <w:t>Запаси от дънни видове</w:t>
      </w:r>
      <w:r>
        <w:rPr>
          <w:b/>
          <w:i w:val="0"/>
          <w:noProof/>
        </w:rPr>
        <w:br/>
      </w:r>
    </w:p>
    <w:p>
      <w:pPr>
        <w:pStyle w:val="ManualNumPar1"/>
        <w:rPr>
          <w:noProof/>
        </w:rPr>
      </w:pPr>
      <w:r>
        <w:t>1.</w:t>
      </w:r>
      <w:r>
        <w:tab/>
      </w:r>
      <w:r>
        <w:rPr>
          <w:noProof/>
        </w:rPr>
        <w:t>Общото допустимо риболовно усилие за запасите от дънни видове в западната част на Средиземно море за 2020 година е определено в приложение I към настоящия регламент.</w:t>
      </w:r>
    </w:p>
    <w:p>
      <w:pPr>
        <w:pStyle w:val="ManualNumPar1"/>
        <w:rPr>
          <w:noProof/>
        </w:rPr>
      </w:pPr>
      <w:r>
        <w:t>2.</w:t>
      </w:r>
      <w:r>
        <w:tab/>
      </w:r>
      <w:r>
        <w:rPr>
          <w:noProof/>
        </w:rPr>
        <w:t>Държавите членки управляват общото допустимо риболовно усилие в съответствие с член 9 от Регламент (ЕС) 2019/1022.</w:t>
      </w:r>
    </w:p>
    <w:p>
      <w:pPr>
        <w:pStyle w:val="Titrearticle"/>
        <w:rPr>
          <w:b/>
          <w:i w:val="0"/>
          <w:noProof/>
        </w:rPr>
      </w:pPr>
      <w:r>
        <w:rPr>
          <w:noProof/>
        </w:rPr>
        <w:t>Член 7</w:t>
      </w:r>
      <w:r>
        <w:rPr>
          <w:noProof/>
        </w:rPr>
        <w:br/>
      </w:r>
      <w:r>
        <w:rPr>
          <w:b/>
          <w:i w:val="0"/>
          <w:noProof/>
        </w:rPr>
        <w:t>Предаване на данни</w:t>
      </w:r>
      <w:r>
        <w:rPr>
          <w:b/>
          <w:i w:val="0"/>
          <w:noProof/>
        </w:rPr>
        <w:br/>
      </w:r>
    </w:p>
    <w:p>
      <w:pPr>
        <w:rPr>
          <w:noProof/>
        </w:rPr>
      </w:pPr>
      <w:r>
        <w:rPr>
          <w:noProof/>
        </w:rPr>
        <w:t>Държавите членки записват и предават на Комисията данните за риболовното усилие в съответствие с член 10 от Регламент (ЕС) 2019/1022.</w:t>
      </w:r>
    </w:p>
    <w:p>
      <w:pPr>
        <w:rPr>
          <w:noProof/>
        </w:rPr>
      </w:pPr>
      <w:r>
        <w:rPr>
          <w:noProof/>
        </w:rPr>
        <w:t>Когато държавите членки изпращат на Комисията данни за риболовното усилие съгласно настоящия член, те използват кодовете на групите за целите на риболовното усилие, посочени в приложение I към настоящия регламент.</w:t>
      </w:r>
    </w:p>
    <w:p>
      <w:pPr>
        <w:pStyle w:val="ManualNumPar3"/>
        <w:rPr>
          <w:noProof/>
        </w:rPr>
      </w:pPr>
    </w:p>
    <w:p>
      <w:pPr>
        <w:rPr>
          <w:noProof/>
        </w:rPr>
      </w:pPr>
    </w:p>
    <w:p>
      <w:pPr>
        <w:pStyle w:val="ChapterTitle"/>
        <w:rPr>
          <w:noProof/>
        </w:rPr>
      </w:pPr>
      <w:r>
        <w:rPr>
          <w:noProof/>
        </w:rPr>
        <w:t>ГЛАВА III</w:t>
      </w:r>
      <w:r>
        <w:rPr>
          <w:noProof/>
        </w:rPr>
        <w:br/>
      </w:r>
      <w:r>
        <w:rPr>
          <w:noProof/>
        </w:rPr>
        <w:br/>
        <w:t>Адриатическо море</w:t>
      </w:r>
    </w:p>
    <w:p>
      <w:pPr>
        <w:pStyle w:val="Titrearticle"/>
        <w:rPr>
          <w:noProof/>
        </w:rPr>
      </w:pPr>
      <w:r>
        <w:rPr>
          <w:noProof/>
        </w:rPr>
        <w:t>Член 8</w:t>
      </w:r>
      <w:r>
        <w:rPr>
          <w:noProof/>
        </w:rPr>
        <w:br/>
      </w:r>
      <w:r>
        <w:rPr>
          <w:b/>
          <w:i w:val="0"/>
          <w:noProof/>
        </w:rPr>
        <w:t>Запаси от дребни пелагични видове</w:t>
      </w:r>
      <w:r>
        <w:rPr>
          <w:b/>
          <w:i w:val="0"/>
          <w:noProof/>
        </w:rPr>
        <w:br/>
      </w:r>
    </w:p>
    <w:p>
      <w:pPr>
        <w:pStyle w:val="ManualNumPar1"/>
        <w:rPr>
          <w:noProof/>
        </w:rPr>
      </w:pPr>
      <w:r>
        <w:rPr>
          <w:noProof/>
        </w:rPr>
        <w:t xml:space="preserve">1. </w:t>
      </w:r>
      <w:r>
        <w:rPr>
          <w:noProof/>
        </w:rPr>
        <w:tab/>
        <w:t>Уловът на средиземноморска сардина (</w:t>
      </w:r>
      <w:r>
        <w:rPr>
          <w:i/>
          <w:noProof/>
        </w:rPr>
        <w:t>Sardina pilchardus</w:t>
      </w:r>
      <w:r>
        <w:rPr>
          <w:noProof/>
        </w:rPr>
        <w:t>) и хамсия (</w:t>
      </w:r>
      <w:r>
        <w:rPr>
          <w:i/>
          <w:noProof/>
        </w:rPr>
        <w:t>Engraulis encrasicolus</w:t>
      </w:r>
      <w:r>
        <w:rPr>
          <w:noProof/>
        </w:rPr>
        <w:t>) от риболовни кораби на Съюза в Адриатическо море не може да надхвърля равнищата, определени в приложение IІ към настоящия регламент.</w:t>
      </w:r>
    </w:p>
    <w:p>
      <w:pPr>
        <w:pStyle w:val="ManualNumPar2"/>
        <w:rPr>
          <w:noProof/>
        </w:rPr>
      </w:pPr>
      <w:r>
        <w:rPr>
          <w:noProof/>
        </w:rPr>
        <w:t xml:space="preserve">2. </w:t>
      </w:r>
      <w:r>
        <w:rPr>
          <w:noProof/>
        </w:rPr>
        <w:tab/>
        <w:t>Корабите на Съюза, извършващи риболов на средиземноморска сардина и хамсия в Адриатическо море, разполагат с не повече от 180 риболовни дни годишно. В рамките на този общ брой от 180 риболовни дни максималният брой риболовни дни за целеви улов на сардина е 144, а за целеви улов на хамсия — също 144.</w:t>
      </w:r>
    </w:p>
    <w:p>
      <w:pPr>
        <w:pStyle w:val="Titrearticle"/>
        <w:rPr>
          <w:b/>
          <w:i w:val="0"/>
          <w:noProof/>
        </w:rPr>
      </w:pPr>
      <w:r>
        <w:rPr>
          <w:noProof/>
        </w:rPr>
        <w:t>Член 9</w:t>
      </w:r>
      <w:r>
        <w:rPr>
          <w:noProof/>
        </w:rPr>
        <w:br/>
      </w:r>
      <w:r>
        <w:rPr>
          <w:b/>
          <w:i w:val="0"/>
          <w:noProof/>
        </w:rPr>
        <w:t>Запаси от дънни видове</w:t>
      </w:r>
      <w:r>
        <w:rPr>
          <w:b/>
          <w:i w:val="0"/>
          <w:noProof/>
        </w:rPr>
        <w:br/>
      </w:r>
    </w:p>
    <w:p>
      <w:pPr>
        <w:pStyle w:val="ManualNumPar1"/>
        <w:rPr>
          <w:noProof/>
        </w:rPr>
      </w:pPr>
      <w:r>
        <w:t>1.</w:t>
      </w:r>
      <w:r>
        <w:tab/>
      </w:r>
      <w:r>
        <w:rPr>
          <w:noProof/>
        </w:rPr>
        <w:t>Общото допустимо риболовно усилие за запасите от дънни видове в Адриатическо море за 2020 година е определено в приложение ІI.</w:t>
      </w:r>
    </w:p>
    <w:p>
      <w:pPr>
        <w:pStyle w:val="ManualNumPar1"/>
        <w:rPr>
          <w:noProof/>
        </w:rPr>
      </w:pPr>
      <w:r>
        <w:t>2.</w:t>
      </w:r>
      <w:r>
        <w:tab/>
      </w:r>
      <w:r>
        <w:rPr>
          <w:noProof/>
        </w:rPr>
        <w:t>Държавите членки управляват общото допустимо риболовно усилие в съответствие с членове 26—35 от Регламент (ЕО) № 1224/2009 на Съвета.</w:t>
      </w:r>
    </w:p>
    <w:p>
      <w:pPr>
        <w:rPr>
          <w:noProof/>
        </w:rPr>
      </w:pPr>
    </w:p>
    <w:p>
      <w:pPr>
        <w:pStyle w:val="Titrearticle"/>
        <w:rPr>
          <w:b/>
          <w:i w:val="0"/>
          <w:noProof/>
        </w:rPr>
      </w:pPr>
      <w:r>
        <w:rPr>
          <w:noProof/>
        </w:rPr>
        <w:t>Член 10</w:t>
      </w:r>
      <w:r>
        <w:rPr>
          <w:noProof/>
        </w:rPr>
        <w:br/>
      </w:r>
      <w:r>
        <w:rPr>
          <w:b/>
          <w:i w:val="0"/>
          <w:noProof/>
        </w:rPr>
        <w:t>Предаване на данни</w:t>
      </w:r>
    </w:p>
    <w:p>
      <w:pPr>
        <w:rPr>
          <w:noProof/>
        </w:rPr>
      </w:pPr>
      <w:r>
        <w:rPr>
          <w:noProof/>
        </w:rPr>
        <w:t>Когато съгласно членове 33 и 34 от Регламент (ЕО) № 1224/2009 държавите членки изпращат на Комисията данни относно разтоварването на улова по запаси, те използват кодовете на запасите, посочени в приложение ІI към настоящия регламент.</w:t>
      </w:r>
    </w:p>
    <w:p>
      <w:pPr>
        <w:rPr>
          <w:noProof/>
        </w:rPr>
      </w:pPr>
    </w:p>
    <w:p>
      <w:pPr>
        <w:pStyle w:val="ChapterTitle"/>
        <w:rPr>
          <w:noProof/>
        </w:rPr>
      </w:pPr>
      <w:r>
        <w:rPr>
          <w:noProof/>
        </w:rPr>
        <w:t>ГЛАВА IV</w:t>
      </w:r>
      <w:r>
        <w:rPr>
          <w:noProof/>
        </w:rPr>
        <w:br/>
      </w:r>
      <w:r>
        <w:rPr>
          <w:noProof/>
        </w:rPr>
        <w:br/>
        <w:t>Черно море</w:t>
      </w:r>
      <w:r>
        <w:rPr>
          <w:noProof/>
        </w:rPr>
        <w:br/>
      </w:r>
    </w:p>
    <w:p>
      <w:pPr>
        <w:pStyle w:val="Titrearticle"/>
        <w:rPr>
          <w:b/>
          <w:i w:val="0"/>
          <w:noProof/>
        </w:rPr>
      </w:pPr>
      <w:r>
        <w:rPr>
          <w:noProof/>
        </w:rPr>
        <w:t>Член 11</w:t>
      </w:r>
      <w:r>
        <w:rPr>
          <w:noProof/>
        </w:rPr>
        <w:br/>
      </w:r>
      <w:r>
        <w:rPr>
          <w:b/>
          <w:i w:val="0"/>
          <w:noProof/>
        </w:rPr>
        <w:t>Разпределяне на възможности за риболов на цаца</w:t>
      </w:r>
      <w:r>
        <w:rPr>
          <w:b/>
          <w:i w:val="0"/>
          <w:noProof/>
        </w:rPr>
        <w:br/>
      </w:r>
    </w:p>
    <w:p>
      <w:pPr>
        <w:rPr>
          <w:noProof/>
        </w:rPr>
      </w:pPr>
      <w:r>
        <w:rPr>
          <w:noProof/>
        </w:rPr>
        <w:t>Автономната квота на Съюза за цаца (</w:t>
      </w:r>
      <w:r>
        <w:rPr>
          <w:i/>
          <w:noProof/>
        </w:rPr>
        <w:t>Sprattus sprattus</w:t>
      </w:r>
      <w:r>
        <w:rPr>
          <w:noProof/>
        </w:rPr>
        <w:t>), нейното разпределяне между държавите членки и — когато е целесъобразно — функционално свързаните с това условия са посочени в приложение ІІІ към настоящия регламент.</w:t>
      </w:r>
    </w:p>
    <w:p>
      <w:pPr>
        <w:pStyle w:val="Titrearticle"/>
        <w:rPr>
          <w:b/>
          <w:i w:val="0"/>
          <w:noProof/>
        </w:rPr>
      </w:pPr>
      <w:r>
        <w:rPr>
          <w:noProof/>
        </w:rPr>
        <w:t>Член 12</w:t>
      </w:r>
      <w:r>
        <w:rPr>
          <w:noProof/>
        </w:rPr>
        <w:br/>
      </w:r>
      <w:r>
        <w:rPr>
          <w:b/>
          <w:i w:val="0"/>
          <w:noProof/>
        </w:rPr>
        <w:t xml:space="preserve">Разпределяне на възможности за риболов на калкан </w:t>
      </w:r>
      <w:r>
        <w:rPr>
          <w:b/>
          <w:i w:val="0"/>
          <w:noProof/>
        </w:rPr>
        <w:br/>
      </w:r>
    </w:p>
    <w:p>
      <w:pPr>
        <w:rPr>
          <w:noProof/>
        </w:rPr>
      </w:pPr>
      <w:r>
        <w:rPr>
          <w:noProof/>
        </w:rPr>
        <w:t>ОДУ за калкан (</w:t>
      </w:r>
      <w:r>
        <w:rPr>
          <w:i/>
          <w:noProof/>
        </w:rPr>
        <w:t>Psetta maxima</w:t>
      </w:r>
      <w:r>
        <w:rPr>
          <w:noProof/>
        </w:rPr>
        <w:t>), който е приложим във водите на Съюза и за риболовните кораби на Съюза в Черно море, и разпределянето на този ОДУ между държавите членки и — когато е целесъобразно — функционално свързаните с това условия са посочени в приложение ІІІ към настоящия регламент.</w:t>
      </w:r>
    </w:p>
    <w:p>
      <w:pPr>
        <w:pStyle w:val="Titrearticle"/>
        <w:rPr>
          <w:b/>
          <w:i w:val="0"/>
          <w:noProof/>
        </w:rPr>
      </w:pPr>
      <w:r>
        <w:rPr>
          <w:noProof/>
        </w:rPr>
        <w:t>Член 13</w:t>
      </w:r>
      <w:r>
        <w:rPr>
          <w:noProof/>
        </w:rPr>
        <w:br/>
      </w:r>
      <w:r>
        <w:rPr>
          <w:b/>
          <w:i w:val="0"/>
          <w:noProof/>
        </w:rPr>
        <w:t>Управление на риболовното усилие за калкан</w:t>
      </w:r>
    </w:p>
    <w:p>
      <w:pPr>
        <w:rPr>
          <w:noProof/>
        </w:rPr>
      </w:pPr>
      <w:r>
        <w:rPr>
          <w:noProof/>
        </w:rPr>
        <w:t>За риболовните кораби на Съюза — независимо от тяхната обща дължина — с разрешение за риболов на калкан във водите на Съюза в Черно море не се допуска превишаване на 180 риболовни дни годишно.</w:t>
      </w:r>
    </w:p>
    <w:p>
      <w:pPr>
        <w:rPr>
          <w:noProof/>
        </w:rPr>
      </w:pPr>
    </w:p>
    <w:p>
      <w:pPr>
        <w:pStyle w:val="Titrearticle"/>
        <w:rPr>
          <w:b/>
          <w:i w:val="0"/>
          <w:noProof/>
        </w:rPr>
      </w:pPr>
      <w:r>
        <w:rPr>
          <w:noProof/>
        </w:rPr>
        <w:t>Член 14</w:t>
      </w:r>
      <w:r>
        <w:rPr>
          <w:noProof/>
        </w:rPr>
        <w:br/>
      </w:r>
      <w:r>
        <w:rPr>
          <w:b/>
          <w:i w:val="0"/>
          <w:noProof/>
        </w:rPr>
        <w:t>Период на забрана за риболов на калкан</w:t>
      </w:r>
    </w:p>
    <w:p>
      <w:pPr>
        <w:rPr>
          <w:noProof/>
        </w:rPr>
      </w:pPr>
      <w:r>
        <w:rPr>
          <w:noProof/>
        </w:rPr>
        <w:t>На риболовните кораби на Съюза се забранява да извършват каквато и да е риболовна дейност, включително трансбордиране, задържане на борда и разтоварване, по отношение на калкан във водите на Съюза в Черно море от 15 април до 15 юни.</w:t>
      </w:r>
    </w:p>
    <w:p>
      <w:pPr>
        <w:pStyle w:val="Titrearticle"/>
        <w:rPr>
          <w:b/>
          <w:i w:val="0"/>
          <w:noProof/>
        </w:rPr>
      </w:pPr>
      <w:r>
        <w:rPr>
          <w:noProof/>
        </w:rPr>
        <w:t>Член 15</w:t>
      </w:r>
      <w:r>
        <w:rPr>
          <w:noProof/>
        </w:rPr>
        <w:br/>
      </w:r>
      <w:r>
        <w:rPr>
          <w:b/>
          <w:i w:val="0"/>
          <w:noProof/>
        </w:rPr>
        <w:t>Специални разпоредби относно разпределянето на възможностите за риболов в Черно море</w:t>
      </w:r>
      <w:r>
        <w:rPr>
          <w:b/>
          <w:i w:val="0"/>
          <w:noProof/>
        </w:rPr>
        <w:br/>
      </w:r>
    </w:p>
    <w:p>
      <w:pPr>
        <w:rPr>
          <w:noProof/>
        </w:rPr>
      </w:pPr>
      <w:r>
        <w:rPr>
          <w:noProof/>
        </w:rPr>
        <w:t>Разпределянето на възможностите за риболов между държавите членки, определено в членове 11 и 12 от настоящия регламент, не засяга:</w:t>
      </w:r>
    </w:p>
    <w:p>
      <w:pPr>
        <w:pStyle w:val="Point0"/>
        <w:rPr>
          <w:noProof/>
        </w:rPr>
      </w:pPr>
      <w:r>
        <w:rPr>
          <w:noProof/>
        </w:rPr>
        <w:t>а)</w:t>
      </w:r>
      <w:r>
        <w:rPr>
          <w:noProof/>
        </w:rPr>
        <w:tab/>
        <w:t>размените, извършени съгласно член 16, параграф 8 от Регламент (ЕС) № 1380/2013;</w:t>
      </w:r>
    </w:p>
    <w:p>
      <w:pPr>
        <w:pStyle w:val="Point0"/>
        <w:rPr>
          <w:noProof/>
        </w:rPr>
      </w:pPr>
      <w:r>
        <w:rPr>
          <w:noProof/>
        </w:rPr>
        <w:t>б)</w:t>
      </w:r>
      <w:r>
        <w:rPr>
          <w:noProof/>
        </w:rPr>
        <w:tab/>
        <w:t>приспаданията и преразпределенията, извършени съгласно член 37 от Регламент (ЕО) № 1224/2009</w:t>
      </w:r>
      <w:r>
        <w:rPr>
          <w:rStyle w:val="FootnoteReference"/>
          <w:noProof/>
        </w:rPr>
        <w:footnoteReference w:id="14"/>
      </w:r>
      <w:r>
        <w:rPr>
          <w:noProof/>
        </w:rPr>
        <w:t>;</w:t>
      </w:r>
    </w:p>
    <w:p>
      <w:pPr>
        <w:pStyle w:val="Point0"/>
        <w:rPr>
          <w:noProof/>
        </w:rPr>
      </w:pPr>
      <w:r>
        <w:rPr>
          <w:noProof/>
        </w:rPr>
        <w:t>в)</w:t>
      </w:r>
      <w:r>
        <w:rPr>
          <w:noProof/>
        </w:rPr>
        <w:tab/>
        <w:t>приспаданията, извършени съгласно членове 105 и 107 от Регламент (ЕО) № 1224/2009.</w:t>
      </w:r>
    </w:p>
    <w:p>
      <w:pPr>
        <w:pStyle w:val="Titrearticle"/>
        <w:rPr>
          <w:b/>
          <w:i w:val="0"/>
          <w:noProof/>
        </w:rPr>
      </w:pPr>
      <w:r>
        <w:rPr>
          <w:noProof/>
        </w:rPr>
        <w:t>Член 16</w:t>
      </w:r>
      <w:r>
        <w:rPr>
          <w:noProof/>
        </w:rPr>
        <w:br/>
      </w:r>
      <w:r>
        <w:rPr>
          <w:b/>
          <w:i w:val="0"/>
          <w:noProof/>
        </w:rPr>
        <w:t>Предаване на данни</w:t>
      </w:r>
      <w:r>
        <w:rPr>
          <w:b/>
          <w:i w:val="0"/>
          <w:noProof/>
        </w:rPr>
        <w:br/>
      </w:r>
    </w:p>
    <w:p>
      <w:pPr>
        <w:rPr>
          <w:noProof/>
        </w:rPr>
      </w:pPr>
      <w:r>
        <w:rPr>
          <w:noProof/>
        </w:rPr>
        <w:t>Когато съгласно членове 33 и 34 от Регламент (ЕО) № 1224/2009 държавите членки изпращат на Комисията данни относно разтоварването на количествата цаца и калкан, уловени във водите на Съюза в Черно море, те използват кодовете на запасите, посочени в приложение ІIІ към настоящия регламент.</w:t>
      </w:r>
    </w:p>
    <w:p>
      <w:pPr>
        <w:rPr>
          <w:noProof/>
        </w:rPr>
      </w:pPr>
    </w:p>
    <w:p>
      <w:pPr>
        <w:pStyle w:val="ChapterTitle"/>
        <w:rPr>
          <w:noProof/>
        </w:rPr>
      </w:pPr>
      <w:r>
        <w:rPr>
          <w:noProof/>
        </w:rPr>
        <w:t>ДЯЛ III</w:t>
      </w:r>
      <w:r>
        <w:rPr>
          <w:noProof/>
        </w:rPr>
        <w:br/>
      </w:r>
      <w:r>
        <w:rPr>
          <w:noProof/>
        </w:rPr>
        <w:br/>
        <w:t>ЗАКЛЮЧИТЕЛНИ РАЗПОРЕДБИ</w:t>
      </w:r>
    </w:p>
    <w:p>
      <w:pPr>
        <w:pStyle w:val="Titrearticle"/>
        <w:rPr>
          <w:b/>
          <w:i w:val="0"/>
          <w:noProof/>
        </w:rPr>
      </w:pPr>
      <w:r>
        <w:rPr>
          <w:noProof/>
        </w:rPr>
        <w:t>Член 17</w:t>
      </w:r>
      <w:r>
        <w:rPr>
          <w:noProof/>
        </w:rPr>
        <w:br/>
      </w:r>
      <w:r>
        <w:rPr>
          <w:b/>
          <w:i w:val="0"/>
          <w:noProof/>
        </w:rPr>
        <w:t>Влизане в сила</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w:t>
      </w:r>
      <w:r>
        <w:rPr>
          <w:noProof/>
        </w:rPr>
        <w:t>з.</w:t>
      </w:r>
    </w:p>
    <w:p>
      <w:pPr>
        <w:rPr>
          <w:noProof/>
        </w:rPr>
      </w:pPr>
      <w:r>
        <w:rPr>
          <w:noProof/>
        </w:rPr>
        <w:t>Той се прилага от 1 януари 2020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Регламент (ЕС) №</w:t>
      </w:r>
      <w:r>
        <w:t> </w:t>
      </w:r>
      <w:r>
        <w:rPr>
          <w:lang w:val="ru-RU"/>
        </w:rPr>
        <w:t>1380/2013 на Европейския парламент и на Съвета от 11 декември 2013 г. относно общата политика в областта на рибарството, за изменение на регламенти (ЕО) №</w:t>
      </w:r>
      <w:r>
        <w:t> </w:t>
      </w:r>
      <w:r>
        <w:rPr>
          <w:lang w:val="ru-RU"/>
        </w:rPr>
        <w:t>1954/2003 и (ЕО) №</w:t>
      </w:r>
      <w:r>
        <w:t> </w:t>
      </w:r>
      <w:r>
        <w:rPr>
          <w:lang w:val="ru-RU"/>
        </w:rPr>
        <w:t>1224/2009 на Съвета и за отмяна на регламенти (ЕО) №</w:t>
      </w:r>
      <w:r>
        <w:t> </w:t>
      </w:r>
      <w:r>
        <w:rPr>
          <w:lang w:val="ru-RU"/>
        </w:rPr>
        <w:t>2371/2002 и (ЕО) №</w:t>
      </w:r>
      <w:r>
        <w:t> </w:t>
      </w:r>
      <w:r>
        <w:rPr>
          <w:lang w:val="ru-RU"/>
        </w:rPr>
        <w:t xml:space="preserve">639/2004 на Съвета и Решение 2004/585/ЕО на Съвета (ОВ </w:t>
      </w:r>
      <w:r>
        <w:t>L</w:t>
      </w:r>
      <w:r>
        <w:rPr>
          <w:lang w:val="ru-RU"/>
        </w:rPr>
        <w:t xml:space="preserve"> 354, 28.12.2013 г., стр. 22).</w:t>
      </w:r>
    </w:p>
  </w:footnote>
  <w:footnote w:id="2">
    <w:p>
      <w:pPr>
        <w:pStyle w:val="FootnoteText"/>
        <w:rPr>
          <w:lang w:val="ru-RU"/>
        </w:rPr>
      </w:pPr>
      <w:r>
        <w:rPr>
          <w:rStyle w:val="FootnoteReference"/>
        </w:rPr>
        <w:footnoteRef/>
      </w:r>
      <w:r>
        <w:rPr>
          <w:lang w:val="ru-RU"/>
        </w:rPr>
        <w:tab/>
        <w:t>Регламент (ЕС) 2019/1022 на Европейския парламент и на Съвета от 20</w:t>
      </w:r>
      <w:r>
        <w:t> </w:t>
      </w:r>
      <w:r>
        <w:rPr>
          <w:lang w:val="ru-RU"/>
        </w:rPr>
        <w:t>юни 2019</w:t>
      </w:r>
      <w:r>
        <w:t> </w:t>
      </w:r>
      <w:r>
        <w:rPr>
          <w:lang w:val="ru-RU"/>
        </w:rPr>
        <w:t>г. за установяване на многогодишен план за риболова на запасите от дънни видове в западната част на Средиземно море и за изменение на Регламент (ЕС) №</w:t>
      </w:r>
      <w:r>
        <w:t> </w:t>
      </w:r>
      <w:r>
        <w:rPr>
          <w:lang w:val="ru-RU"/>
        </w:rPr>
        <w:t>508/2014 (ОВ</w:t>
      </w:r>
      <w:r>
        <w:t> L </w:t>
      </w:r>
      <w:r>
        <w:rPr>
          <w:lang w:val="ru-RU"/>
        </w:rPr>
        <w:t>172, 26.6.2019</w:t>
      </w:r>
      <w:r>
        <w:t> </w:t>
      </w:r>
      <w:r>
        <w:rPr>
          <w:lang w:val="ru-RU"/>
        </w:rPr>
        <w:t>г. стр.</w:t>
      </w:r>
      <w:r>
        <w:t> </w:t>
      </w:r>
      <w:r>
        <w:rPr>
          <w:lang w:val="ru-RU"/>
        </w:rPr>
        <w:t>1).</w:t>
      </w:r>
    </w:p>
  </w:footnote>
  <w:footnote w:id="3">
    <w:p>
      <w:pPr>
        <w:pStyle w:val="FootnoteText"/>
        <w:rPr>
          <w:lang w:val="ru-RU"/>
        </w:rPr>
      </w:pPr>
      <w:r>
        <w:rPr>
          <w:rStyle w:val="FootnoteReference"/>
        </w:rPr>
        <w:footnoteRef/>
      </w:r>
      <w:r>
        <w:rPr>
          <w:lang w:val="ru-RU"/>
        </w:rPr>
        <w:tab/>
        <w:t xml:space="preserve">Регламент (ЕС) 2018/2058 на Съвета от 17 декември 2018 г. за определяне на възможностите за риболов на някои рибни запаси и групи рибни запаси за 2019 година в Черно море (ОВ </w:t>
      </w:r>
      <w:r>
        <w:t>L </w:t>
      </w:r>
      <w:r>
        <w:rPr>
          <w:lang w:val="ru-RU"/>
        </w:rPr>
        <w:t>329, 27.12.2018</w:t>
      </w:r>
      <w:r>
        <w:t> </w:t>
      </w:r>
      <w:r>
        <w:rPr>
          <w:lang w:val="ru-RU"/>
        </w:rPr>
        <w:t>г., стр.</w:t>
      </w:r>
      <w:r>
        <w:t> </w:t>
      </w:r>
      <w:r>
        <w:rPr>
          <w:lang w:val="ru-RU"/>
        </w:rPr>
        <w:t>8).</w:t>
      </w:r>
    </w:p>
  </w:footnote>
  <w:footnote w:id="4">
    <w:p>
      <w:pPr>
        <w:pStyle w:val="FootnoteText"/>
        <w:rPr>
          <w:lang w:val="ru-RU"/>
        </w:rPr>
      </w:pPr>
      <w:r>
        <w:rPr>
          <w:rStyle w:val="FootnoteReference"/>
        </w:rPr>
        <w:footnoteRef/>
      </w:r>
      <w:r>
        <w:rPr>
          <w:lang w:val="ru-RU"/>
        </w:rPr>
        <w:tab/>
        <w:t>Регламент (ЕС) 2019/124 на Съвета от 30 януари 2019 г. за определяне за 2019</w:t>
      </w:r>
      <w:r>
        <w:t> </w:t>
      </w:r>
      <w:r>
        <w:rPr>
          <w:lang w:val="ru-RU"/>
        </w:rPr>
        <w:t>година на възможностите за риболов на определени рибни запаси и групи от рибни запаси, приложими във водите на Съюза, както и за риболовните кораби на Съюза в някои води извън Съюза (ОВ</w:t>
      </w:r>
      <w:r>
        <w:t> L </w:t>
      </w:r>
      <w:r>
        <w:rPr>
          <w:lang w:val="ru-RU"/>
        </w:rPr>
        <w:t>29, 31.1.2019</w:t>
      </w:r>
      <w:r>
        <w:t> </w:t>
      </w:r>
      <w:r>
        <w:rPr>
          <w:lang w:val="ru-RU"/>
        </w:rPr>
        <w:t>г., стр.</w:t>
      </w:r>
      <w:r>
        <w:t> </w:t>
      </w:r>
      <w:r>
        <w:rPr>
          <w:lang w:val="ru-RU"/>
        </w:rPr>
        <w:t>1).</w:t>
      </w:r>
    </w:p>
  </w:footnote>
  <w:footnote w:id="5">
    <w:p>
      <w:pPr>
        <w:pStyle w:val="FootnoteText"/>
        <w:rPr>
          <w:lang w:val="ru-RU"/>
        </w:rPr>
      </w:pPr>
      <w:r>
        <w:rPr>
          <w:rStyle w:val="FootnoteReference"/>
        </w:rPr>
        <w:footnoteRef/>
      </w:r>
      <w:r>
        <w:rPr>
          <w:lang w:val="ru-RU"/>
        </w:rPr>
        <w:tab/>
        <w:t>Съобщение на Комисията до Европейския парламент и Съвета относно актуалното състояние на общата политика в областта на рибарството и консултацията относно възможностите за риболов за 2020</w:t>
      </w:r>
      <w:r>
        <w:t> </w:t>
      </w:r>
      <w:r>
        <w:rPr>
          <w:lang w:val="ru-RU"/>
        </w:rPr>
        <w:t>г. (</w:t>
      </w:r>
      <w:r>
        <w:t>COM</w:t>
      </w:r>
      <w:r>
        <w:rPr>
          <w:lang w:val="ru-RU"/>
        </w:rPr>
        <w:t xml:space="preserve">(2019) 274 </w:t>
      </w:r>
      <w:r>
        <w:t>final</w:t>
      </w:r>
      <w:r>
        <w:rPr>
          <w:lang w:val="ru-RU"/>
        </w:rPr>
        <w:t>).</w:t>
      </w:r>
    </w:p>
  </w:footnote>
  <w:footnote w:id="6">
    <w:p>
      <w:pPr>
        <w:pStyle w:val="FootnoteText"/>
        <w:rPr>
          <w:lang w:val="ru-RU"/>
        </w:rPr>
      </w:pPr>
      <w:r>
        <w:rPr>
          <w:rStyle w:val="FootnoteReference"/>
        </w:rPr>
        <w:footnoteRef/>
      </w:r>
      <w:r>
        <w:rPr>
          <w:lang w:val="ru-RU"/>
        </w:rPr>
        <w:tab/>
        <w:t xml:space="preserve">Съответно </w:t>
      </w:r>
      <w:r>
        <w:t>SEC</w:t>
      </w:r>
      <w:r>
        <w:rPr>
          <w:lang w:val="ru-RU"/>
        </w:rPr>
        <w:t xml:space="preserve">(2011)891 </w:t>
      </w:r>
      <w:r>
        <w:t>final</w:t>
      </w:r>
      <w:r>
        <w:rPr>
          <w:lang w:val="ru-RU"/>
        </w:rPr>
        <w:t xml:space="preserve"> от 13.7.2011 г. и </w:t>
      </w:r>
      <w:r>
        <w:t>SWD</w:t>
      </w:r>
      <w:r>
        <w:rPr>
          <w:lang w:val="ru-RU"/>
        </w:rPr>
        <w:t xml:space="preserve">(2018)59 и 60 </w:t>
      </w:r>
      <w:r>
        <w:t>final</w:t>
      </w:r>
      <w:r>
        <w:rPr>
          <w:lang w:val="ru-RU"/>
        </w:rPr>
        <w:t xml:space="preserve"> от 8.3.2018 г.</w:t>
      </w:r>
    </w:p>
  </w:footnote>
  <w:footnote w:id="7">
    <w:p>
      <w:pPr>
        <w:pStyle w:val="FootnoteText"/>
        <w:rPr>
          <w:lang w:val="ru-RU"/>
        </w:rPr>
      </w:pPr>
      <w:r>
        <w:rPr>
          <w:rStyle w:val="FootnoteReference"/>
        </w:rPr>
        <w:footnoteRef/>
      </w:r>
      <w:r>
        <w:rPr>
          <w:lang w:val="ru-RU"/>
        </w:rPr>
        <w:tab/>
        <w:t>Регламент (ЕС) №</w:t>
      </w:r>
      <w:r>
        <w:t> </w:t>
      </w:r>
      <w:r>
        <w:rPr>
          <w:lang w:val="ru-RU"/>
        </w:rPr>
        <w:t>1380/2013 на Европейския парламент и на Съвета от 11 декември 2013 г. относно общата политика в областта на рибарството, за изменение на регламенти (ЕО) №</w:t>
      </w:r>
      <w:r>
        <w:t> </w:t>
      </w:r>
      <w:r>
        <w:rPr>
          <w:lang w:val="ru-RU"/>
        </w:rPr>
        <w:t>1954/2003 и (ЕО) №</w:t>
      </w:r>
      <w:r>
        <w:t> </w:t>
      </w:r>
      <w:r>
        <w:rPr>
          <w:lang w:val="ru-RU"/>
        </w:rPr>
        <w:t>1224/2009 на Съвета и за отмяна на регламенти (ЕО) №</w:t>
      </w:r>
      <w:r>
        <w:t> </w:t>
      </w:r>
      <w:r>
        <w:rPr>
          <w:lang w:val="ru-RU"/>
        </w:rPr>
        <w:t>2371/2002 и (ЕО) №</w:t>
      </w:r>
      <w:r>
        <w:t> </w:t>
      </w:r>
      <w:r>
        <w:rPr>
          <w:lang w:val="ru-RU"/>
        </w:rPr>
        <w:t xml:space="preserve">639/2004 на Съвета и Решение 2004/585/ЕО на Съвета (ОВ </w:t>
      </w:r>
      <w:r>
        <w:t>L</w:t>
      </w:r>
      <w:r>
        <w:rPr>
          <w:lang w:val="ru-RU"/>
        </w:rPr>
        <w:t xml:space="preserve"> 354, 28.12.2013 г., стр. 22).</w:t>
      </w:r>
    </w:p>
  </w:footnote>
  <w:footnote w:id="8">
    <w:p>
      <w:pPr>
        <w:pStyle w:val="FootnoteText"/>
        <w:rPr>
          <w:lang w:val="ru-RU"/>
        </w:rPr>
      </w:pPr>
      <w:r>
        <w:rPr>
          <w:rStyle w:val="FootnoteReference"/>
        </w:rPr>
        <w:footnoteRef/>
      </w:r>
      <w:r>
        <w:rPr>
          <w:lang w:val="ru-RU"/>
        </w:rPr>
        <w:tab/>
        <w:t>Регламент (ЕС) 2019/1022 на Европейския парламент и на Съвета от 20</w:t>
      </w:r>
      <w:r>
        <w:t> </w:t>
      </w:r>
      <w:r>
        <w:rPr>
          <w:lang w:val="ru-RU"/>
        </w:rPr>
        <w:t>юни 2019</w:t>
      </w:r>
      <w:r>
        <w:t> </w:t>
      </w:r>
      <w:r>
        <w:rPr>
          <w:lang w:val="ru-RU"/>
        </w:rPr>
        <w:t>г. за установяване на многогодишен план за риболова на запаси от дънни видове в западната част на Средиземно море и за изменение на Регламент (ЕС) №</w:t>
      </w:r>
      <w:r>
        <w:t> </w:t>
      </w:r>
      <w:r>
        <w:rPr>
          <w:lang w:val="ru-RU"/>
        </w:rPr>
        <w:t>508/2014 (ОВ</w:t>
      </w:r>
      <w:r>
        <w:t> L </w:t>
      </w:r>
      <w:r>
        <w:rPr>
          <w:lang w:val="ru-RU"/>
        </w:rPr>
        <w:t>172, 26.6.2019</w:t>
      </w:r>
      <w:r>
        <w:t> </w:t>
      </w:r>
      <w:r>
        <w:rPr>
          <w:lang w:val="ru-RU"/>
        </w:rPr>
        <w:t>г. стр.</w:t>
      </w:r>
      <w:r>
        <w:t> </w:t>
      </w:r>
      <w:r>
        <w:rPr>
          <w:lang w:val="ru-RU"/>
        </w:rPr>
        <w:t>1).</w:t>
      </w:r>
    </w:p>
  </w:footnote>
  <w:footnote w:id="9">
    <w:p>
      <w:pPr>
        <w:pStyle w:val="FootnoteText"/>
        <w:rPr>
          <w:lang w:val="ru-RU"/>
        </w:rPr>
      </w:pPr>
      <w:r>
        <w:rPr>
          <w:rStyle w:val="FootnoteReference"/>
        </w:rPr>
        <w:footnoteRef/>
      </w:r>
      <w:r>
        <w:rPr>
          <w:lang w:val="ru-RU"/>
        </w:rPr>
        <w:tab/>
        <w:t xml:space="preserve">Регламент (ЕО) № 1100/2007 на Съвета от 18 септември 2007 г. относно установяване на мерки за възстановяване на запасите от европейска змиорка (ОВ </w:t>
      </w:r>
      <w:r>
        <w:t>L</w:t>
      </w:r>
      <w:r>
        <w:rPr>
          <w:lang w:val="ru-RU"/>
        </w:rPr>
        <w:t xml:space="preserve"> 248, 22.9.2007 г., стр. 17).</w:t>
      </w:r>
    </w:p>
  </w:footnote>
  <w:footnote w:id="10">
    <w:p>
      <w:pPr>
        <w:pStyle w:val="FootnoteText"/>
        <w:rPr>
          <w:lang w:val="ru-RU"/>
        </w:rPr>
      </w:pPr>
      <w:r>
        <w:rPr>
          <w:rStyle w:val="FootnoteReference"/>
        </w:rPr>
        <w:footnoteRef/>
      </w:r>
      <w:r>
        <w:rPr>
          <w:lang w:val="ru-RU"/>
        </w:rPr>
        <w:tab/>
        <w:t>Регламент</w:t>
      </w:r>
      <w:r>
        <w:t> </w:t>
      </w:r>
      <w:r>
        <w:rPr>
          <w:lang w:val="ru-RU"/>
        </w:rPr>
        <w:t>(ЕО) №</w:t>
      </w:r>
      <w:r>
        <w:t> </w:t>
      </w:r>
      <w:r>
        <w:rPr>
          <w:lang w:val="ru-RU"/>
        </w:rPr>
        <w:t>847/96 на Съвета от 6</w:t>
      </w:r>
      <w:r>
        <w:t> </w:t>
      </w:r>
      <w:r>
        <w:rPr>
          <w:lang w:val="ru-RU"/>
        </w:rPr>
        <w:t>май 1996</w:t>
      </w:r>
      <w:r>
        <w:t> </w:t>
      </w:r>
      <w:r>
        <w:rPr>
          <w:lang w:val="ru-RU"/>
        </w:rPr>
        <w:t>г. относно определяне на допълнителните условия за годишното управление на допустимите количества улов и на квотите (ОВ</w:t>
      </w:r>
      <w:r>
        <w:t> L </w:t>
      </w:r>
      <w:r>
        <w:rPr>
          <w:lang w:val="ru-RU"/>
        </w:rPr>
        <w:t>115, 9.5.1996</w:t>
      </w:r>
      <w:r>
        <w:t> </w:t>
      </w:r>
      <w:r>
        <w:rPr>
          <w:lang w:val="ru-RU"/>
        </w:rPr>
        <w:t>г., стр.</w:t>
      </w:r>
      <w:r>
        <w:t> </w:t>
      </w:r>
      <w:r>
        <w:rPr>
          <w:lang w:val="ru-RU"/>
        </w:rPr>
        <w:t>3).</w:t>
      </w:r>
    </w:p>
  </w:footnote>
  <w:footnote w:id="11">
    <w:p>
      <w:pPr>
        <w:pStyle w:val="FootnoteText"/>
        <w:rPr>
          <w:lang w:val="ru-RU"/>
        </w:rPr>
      </w:pPr>
      <w:r>
        <w:rPr>
          <w:rStyle w:val="FootnoteReference"/>
        </w:rPr>
        <w:footnoteRef/>
      </w:r>
      <w:r>
        <w:rPr>
          <w:lang w:val="ru-RU"/>
        </w:rPr>
        <w:tab/>
        <w:t>Регламент (ЕО) №</w:t>
      </w:r>
      <w:r>
        <w:t> </w:t>
      </w:r>
      <w:r>
        <w:rPr>
          <w:lang w:val="ru-RU"/>
        </w:rPr>
        <w:t>1224/2009 на Съвета от 20</w:t>
      </w:r>
      <w:r>
        <w:t> </w:t>
      </w:r>
      <w:r>
        <w:rPr>
          <w:lang w:val="ru-RU"/>
        </w:rPr>
        <w:t>ноември 2009</w:t>
      </w:r>
      <w:r>
        <w:t> </w:t>
      </w:r>
      <w:r>
        <w:rPr>
          <w:lang w:val="ru-RU"/>
        </w:rPr>
        <w:t>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w:t>
      </w:r>
      <w:r>
        <w:t> </w:t>
      </w:r>
      <w:r>
        <w:rPr>
          <w:lang w:val="ru-RU"/>
        </w:rPr>
        <w:t>847/96, (ЕО) №</w:t>
      </w:r>
      <w:r>
        <w:t> </w:t>
      </w:r>
      <w:r>
        <w:rPr>
          <w:lang w:val="ru-RU"/>
        </w:rPr>
        <w:t>2371/2002, (ЕО) №</w:t>
      </w:r>
      <w:r>
        <w:t> </w:t>
      </w:r>
      <w:r>
        <w:rPr>
          <w:lang w:val="ru-RU"/>
        </w:rPr>
        <w:t>811/2004, (ЕО) №</w:t>
      </w:r>
      <w:r>
        <w:t> </w:t>
      </w:r>
      <w:r>
        <w:rPr>
          <w:lang w:val="ru-RU"/>
        </w:rPr>
        <w:t>768/2005, (ЕО) №</w:t>
      </w:r>
      <w:r>
        <w:t> </w:t>
      </w:r>
      <w:r>
        <w:rPr>
          <w:lang w:val="ru-RU"/>
        </w:rPr>
        <w:t>2115/2005, (ЕО) №</w:t>
      </w:r>
      <w:r>
        <w:t> </w:t>
      </w:r>
      <w:r>
        <w:rPr>
          <w:lang w:val="ru-RU"/>
        </w:rPr>
        <w:t>2166/2005, (ЕО) №</w:t>
      </w:r>
      <w:r>
        <w:t> </w:t>
      </w:r>
      <w:r>
        <w:rPr>
          <w:lang w:val="ru-RU"/>
        </w:rPr>
        <w:t>388/2006, (ЕО) №</w:t>
      </w:r>
      <w:r>
        <w:t> </w:t>
      </w:r>
      <w:r>
        <w:rPr>
          <w:lang w:val="ru-RU"/>
        </w:rPr>
        <w:t>509/2007, (ЕО) №</w:t>
      </w:r>
      <w:r>
        <w:t> </w:t>
      </w:r>
      <w:r>
        <w:rPr>
          <w:lang w:val="ru-RU"/>
        </w:rPr>
        <w:t>676/2007, (ЕО) №</w:t>
      </w:r>
      <w:r>
        <w:t> </w:t>
      </w:r>
      <w:r>
        <w:rPr>
          <w:lang w:val="ru-RU"/>
        </w:rPr>
        <w:t>1098/2007, (ЕО) №</w:t>
      </w:r>
      <w:r>
        <w:t> </w:t>
      </w:r>
      <w:r>
        <w:rPr>
          <w:lang w:val="ru-RU"/>
        </w:rPr>
        <w:t>1300/2008, (ЕО) №</w:t>
      </w:r>
      <w:r>
        <w:t> </w:t>
      </w:r>
      <w:r>
        <w:rPr>
          <w:lang w:val="ru-RU"/>
        </w:rPr>
        <w:t>1342/2008 и за отмяна на регламенти (ЕИО) №</w:t>
      </w:r>
      <w:r>
        <w:t> </w:t>
      </w:r>
      <w:r>
        <w:rPr>
          <w:lang w:val="ru-RU"/>
        </w:rPr>
        <w:t>2847/93, (ЕО) №</w:t>
      </w:r>
      <w:r>
        <w:t> </w:t>
      </w:r>
      <w:r>
        <w:rPr>
          <w:lang w:val="ru-RU"/>
        </w:rPr>
        <w:t>1627/94 и (ЕО) №</w:t>
      </w:r>
      <w:r>
        <w:t> </w:t>
      </w:r>
      <w:r>
        <w:rPr>
          <w:lang w:val="ru-RU"/>
        </w:rPr>
        <w:t>1966/2006 (ОВ</w:t>
      </w:r>
      <w:r>
        <w:t> L </w:t>
      </w:r>
      <w:r>
        <w:rPr>
          <w:lang w:val="ru-RU"/>
        </w:rPr>
        <w:t>343, 22.12.2009</w:t>
      </w:r>
      <w:r>
        <w:t> </w:t>
      </w:r>
      <w:r>
        <w:rPr>
          <w:lang w:val="ru-RU"/>
        </w:rPr>
        <w:t>г., стр.</w:t>
      </w:r>
      <w:r>
        <w:t> </w:t>
      </w:r>
      <w:r>
        <w:rPr>
          <w:lang w:val="ru-RU"/>
        </w:rPr>
        <w:t>1).</w:t>
      </w:r>
    </w:p>
  </w:footnote>
  <w:footnote w:id="12">
    <w:p>
      <w:pPr>
        <w:pStyle w:val="FootnoteText"/>
        <w:rPr>
          <w:lang w:val="ru-RU"/>
        </w:rPr>
      </w:pPr>
      <w:r>
        <w:rPr>
          <w:rStyle w:val="FootnoteReference"/>
        </w:rPr>
        <w:footnoteRef/>
      </w:r>
      <w:r>
        <w:rPr>
          <w:lang w:val="ru-RU"/>
        </w:rPr>
        <w:tab/>
        <w:t>Регламент (ЕС) №</w:t>
      </w:r>
      <w:r>
        <w:t> </w:t>
      </w:r>
      <w:r>
        <w:rPr>
          <w:lang w:val="ru-RU"/>
        </w:rPr>
        <w:t>1343/2011 на Европейския парламент и на Съвета от 13</w:t>
      </w:r>
      <w:r>
        <w:t> </w:t>
      </w:r>
      <w:r>
        <w:rPr>
          <w:lang w:val="ru-RU"/>
        </w:rPr>
        <w:t>декември 2011</w:t>
      </w:r>
      <w:r>
        <w:t> </w:t>
      </w:r>
      <w:r>
        <w:rPr>
          <w:lang w:val="ru-RU"/>
        </w:rPr>
        <w:t xml:space="preserve">г. относно определени разпоредби за риболова в зоната по Споразумението за </w:t>
      </w:r>
      <w:r>
        <w:t>GFCM</w:t>
      </w:r>
      <w:r>
        <w:rPr>
          <w:lang w:val="ru-RU"/>
        </w:rPr>
        <w:t xml:space="preserve"> (Генералната комисия по рибарство в Средиземно море) и за изменение на Регламент (ЕО) №</w:t>
      </w:r>
      <w:r>
        <w:t> </w:t>
      </w:r>
      <w:r>
        <w:rPr>
          <w:lang w:val="ru-RU"/>
        </w:rPr>
        <w:t>1967/2006 на Съвета относно мерките за управление на устойчивата експлоатация на рибните ресурси в Средиземно море (ОВ</w:t>
      </w:r>
      <w:r>
        <w:t> L </w:t>
      </w:r>
      <w:r>
        <w:rPr>
          <w:lang w:val="ru-RU"/>
        </w:rPr>
        <w:t>347, 30.12.2011</w:t>
      </w:r>
      <w:r>
        <w:t> </w:t>
      </w:r>
      <w:r>
        <w:rPr>
          <w:lang w:val="ru-RU"/>
        </w:rPr>
        <w:t>г., стр.</w:t>
      </w:r>
      <w:r>
        <w:t> </w:t>
      </w:r>
      <w:r>
        <w:rPr>
          <w:lang w:val="ru-RU"/>
        </w:rPr>
        <w:t>44).</w:t>
      </w:r>
    </w:p>
  </w:footnote>
  <w:footnote w:id="13">
    <w:p>
      <w:pPr>
        <w:pStyle w:val="FootnoteText"/>
        <w:rPr>
          <w:lang w:val="ru-RU"/>
        </w:rPr>
      </w:pPr>
      <w:r>
        <w:rPr>
          <w:rStyle w:val="FootnoteReference"/>
        </w:rPr>
        <w:footnoteRef/>
      </w:r>
      <w:r>
        <w:rPr>
          <w:lang w:val="ru-RU"/>
        </w:rPr>
        <w:tab/>
        <w:t xml:space="preserve">Регламент (ЕО) № 1100/2007 на Съвета от 18 септември 2007 г. относно установяване на мерки за възстановяване на запасите от европейска змиорка (ОВ </w:t>
      </w:r>
      <w:r>
        <w:t>L</w:t>
      </w:r>
      <w:r>
        <w:rPr>
          <w:lang w:val="ru-RU"/>
        </w:rPr>
        <w:t xml:space="preserve"> 248, 22.9.2007 г., стр. 17).</w:t>
      </w:r>
    </w:p>
  </w:footnote>
  <w:footnote w:id="14">
    <w:p>
      <w:pPr>
        <w:pStyle w:val="FootnoteText"/>
        <w:rPr>
          <w:lang w:val="ru-RU"/>
        </w:rPr>
      </w:pPr>
      <w:r>
        <w:rPr>
          <w:rStyle w:val="FootnoteReference"/>
        </w:rPr>
        <w:footnoteRef/>
      </w:r>
      <w:r>
        <w:rPr>
          <w:lang w:val="ru-RU"/>
        </w:rPr>
        <w:tab/>
        <w:t>Регламент (ЕО) №</w:t>
      </w:r>
      <w:r>
        <w:t> </w:t>
      </w:r>
      <w:r>
        <w:rPr>
          <w:lang w:val="ru-RU"/>
        </w:rPr>
        <w:t>1224/2009 на Съвета от 20 ноември 2009</w:t>
      </w:r>
      <w:r>
        <w:t> </w:t>
      </w:r>
      <w:r>
        <w:rPr>
          <w:lang w:val="ru-RU"/>
        </w:rPr>
        <w:t>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w:t>
      </w:r>
      <w:r>
        <w:t> </w:t>
      </w:r>
      <w:r>
        <w:rPr>
          <w:lang w:val="ru-RU"/>
        </w:rPr>
        <w:t>847/96, (ЕО) №</w:t>
      </w:r>
      <w:r>
        <w:t> </w:t>
      </w:r>
      <w:r>
        <w:rPr>
          <w:lang w:val="ru-RU"/>
        </w:rPr>
        <w:t>2371/2002, (ЕО) №</w:t>
      </w:r>
      <w:r>
        <w:t> </w:t>
      </w:r>
      <w:r>
        <w:rPr>
          <w:lang w:val="ru-RU"/>
        </w:rPr>
        <w:t>811/2004, (ЕО) №</w:t>
      </w:r>
      <w:r>
        <w:t> </w:t>
      </w:r>
      <w:r>
        <w:rPr>
          <w:lang w:val="ru-RU"/>
        </w:rPr>
        <w:t>768/2005, (ЕО) №</w:t>
      </w:r>
      <w:r>
        <w:t> </w:t>
      </w:r>
      <w:r>
        <w:rPr>
          <w:lang w:val="ru-RU"/>
        </w:rPr>
        <w:t>2115/2005, (ЕО) №</w:t>
      </w:r>
      <w:r>
        <w:t> </w:t>
      </w:r>
      <w:r>
        <w:rPr>
          <w:lang w:val="ru-RU"/>
        </w:rPr>
        <w:t>2166/2005, (ЕО) №</w:t>
      </w:r>
      <w:r>
        <w:t> </w:t>
      </w:r>
      <w:r>
        <w:rPr>
          <w:lang w:val="ru-RU"/>
        </w:rPr>
        <w:t>388/2006, (ЕО) №</w:t>
      </w:r>
      <w:r>
        <w:t> </w:t>
      </w:r>
      <w:r>
        <w:rPr>
          <w:lang w:val="ru-RU"/>
        </w:rPr>
        <w:t>509/2007, (ЕО) №</w:t>
      </w:r>
      <w:r>
        <w:t> </w:t>
      </w:r>
      <w:r>
        <w:rPr>
          <w:lang w:val="ru-RU"/>
        </w:rPr>
        <w:t>676/2007, (ЕО) №</w:t>
      </w:r>
      <w:r>
        <w:t> </w:t>
      </w:r>
      <w:r>
        <w:rPr>
          <w:lang w:val="ru-RU"/>
        </w:rPr>
        <w:t>1098/2007, (ЕО) №</w:t>
      </w:r>
      <w:r>
        <w:t> </w:t>
      </w:r>
      <w:r>
        <w:rPr>
          <w:lang w:val="ru-RU"/>
        </w:rPr>
        <w:t>1300/2008, (ЕО) №</w:t>
      </w:r>
      <w:r>
        <w:t> </w:t>
      </w:r>
      <w:r>
        <w:rPr>
          <w:lang w:val="ru-RU"/>
        </w:rPr>
        <w:t>1342/2008 и за отмяна на регламенти (ЕИО) №</w:t>
      </w:r>
      <w:r>
        <w:t> </w:t>
      </w:r>
      <w:r>
        <w:rPr>
          <w:lang w:val="ru-RU"/>
        </w:rPr>
        <w:t>2847/93, (ЕО) №</w:t>
      </w:r>
      <w:r>
        <w:t> </w:t>
      </w:r>
      <w:r>
        <w:rPr>
          <w:lang w:val="ru-RU"/>
        </w:rPr>
        <w:t>1627/94 и (ЕО) №</w:t>
      </w:r>
      <w:r>
        <w:t> </w:t>
      </w:r>
      <w:r>
        <w:rPr>
          <w:lang w:val="ru-RU"/>
        </w:rPr>
        <w:t xml:space="preserve">1966/2006 (ОВ </w:t>
      </w:r>
      <w:r>
        <w:t>L </w:t>
      </w:r>
      <w:r>
        <w:rPr>
          <w:lang w:val="ru-RU"/>
        </w:rPr>
        <w:t>343, 22.12.2009</w:t>
      </w:r>
      <w:r>
        <w:t> </w:t>
      </w:r>
      <w:r>
        <w:rPr>
          <w:lang w:val="ru-RU"/>
        </w:rPr>
        <w:t>г., стр.</w:t>
      </w:r>
      <w:r>
        <w:t> </w:t>
      </w:r>
      <w:r>
        <w:rPr>
          <w:lang w:val="ru-RU"/>
        </w:rPr>
        <w: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A867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726A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B68B5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B2A5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E6E0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F0D2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AA5582"/>
    <w:lvl w:ilvl="0">
      <w:start w:val="1"/>
      <w:numFmt w:val="decimal"/>
      <w:pStyle w:val="ListNumber"/>
      <w:lvlText w:val="%1."/>
      <w:lvlJc w:val="left"/>
      <w:pPr>
        <w:tabs>
          <w:tab w:val="num" w:pos="360"/>
        </w:tabs>
        <w:ind w:left="360" w:hanging="360"/>
      </w:pPr>
    </w:lvl>
  </w:abstractNum>
  <w:abstractNum w:abstractNumId="7">
    <w:nsid w:val="FFFFFF89"/>
    <w:multiLevelType w:val="singleLevel"/>
    <w:tmpl w:val="333AA1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3"/>
    </w:lvlOverride>
    <w:lvlOverride w:ilvl="2">
      <w:startOverride w:val="1"/>
    </w:lvlOverride>
    <w:lvlOverride w:ilvl="3">
      <w:startOverride w:val="9"/>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1 12:22: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448997A-499E-40BB-9653-D79515A9099F"/>
    <w:docVar w:name="LW_COVERPAGE_TYPE" w:val="1"/>
    <w:docVar w:name="LW_CROSSREFERENCE" w:val="&lt;UNUSED&gt;"/>
    <w:docVar w:name="LW_DocType" w:val="COM"/>
    <w:docVar w:name="LW_EMISSION" w:val="8.10.2019"/>
    <w:docVar w:name="LW_EMISSION_ISODATE" w:val="2019-10-08"/>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1"/>
    <w:docVar w:name="LW_REF.II.NEW.CP_YEAR" w:val="2019"/>
    <w:docVar w:name="LW_REF.INST.NEW" w:val="COM"/>
    <w:docVar w:name="LW_REF.INST.NEW_ADOPTED" w:val="final"/>
    <w:docVar w:name="LW_REF.INST.NEW_TEXT" w:val="(2019)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74?\u1098?\u1079?\u1084?\u1086?\u1078?\u1085?\u1086?\u1089?\u1090?\u1080?\u1090?\u1077? \u1079?\u1072? \u1088?\u1080?\u1073?\u1086?\u1083?\u1086?\u1074? \u1085?\u1072? \u1085?\u1103?\u1082?\u1086?\u1080? \u1088?\u1080?\u1073?\u1085?\u1080? \u1079?\u1072?\u1087?\u1072?\u1089?\u1080? \u1080? \u1075?\u1088?\u1091?\u1087?\u1080? \u1088?\u1080?\u1073?\u1085?\u1080? \u1079?\u1072?\u1087?\u1072?\u1089?\u1080? \u1079?\u1072? 2020 \u1075?\u1086?\u1076?\u1080?\u1085?\u1072? \u1074? \u1057?\u1088?\u1077?\u1076?\u1080?\u1079?\u1077?\u1084?\u1085?\u1086? \u1084?\u1086?\u1088?\u1077? \u1080? \u1063?\u1077?\u1088?\u1085?\u1086? \u1084?\u1086?\u1088?\u1077?"/>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158FC6-626C-4FBA-B235-2703ACAA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16</Pages>
  <Words>4222</Words>
  <Characters>23436</Characters>
  <Application>Microsoft Office Word</Application>
  <DocSecurity>0</DocSecurity>
  <Lines>498</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2019-08-27T10:02:00Z</cp:lastPrinted>
  <dcterms:created xsi:type="dcterms:W3CDTF">2019-09-23T09:55:00Z</dcterms:created>
  <dcterms:modified xsi:type="dcterms:W3CDTF">2019-10-01T10:22:00Z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