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A011BD1-7A3A-4F25-A4D3-DD6A6D1B3D44" style="width:450.35pt;height:396.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I </w:t>
      </w:r>
      <w:r>
        <w:rPr>
          <w:noProof/>
        </w:rPr>
        <w:br/>
      </w:r>
      <w:r>
        <w:rPr>
          <w:noProof/>
        </w:rPr>
        <w:br/>
      </w:r>
      <w:r>
        <w:rPr>
          <w:noProof/>
          <w:u w:val="none"/>
        </w:rPr>
        <w:t>EFFORT DE PÊCHE DES NAVIRES DE PÊCHE DE L’UNION DANS LE CADRE DE LA GESTION DES STOCKS DÉMERSAUX DANS LA MER MÉDITERRANÉE OCCIDENTALE</w:t>
      </w:r>
    </w:p>
    <w:p>
      <w:pPr>
        <w:rPr>
          <w:noProof/>
        </w:rPr>
      </w:pPr>
      <w:r>
        <w:rPr>
          <w:noProof/>
        </w:rPr>
        <w:t>Les tableaux de la présente annexe établissent l’effort de pêche maximal autorisé (en jours de pêche) par groupe de stocks, tel que défini à l’article 1</w:t>
      </w:r>
      <w:r>
        <w:rPr>
          <w:noProof/>
          <w:vertAlign w:val="superscript"/>
        </w:rPr>
        <w:t>er</w:t>
      </w:r>
      <w:r>
        <w:rPr>
          <w:noProof/>
        </w:rPr>
        <w:t xml:space="preserve"> du règlement (UE) 2019/1022, et par longueur hors tout des navires pour tous les types de chaluts</w:t>
      </w:r>
      <w:r>
        <w:rPr>
          <w:rStyle w:val="FootnoteReference"/>
          <w:noProof/>
        </w:rPr>
        <w:footnoteReference w:customMarkFollows="1" w:id="1"/>
        <w:t>*</w:t>
      </w:r>
      <w:r>
        <w:rPr>
          <w:noProof/>
        </w:rPr>
        <w:t xml:space="preserve"> pêchant les stocks démersaux dans la mer Méditerranée occidentale.</w:t>
      </w:r>
    </w:p>
    <w:p>
      <w:pPr>
        <w:rPr>
          <w:noProof/>
        </w:rPr>
      </w:pPr>
      <w:r>
        <w:rPr>
          <w:noProof/>
        </w:rPr>
        <w:t xml:space="preserve">Les efforts de pêche maximaux autorisés établis dans la présente annexe sont soumis aux règles prévues dans le règlement (UE) 2019/1022 et aux articles 26 à 35 du règlement (CE) nº 1224/2009. </w:t>
      </w:r>
    </w:p>
    <w:p>
      <w:pPr>
        <w:spacing w:after="0"/>
        <w:rPr>
          <w:noProof/>
        </w:rPr>
      </w:pPr>
      <w:r>
        <w:rPr>
          <w:noProof/>
        </w:rPr>
        <w:t>Les zones de pêche auxquelles il est fait référence correspondent aux sous-régions géographiques CGPM (SRG).</w:t>
      </w:r>
    </w:p>
    <w:p>
      <w:pPr>
        <w:rPr>
          <w:noProof/>
        </w:rPr>
      </w:pPr>
      <w:r>
        <w:rPr>
          <w:noProof/>
        </w:rPr>
        <w:t>Aux fins de la présente annexe, le tableau suivant met en correspondance les noms latins et les noms communs des stocks de poisson:</w:t>
      </w:r>
    </w:p>
    <w:p>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tc>
          <w:tcPr>
            <w:tcW w:w="3080" w:type="dxa"/>
            <w:tcBorders>
              <w:bottom w:val="single" w:sz="4" w:space="0" w:color="auto"/>
            </w:tcBorders>
          </w:tcPr>
          <w:p>
            <w:pPr>
              <w:spacing w:before="40" w:after="40"/>
              <w:jc w:val="center"/>
              <w:rPr>
                <w:noProof/>
              </w:rPr>
            </w:pPr>
            <w:r>
              <w:rPr>
                <w:noProof/>
              </w:rPr>
              <w:t>Nom scientifique</w:t>
            </w:r>
          </w:p>
        </w:tc>
        <w:tc>
          <w:tcPr>
            <w:tcW w:w="3081" w:type="dxa"/>
            <w:tcBorders>
              <w:bottom w:val="single" w:sz="4" w:space="0" w:color="auto"/>
            </w:tcBorders>
          </w:tcPr>
          <w:p>
            <w:pPr>
              <w:spacing w:before="40" w:after="40"/>
              <w:jc w:val="center"/>
              <w:rPr>
                <w:noProof/>
              </w:rPr>
            </w:pPr>
            <w:r>
              <w:rPr>
                <w:noProof/>
              </w:rPr>
              <w:t>Code alpha-3</w:t>
            </w:r>
          </w:p>
        </w:tc>
        <w:tc>
          <w:tcPr>
            <w:tcW w:w="3081" w:type="dxa"/>
            <w:tcBorders>
              <w:bottom w:val="single" w:sz="4" w:space="0" w:color="auto"/>
            </w:tcBorders>
          </w:tcPr>
          <w:p>
            <w:pPr>
              <w:spacing w:before="40" w:after="40"/>
              <w:jc w:val="center"/>
              <w:rPr>
                <w:noProof/>
              </w:rPr>
            </w:pPr>
            <w:r>
              <w:rPr>
                <w:noProof/>
              </w:rPr>
              <w:t>Nom commun</w:t>
            </w:r>
          </w:p>
        </w:tc>
      </w:tr>
      <w:tr>
        <w:tc>
          <w:tcPr>
            <w:tcW w:w="3080" w:type="dxa"/>
            <w:tcBorders>
              <w:top w:val="single" w:sz="4" w:space="0" w:color="auto"/>
            </w:tcBorders>
          </w:tcPr>
          <w:p>
            <w:pPr>
              <w:spacing w:before="40" w:after="40"/>
              <w:rPr>
                <w:i/>
                <w:noProof/>
              </w:rPr>
            </w:pPr>
            <w:r>
              <w:rPr>
                <w:i/>
                <w:noProof/>
              </w:rPr>
              <w:t>Aristaeomorpha foliacea</w:t>
            </w:r>
          </w:p>
        </w:tc>
        <w:tc>
          <w:tcPr>
            <w:tcW w:w="3081" w:type="dxa"/>
            <w:tcBorders>
              <w:top w:val="single" w:sz="4" w:space="0" w:color="auto"/>
            </w:tcBorders>
          </w:tcPr>
          <w:p>
            <w:pPr>
              <w:spacing w:before="40" w:after="40"/>
              <w:jc w:val="center"/>
              <w:rPr>
                <w:noProof/>
              </w:rPr>
            </w:pPr>
            <w:r>
              <w:rPr>
                <w:noProof/>
              </w:rPr>
              <w:t>ARS</w:t>
            </w:r>
          </w:p>
        </w:tc>
        <w:tc>
          <w:tcPr>
            <w:tcW w:w="3081" w:type="dxa"/>
            <w:tcBorders>
              <w:top w:val="single" w:sz="4" w:space="0" w:color="auto"/>
            </w:tcBorders>
          </w:tcPr>
          <w:p>
            <w:pPr>
              <w:spacing w:before="40" w:after="40"/>
              <w:rPr>
                <w:noProof/>
              </w:rPr>
            </w:pPr>
            <w:r>
              <w:rPr>
                <w:noProof/>
              </w:rPr>
              <w:t>Gambon rouge</w:t>
            </w:r>
          </w:p>
        </w:tc>
      </w:tr>
      <w:tr>
        <w:tc>
          <w:tcPr>
            <w:tcW w:w="3080" w:type="dxa"/>
          </w:tcPr>
          <w:p>
            <w:pPr>
              <w:spacing w:before="40" w:after="40"/>
              <w:rPr>
                <w:i/>
                <w:noProof/>
              </w:rPr>
            </w:pPr>
            <w:r>
              <w:rPr>
                <w:i/>
                <w:noProof/>
              </w:rPr>
              <w:t>Aristeus antennatus</w:t>
            </w:r>
          </w:p>
        </w:tc>
        <w:tc>
          <w:tcPr>
            <w:tcW w:w="3081" w:type="dxa"/>
          </w:tcPr>
          <w:p>
            <w:pPr>
              <w:spacing w:before="40" w:after="40"/>
              <w:jc w:val="center"/>
              <w:rPr>
                <w:noProof/>
              </w:rPr>
            </w:pPr>
            <w:r>
              <w:rPr>
                <w:noProof/>
              </w:rPr>
              <w:t>ARA</w:t>
            </w:r>
          </w:p>
        </w:tc>
        <w:tc>
          <w:tcPr>
            <w:tcW w:w="3081" w:type="dxa"/>
          </w:tcPr>
          <w:p>
            <w:pPr>
              <w:spacing w:before="40" w:after="40"/>
              <w:rPr>
                <w:noProof/>
              </w:rPr>
            </w:pPr>
            <w:r>
              <w:rPr>
                <w:noProof/>
              </w:rPr>
              <w:t>Crevette rouge</w:t>
            </w:r>
          </w:p>
        </w:tc>
      </w:tr>
      <w:tr>
        <w:tc>
          <w:tcPr>
            <w:tcW w:w="3080" w:type="dxa"/>
          </w:tcPr>
          <w:p>
            <w:pPr>
              <w:spacing w:before="40" w:after="40"/>
              <w:rPr>
                <w:i/>
                <w:noProof/>
              </w:rPr>
            </w:pPr>
            <w:r>
              <w:rPr>
                <w:i/>
                <w:noProof/>
              </w:rPr>
              <w:t>Merluccius merluccius</w:t>
            </w:r>
          </w:p>
        </w:tc>
        <w:tc>
          <w:tcPr>
            <w:tcW w:w="3081" w:type="dxa"/>
          </w:tcPr>
          <w:p>
            <w:pPr>
              <w:spacing w:before="40" w:after="40"/>
              <w:jc w:val="center"/>
              <w:rPr>
                <w:noProof/>
              </w:rPr>
            </w:pPr>
            <w:r>
              <w:rPr>
                <w:noProof/>
              </w:rPr>
              <w:t>HKE</w:t>
            </w:r>
          </w:p>
        </w:tc>
        <w:tc>
          <w:tcPr>
            <w:tcW w:w="3081" w:type="dxa"/>
          </w:tcPr>
          <w:p>
            <w:pPr>
              <w:spacing w:before="40" w:after="40"/>
              <w:rPr>
                <w:noProof/>
              </w:rPr>
            </w:pPr>
            <w:r>
              <w:rPr>
                <w:noProof/>
              </w:rPr>
              <w:t>Merlu européen</w:t>
            </w:r>
          </w:p>
        </w:tc>
      </w:tr>
      <w:tr>
        <w:tc>
          <w:tcPr>
            <w:tcW w:w="3080" w:type="dxa"/>
          </w:tcPr>
          <w:p>
            <w:pPr>
              <w:spacing w:before="40" w:after="40"/>
              <w:rPr>
                <w:i/>
                <w:noProof/>
              </w:rPr>
            </w:pPr>
            <w:r>
              <w:rPr>
                <w:i/>
                <w:noProof/>
              </w:rPr>
              <w:t>Mullus barbatus</w:t>
            </w:r>
          </w:p>
        </w:tc>
        <w:tc>
          <w:tcPr>
            <w:tcW w:w="3081" w:type="dxa"/>
          </w:tcPr>
          <w:p>
            <w:pPr>
              <w:spacing w:before="40" w:after="40"/>
              <w:jc w:val="center"/>
              <w:rPr>
                <w:noProof/>
              </w:rPr>
            </w:pPr>
            <w:r>
              <w:rPr>
                <w:noProof/>
              </w:rPr>
              <w:t>MUT</w:t>
            </w:r>
          </w:p>
        </w:tc>
        <w:tc>
          <w:tcPr>
            <w:tcW w:w="3081" w:type="dxa"/>
          </w:tcPr>
          <w:p>
            <w:pPr>
              <w:spacing w:before="40" w:after="40"/>
              <w:rPr>
                <w:noProof/>
              </w:rPr>
            </w:pPr>
            <w:r>
              <w:rPr>
                <w:noProof/>
              </w:rPr>
              <w:t>Rouget de vase</w:t>
            </w:r>
          </w:p>
        </w:tc>
      </w:tr>
      <w:tr>
        <w:tc>
          <w:tcPr>
            <w:tcW w:w="3080" w:type="dxa"/>
          </w:tcPr>
          <w:p>
            <w:pPr>
              <w:spacing w:before="40" w:after="40"/>
              <w:rPr>
                <w:i/>
                <w:noProof/>
              </w:rPr>
            </w:pPr>
            <w:r>
              <w:rPr>
                <w:i/>
                <w:noProof/>
              </w:rPr>
              <w:t>Nephrops norvegicus</w:t>
            </w:r>
          </w:p>
        </w:tc>
        <w:tc>
          <w:tcPr>
            <w:tcW w:w="3081" w:type="dxa"/>
          </w:tcPr>
          <w:p>
            <w:pPr>
              <w:spacing w:before="40" w:after="40"/>
              <w:jc w:val="center"/>
              <w:rPr>
                <w:noProof/>
              </w:rPr>
            </w:pPr>
            <w:r>
              <w:rPr>
                <w:noProof/>
              </w:rPr>
              <w:t>NEP</w:t>
            </w:r>
          </w:p>
        </w:tc>
        <w:tc>
          <w:tcPr>
            <w:tcW w:w="3081" w:type="dxa"/>
          </w:tcPr>
          <w:p>
            <w:pPr>
              <w:spacing w:before="40" w:after="40"/>
              <w:rPr>
                <w:noProof/>
              </w:rPr>
            </w:pPr>
            <w:r>
              <w:rPr>
                <w:noProof/>
              </w:rPr>
              <w:t>Langoustine</w:t>
            </w:r>
          </w:p>
        </w:tc>
      </w:tr>
      <w:tr>
        <w:tc>
          <w:tcPr>
            <w:tcW w:w="3080" w:type="dxa"/>
          </w:tcPr>
          <w:p>
            <w:pPr>
              <w:spacing w:before="40" w:after="40"/>
              <w:rPr>
                <w:i/>
                <w:noProof/>
              </w:rPr>
            </w:pPr>
            <w:r>
              <w:rPr>
                <w:i/>
                <w:noProof/>
              </w:rPr>
              <w:t>Parapenaeus longirostris</w:t>
            </w:r>
          </w:p>
        </w:tc>
        <w:tc>
          <w:tcPr>
            <w:tcW w:w="3081" w:type="dxa"/>
          </w:tcPr>
          <w:p>
            <w:pPr>
              <w:spacing w:before="40" w:after="40"/>
              <w:jc w:val="center"/>
              <w:rPr>
                <w:noProof/>
              </w:rPr>
            </w:pPr>
            <w:r>
              <w:rPr>
                <w:noProof/>
              </w:rPr>
              <w:t>DPS</w:t>
            </w:r>
          </w:p>
        </w:tc>
        <w:tc>
          <w:tcPr>
            <w:tcW w:w="3081" w:type="dxa"/>
          </w:tcPr>
          <w:p>
            <w:pPr>
              <w:spacing w:before="40" w:after="40"/>
              <w:rPr>
                <w:noProof/>
                <w:szCs w:val="24"/>
              </w:rPr>
            </w:pPr>
            <w:r>
              <w:rPr>
                <w:noProof/>
              </w:rPr>
              <w:t>Crevette rose du large</w:t>
            </w:r>
          </w:p>
        </w:tc>
      </w:tr>
    </w:tbl>
    <w:p>
      <w:pPr>
        <w:pBdr>
          <w:bottom w:val="single" w:sz="4" w:space="1" w:color="auto"/>
        </w:pBdr>
        <w:spacing w:after="0"/>
        <w:ind w:left="3969" w:right="4206"/>
        <w:rPr>
          <w:b/>
          <w:noProof/>
        </w:rPr>
      </w:pPr>
    </w:p>
    <w:p>
      <w:pPr>
        <w:spacing w:after="160" w:line="259" w:lineRule="auto"/>
        <w:rPr>
          <w:b/>
          <w:noProof/>
        </w:rPr>
      </w:pPr>
    </w:p>
    <w:p>
      <w:pPr>
        <w:spacing w:before="0" w:after="200" w:line="276" w:lineRule="auto"/>
        <w:jc w:val="left"/>
        <w:rPr>
          <w:b/>
          <w:noProof/>
        </w:rPr>
      </w:pPr>
      <w:r>
        <w:rPr>
          <w:noProof/>
        </w:rPr>
        <w:br w:type="page"/>
      </w:r>
    </w:p>
    <w:p>
      <w:pPr>
        <w:pStyle w:val="NormalCentered"/>
        <w:rPr>
          <w:b/>
          <w:noProof/>
        </w:rPr>
      </w:pPr>
      <w:r>
        <w:rPr>
          <w:b/>
          <w:noProof/>
        </w:rPr>
        <w:lastRenderedPageBreak/>
        <w:t>Effort de pêche maximal autorisé en jours de pêche</w:t>
      </w:r>
    </w:p>
    <w:p>
      <w:pPr>
        <w:spacing w:after="160" w:line="259" w:lineRule="auto"/>
        <w:rPr>
          <w:noProof/>
        </w:rPr>
      </w:pPr>
      <w:r>
        <w:rPr>
          <w:noProof/>
        </w:rPr>
        <w:t>A) Mer d’Alboran, îles Baléares, nord de l’Espagne et golfe du Lion (SRG 1-2-5-6-7)</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8"/>
        <w:gridCol w:w="2188"/>
        <w:gridCol w:w="1051"/>
        <w:gridCol w:w="922"/>
        <w:gridCol w:w="923"/>
        <w:gridCol w:w="2017"/>
      </w:tblGrid>
      <w:tr>
        <w:tc>
          <w:tcPr>
            <w:tcW w:w="1276" w:type="pct"/>
          </w:tcPr>
          <w:p>
            <w:pPr>
              <w:spacing w:before="40" w:after="40"/>
              <w:jc w:val="center"/>
              <w:rPr>
                <w:noProof/>
              </w:rPr>
            </w:pPr>
            <w:r>
              <w:rPr>
                <w:noProof/>
              </w:rPr>
              <w:t>Groupe de stocks</w:t>
            </w:r>
          </w:p>
        </w:tc>
        <w:tc>
          <w:tcPr>
            <w:tcW w:w="1276" w:type="pct"/>
          </w:tcPr>
          <w:p>
            <w:pPr>
              <w:spacing w:before="40" w:after="40"/>
              <w:jc w:val="center"/>
              <w:rPr>
                <w:noProof/>
              </w:rPr>
            </w:pPr>
            <w:r>
              <w:rPr>
                <w:noProof/>
              </w:rPr>
              <w:t>Longueur hors tout des navires</w:t>
            </w:r>
          </w:p>
        </w:tc>
        <w:tc>
          <w:tcPr>
            <w:tcW w:w="664" w:type="pct"/>
          </w:tcPr>
          <w:p>
            <w:pPr>
              <w:spacing w:before="40" w:after="40"/>
              <w:jc w:val="center"/>
              <w:rPr>
                <w:noProof/>
              </w:rPr>
            </w:pPr>
            <w:r>
              <w:rPr>
                <w:noProof/>
              </w:rPr>
              <w:t>Espagne</w:t>
            </w:r>
          </w:p>
        </w:tc>
        <w:tc>
          <w:tcPr>
            <w:tcW w:w="595" w:type="pct"/>
          </w:tcPr>
          <w:p>
            <w:pPr>
              <w:spacing w:before="40" w:after="40"/>
              <w:jc w:val="center"/>
              <w:rPr>
                <w:noProof/>
              </w:rPr>
            </w:pPr>
            <w:r>
              <w:rPr>
                <w:noProof/>
              </w:rPr>
              <w:t>France</w:t>
            </w:r>
          </w:p>
        </w:tc>
        <w:tc>
          <w:tcPr>
            <w:tcW w:w="595" w:type="pct"/>
          </w:tcPr>
          <w:p>
            <w:pPr>
              <w:spacing w:before="40" w:after="40"/>
              <w:jc w:val="center"/>
              <w:rPr>
                <w:noProof/>
              </w:rPr>
            </w:pPr>
            <w:r>
              <w:rPr>
                <w:noProof/>
              </w:rPr>
              <w:t>Italie</w:t>
            </w:r>
          </w:p>
        </w:tc>
        <w:tc>
          <w:tcPr>
            <w:tcW w:w="594" w:type="pct"/>
          </w:tcPr>
          <w:p>
            <w:pPr>
              <w:spacing w:before="40" w:after="40"/>
              <w:jc w:val="center"/>
              <w:rPr>
                <w:noProof/>
              </w:rPr>
            </w:pPr>
            <w:r>
              <w:rPr>
                <w:noProof/>
              </w:rPr>
              <w:t>Code du groupe d'effort de pêche</w:t>
            </w:r>
          </w:p>
        </w:tc>
      </w:tr>
      <w:tr>
        <w:trPr>
          <w:trHeight w:val="426"/>
        </w:trPr>
        <w:tc>
          <w:tcPr>
            <w:tcW w:w="1276" w:type="pct"/>
            <w:vMerge w:val="restart"/>
            <w:vAlign w:val="center"/>
          </w:tcPr>
          <w:p>
            <w:pPr>
              <w:spacing w:before="40" w:after="40"/>
              <w:rPr>
                <w:noProof/>
              </w:rPr>
            </w:pPr>
            <w:r>
              <w:rPr>
                <w:noProof/>
              </w:rPr>
              <w:t>Rouget de vase dans les SRG 1, 5, 6 et 7; merlu dans les SRG 1, 5, 6 et 7; crevette rose du large dans les SRG 1, 5 et 6; langoustine dans les SRG 5 et 6.</w:t>
            </w:r>
          </w:p>
        </w:tc>
        <w:tc>
          <w:tcPr>
            <w:tcW w:w="1276" w:type="pct"/>
            <w:vAlign w:val="center"/>
          </w:tcPr>
          <w:p>
            <w:pPr>
              <w:spacing w:before="40" w:after="40"/>
              <w:rPr>
                <w:rFonts w:eastAsia="Times New Roman"/>
                <w:noProof/>
                <w:szCs w:val="24"/>
              </w:rPr>
            </w:pPr>
            <w:r>
              <w:rPr>
                <w:noProof/>
              </w:rPr>
              <w:t>&lt; 12 m</w:t>
            </w:r>
          </w:p>
        </w:tc>
        <w:tc>
          <w:tcPr>
            <w:tcW w:w="664" w:type="pct"/>
          </w:tcPr>
          <w:p>
            <w:pPr>
              <w:spacing w:before="40" w:after="40"/>
              <w:jc w:val="center"/>
              <w:rPr>
                <w:noProof/>
              </w:rPr>
            </w:pPr>
            <w:r>
              <w:rPr>
                <w:noProof/>
              </w:rPr>
              <w:t>2 260</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EFF1/MED1_TR1</w:t>
            </w:r>
          </w:p>
        </w:tc>
      </w:tr>
      <w:tr>
        <w:trPr>
          <w:trHeight w:val="427"/>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12 m et &lt; 18 m</w:t>
            </w:r>
          </w:p>
        </w:tc>
        <w:tc>
          <w:tcPr>
            <w:tcW w:w="664" w:type="pct"/>
          </w:tcPr>
          <w:p>
            <w:pPr>
              <w:spacing w:before="40" w:after="40"/>
              <w:jc w:val="center"/>
              <w:rPr>
                <w:noProof/>
              </w:rPr>
            </w:pPr>
            <w:r>
              <w:rPr>
                <w:noProof/>
              </w:rPr>
              <w:t>24 284</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EFF1/MED1_TR2</w:t>
            </w:r>
          </w:p>
        </w:tc>
      </w:tr>
      <w:tr>
        <w:trPr>
          <w:trHeight w:val="42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18 m et &lt; 24 m</w:t>
            </w:r>
          </w:p>
        </w:tc>
        <w:tc>
          <w:tcPr>
            <w:tcW w:w="664" w:type="pct"/>
          </w:tcPr>
          <w:p>
            <w:pPr>
              <w:spacing w:before="40" w:after="40"/>
              <w:jc w:val="center"/>
              <w:rPr>
                <w:noProof/>
              </w:rPr>
            </w:pPr>
            <w:r>
              <w:rPr>
                <w:noProof/>
              </w:rPr>
              <w:t>46 277</w:t>
            </w:r>
          </w:p>
        </w:tc>
        <w:tc>
          <w:tcPr>
            <w:tcW w:w="595" w:type="pct"/>
          </w:tcPr>
          <w:p>
            <w:pPr>
              <w:spacing w:before="40" w:after="40"/>
              <w:jc w:val="center"/>
              <w:rPr>
                <w:noProof/>
              </w:rPr>
            </w:pPr>
            <w:r>
              <w:rPr>
                <w:noProof/>
              </w:rPr>
              <w:t>5 144</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EFF1/MED1_TR3</w:t>
            </w:r>
          </w:p>
        </w:tc>
      </w:tr>
      <w:tr>
        <w:trPr>
          <w:trHeight w:val="427"/>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24 m</w:t>
            </w:r>
          </w:p>
        </w:tc>
        <w:tc>
          <w:tcPr>
            <w:tcW w:w="664" w:type="pct"/>
          </w:tcPr>
          <w:p>
            <w:pPr>
              <w:spacing w:before="40" w:after="40"/>
              <w:jc w:val="center"/>
              <w:rPr>
                <w:noProof/>
              </w:rPr>
            </w:pPr>
            <w:r>
              <w:rPr>
                <w:noProof/>
              </w:rPr>
              <w:t>16 240</w:t>
            </w:r>
          </w:p>
        </w:tc>
        <w:tc>
          <w:tcPr>
            <w:tcW w:w="595" w:type="pct"/>
          </w:tcPr>
          <w:p>
            <w:pPr>
              <w:spacing w:before="40" w:after="40"/>
              <w:jc w:val="center"/>
              <w:rPr>
                <w:noProof/>
              </w:rPr>
            </w:pPr>
            <w:r>
              <w:rPr>
                <w:noProof/>
              </w:rPr>
              <w:t>6 258</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EFF1/MED1_TR4</w:t>
            </w:r>
          </w:p>
        </w:tc>
      </w:tr>
    </w:tbl>
    <w:p>
      <w:pPr>
        <w:spacing w:after="0"/>
        <w:rPr>
          <w:noProof/>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8"/>
        <w:gridCol w:w="2188"/>
        <w:gridCol w:w="1051"/>
        <w:gridCol w:w="922"/>
        <w:gridCol w:w="923"/>
        <w:gridCol w:w="2017"/>
      </w:tblGrid>
      <w:tr>
        <w:tc>
          <w:tcPr>
            <w:tcW w:w="1276" w:type="pct"/>
          </w:tcPr>
          <w:p>
            <w:pPr>
              <w:spacing w:before="40" w:after="40"/>
              <w:jc w:val="center"/>
              <w:rPr>
                <w:noProof/>
              </w:rPr>
            </w:pPr>
            <w:r>
              <w:rPr>
                <w:noProof/>
              </w:rPr>
              <w:t>Groupe de stocks</w:t>
            </w:r>
          </w:p>
        </w:tc>
        <w:tc>
          <w:tcPr>
            <w:tcW w:w="1276" w:type="pct"/>
          </w:tcPr>
          <w:p>
            <w:pPr>
              <w:spacing w:before="40" w:after="40"/>
              <w:jc w:val="center"/>
              <w:rPr>
                <w:noProof/>
              </w:rPr>
            </w:pPr>
            <w:r>
              <w:rPr>
                <w:noProof/>
              </w:rPr>
              <w:t>Longueur hors tout des navires</w:t>
            </w:r>
          </w:p>
        </w:tc>
        <w:tc>
          <w:tcPr>
            <w:tcW w:w="664" w:type="pct"/>
          </w:tcPr>
          <w:p>
            <w:pPr>
              <w:spacing w:before="40" w:after="40"/>
              <w:jc w:val="center"/>
              <w:rPr>
                <w:noProof/>
              </w:rPr>
            </w:pPr>
            <w:r>
              <w:rPr>
                <w:noProof/>
              </w:rPr>
              <w:t>Espagne</w:t>
            </w:r>
          </w:p>
        </w:tc>
        <w:tc>
          <w:tcPr>
            <w:tcW w:w="595" w:type="pct"/>
          </w:tcPr>
          <w:p>
            <w:pPr>
              <w:spacing w:before="40" w:after="40"/>
              <w:jc w:val="center"/>
              <w:rPr>
                <w:noProof/>
              </w:rPr>
            </w:pPr>
            <w:r>
              <w:rPr>
                <w:noProof/>
              </w:rPr>
              <w:t>France</w:t>
            </w:r>
          </w:p>
        </w:tc>
        <w:tc>
          <w:tcPr>
            <w:tcW w:w="595" w:type="pct"/>
          </w:tcPr>
          <w:p>
            <w:pPr>
              <w:spacing w:before="40" w:after="40"/>
              <w:jc w:val="center"/>
              <w:rPr>
                <w:noProof/>
              </w:rPr>
            </w:pPr>
            <w:r>
              <w:rPr>
                <w:noProof/>
              </w:rPr>
              <w:t>Italie</w:t>
            </w:r>
          </w:p>
        </w:tc>
        <w:tc>
          <w:tcPr>
            <w:tcW w:w="594" w:type="pct"/>
          </w:tcPr>
          <w:p>
            <w:pPr>
              <w:spacing w:before="40" w:after="40"/>
              <w:jc w:val="center"/>
              <w:rPr>
                <w:noProof/>
              </w:rPr>
            </w:pPr>
            <w:r>
              <w:rPr>
                <w:noProof/>
              </w:rPr>
              <w:t>Code du groupe d'effort de pêche</w:t>
            </w:r>
          </w:p>
        </w:tc>
      </w:tr>
      <w:tr>
        <w:trPr>
          <w:trHeight w:val="356"/>
        </w:trPr>
        <w:tc>
          <w:tcPr>
            <w:tcW w:w="1276" w:type="pct"/>
            <w:vMerge w:val="restart"/>
            <w:vAlign w:val="center"/>
          </w:tcPr>
          <w:p>
            <w:pPr>
              <w:spacing w:before="40" w:after="40"/>
              <w:rPr>
                <w:noProof/>
              </w:rPr>
            </w:pPr>
            <w:r>
              <w:rPr>
                <w:noProof/>
              </w:rPr>
              <w:t>Crevette rouge dans les SRG 1, 5, 6 et 7.</w:t>
            </w:r>
          </w:p>
        </w:tc>
        <w:tc>
          <w:tcPr>
            <w:tcW w:w="1276" w:type="pct"/>
            <w:vAlign w:val="center"/>
          </w:tcPr>
          <w:p>
            <w:pPr>
              <w:spacing w:before="40" w:after="40"/>
              <w:rPr>
                <w:rFonts w:eastAsia="Times New Roman"/>
                <w:noProof/>
                <w:szCs w:val="24"/>
              </w:rPr>
            </w:pPr>
            <w:r>
              <w:rPr>
                <w:noProof/>
              </w:rPr>
              <w:t>&lt; 12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EFF2/MED1_TR1</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12 m et &lt; 18 m</w:t>
            </w:r>
          </w:p>
        </w:tc>
        <w:tc>
          <w:tcPr>
            <w:tcW w:w="664" w:type="pct"/>
          </w:tcPr>
          <w:p>
            <w:pPr>
              <w:spacing w:before="40" w:after="40"/>
              <w:jc w:val="center"/>
              <w:rPr>
                <w:noProof/>
              </w:rPr>
            </w:pPr>
            <w:r>
              <w:rPr>
                <w:noProof/>
              </w:rPr>
              <w:t>1 139</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EFF2/MED1_TR2</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18 m et &lt; 24 m</w:t>
            </w:r>
          </w:p>
        </w:tc>
        <w:tc>
          <w:tcPr>
            <w:tcW w:w="664" w:type="pct"/>
          </w:tcPr>
          <w:p>
            <w:pPr>
              <w:spacing w:before="40" w:after="40"/>
              <w:jc w:val="center"/>
              <w:rPr>
                <w:noProof/>
              </w:rPr>
            </w:pPr>
            <w:r>
              <w:rPr>
                <w:noProof/>
              </w:rPr>
              <w:t>10 822</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EFF2/MED1_TR3</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24 m</w:t>
            </w:r>
          </w:p>
        </w:tc>
        <w:tc>
          <w:tcPr>
            <w:tcW w:w="664" w:type="pct"/>
          </w:tcPr>
          <w:p>
            <w:pPr>
              <w:spacing w:before="40" w:after="40"/>
              <w:jc w:val="center"/>
              <w:rPr>
                <w:noProof/>
              </w:rPr>
            </w:pPr>
            <w:r>
              <w:rPr>
                <w:noProof/>
              </w:rPr>
              <w:t>9 066</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4" w:type="pct"/>
          </w:tcPr>
          <w:p>
            <w:pPr>
              <w:spacing w:before="40" w:after="40"/>
              <w:jc w:val="center"/>
              <w:rPr>
                <w:noProof/>
              </w:rPr>
            </w:pPr>
            <w:r>
              <w:rPr>
                <w:noProof/>
              </w:rPr>
              <w:t>EFF2/MED1_TR4</w:t>
            </w:r>
          </w:p>
        </w:tc>
      </w:tr>
    </w:tbl>
    <w:p>
      <w:pPr>
        <w:spacing w:after="0"/>
        <w:rPr>
          <w:noProof/>
        </w:rPr>
      </w:pPr>
    </w:p>
    <w:p>
      <w:pPr>
        <w:rPr>
          <w:noProof/>
        </w:rPr>
      </w:pPr>
      <w:r>
        <w:rPr>
          <w:noProof/>
        </w:rPr>
        <w:t>b) Corse, mer Ligure, mer Tyrrhénienne et Sardaigne (SRG 8-9-10-11)</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8"/>
        <w:gridCol w:w="2188"/>
        <w:gridCol w:w="1051"/>
        <w:gridCol w:w="922"/>
        <w:gridCol w:w="923"/>
        <w:gridCol w:w="2017"/>
      </w:tblGrid>
      <w:tr>
        <w:tc>
          <w:tcPr>
            <w:tcW w:w="1276" w:type="pct"/>
          </w:tcPr>
          <w:p>
            <w:pPr>
              <w:spacing w:before="40" w:after="40"/>
              <w:jc w:val="center"/>
              <w:rPr>
                <w:noProof/>
              </w:rPr>
            </w:pPr>
            <w:r>
              <w:rPr>
                <w:noProof/>
              </w:rPr>
              <w:t>Groupe de stocks</w:t>
            </w:r>
          </w:p>
        </w:tc>
        <w:tc>
          <w:tcPr>
            <w:tcW w:w="1276" w:type="pct"/>
          </w:tcPr>
          <w:p>
            <w:pPr>
              <w:spacing w:before="40" w:after="40"/>
              <w:jc w:val="center"/>
              <w:rPr>
                <w:noProof/>
              </w:rPr>
            </w:pPr>
            <w:r>
              <w:rPr>
                <w:noProof/>
              </w:rPr>
              <w:t>Longueur hors tout des navires</w:t>
            </w:r>
          </w:p>
        </w:tc>
        <w:tc>
          <w:tcPr>
            <w:tcW w:w="664" w:type="pct"/>
          </w:tcPr>
          <w:p>
            <w:pPr>
              <w:spacing w:before="40" w:after="40"/>
              <w:jc w:val="center"/>
              <w:rPr>
                <w:noProof/>
              </w:rPr>
            </w:pPr>
            <w:r>
              <w:rPr>
                <w:noProof/>
              </w:rPr>
              <w:t>Espagne</w:t>
            </w:r>
          </w:p>
        </w:tc>
        <w:tc>
          <w:tcPr>
            <w:tcW w:w="595" w:type="pct"/>
          </w:tcPr>
          <w:p>
            <w:pPr>
              <w:spacing w:before="40" w:after="40"/>
              <w:jc w:val="center"/>
              <w:rPr>
                <w:noProof/>
              </w:rPr>
            </w:pPr>
            <w:r>
              <w:rPr>
                <w:noProof/>
              </w:rPr>
              <w:t>France</w:t>
            </w:r>
          </w:p>
        </w:tc>
        <w:tc>
          <w:tcPr>
            <w:tcW w:w="595" w:type="pct"/>
          </w:tcPr>
          <w:p>
            <w:pPr>
              <w:spacing w:before="40" w:after="40"/>
              <w:jc w:val="center"/>
              <w:rPr>
                <w:noProof/>
              </w:rPr>
            </w:pPr>
            <w:r>
              <w:rPr>
                <w:noProof/>
              </w:rPr>
              <w:t>Italie</w:t>
            </w:r>
          </w:p>
        </w:tc>
        <w:tc>
          <w:tcPr>
            <w:tcW w:w="594" w:type="pct"/>
          </w:tcPr>
          <w:p>
            <w:pPr>
              <w:spacing w:before="40" w:after="40"/>
              <w:jc w:val="center"/>
              <w:rPr>
                <w:noProof/>
              </w:rPr>
            </w:pPr>
            <w:r>
              <w:rPr>
                <w:noProof/>
              </w:rPr>
              <w:t>Code du groupe d'effort de pêche</w:t>
            </w:r>
          </w:p>
        </w:tc>
      </w:tr>
      <w:tr>
        <w:trPr>
          <w:trHeight w:val="426"/>
        </w:trPr>
        <w:tc>
          <w:tcPr>
            <w:tcW w:w="1276" w:type="pct"/>
            <w:vMerge w:val="restart"/>
            <w:vAlign w:val="center"/>
          </w:tcPr>
          <w:p>
            <w:pPr>
              <w:spacing w:before="40" w:after="40"/>
              <w:rPr>
                <w:noProof/>
              </w:rPr>
            </w:pPr>
            <w:r>
              <w:rPr>
                <w:noProof/>
              </w:rPr>
              <w:t>Rouget de vase dans les SRG 9, 10 et 11; merlu dans les SRG 9, 10 et 11; crevette rose du large dans les SRG 9, 10 et 11; langoustine dans les SRG 9 et 10.</w:t>
            </w:r>
          </w:p>
        </w:tc>
        <w:tc>
          <w:tcPr>
            <w:tcW w:w="1276" w:type="pct"/>
            <w:vAlign w:val="center"/>
          </w:tcPr>
          <w:p>
            <w:pPr>
              <w:spacing w:before="40" w:after="40"/>
              <w:rPr>
                <w:rFonts w:eastAsia="Times New Roman"/>
                <w:noProof/>
                <w:szCs w:val="24"/>
              </w:rPr>
            </w:pPr>
            <w:r>
              <w:rPr>
                <w:noProof/>
              </w:rPr>
              <w:t>&lt; 12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208</w:t>
            </w:r>
          </w:p>
        </w:tc>
        <w:tc>
          <w:tcPr>
            <w:tcW w:w="595" w:type="pct"/>
          </w:tcPr>
          <w:p>
            <w:pPr>
              <w:spacing w:before="40" w:after="40"/>
              <w:jc w:val="center"/>
              <w:rPr>
                <w:noProof/>
              </w:rPr>
            </w:pPr>
            <w:r>
              <w:rPr>
                <w:noProof/>
              </w:rPr>
              <w:t>3 081</w:t>
            </w:r>
          </w:p>
        </w:tc>
        <w:tc>
          <w:tcPr>
            <w:tcW w:w="594" w:type="pct"/>
          </w:tcPr>
          <w:p>
            <w:pPr>
              <w:spacing w:before="40" w:after="40"/>
              <w:jc w:val="center"/>
              <w:rPr>
                <w:noProof/>
              </w:rPr>
            </w:pPr>
            <w:r>
              <w:rPr>
                <w:noProof/>
              </w:rPr>
              <w:t>EFF1/MED2_TR1</w:t>
            </w:r>
          </w:p>
        </w:tc>
      </w:tr>
      <w:tr>
        <w:trPr>
          <w:trHeight w:val="427"/>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12 m et &lt; 18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832</w:t>
            </w:r>
          </w:p>
        </w:tc>
        <w:tc>
          <w:tcPr>
            <w:tcW w:w="595" w:type="pct"/>
          </w:tcPr>
          <w:p>
            <w:pPr>
              <w:spacing w:before="40" w:after="40"/>
              <w:jc w:val="center"/>
              <w:rPr>
                <w:noProof/>
              </w:rPr>
            </w:pPr>
            <w:r>
              <w:rPr>
                <w:noProof/>
              </w:rPr>
              <w:t>46 350</w:t>
            </w:r>
          </w:p>
        </w:tc>
        <w:tc>
          <w:tcPr>
            <w:tcW w:w="594" w:type="pct"/>
          </w:tcPr>
          <w:p>
            <w:pPr>
              <w:spacing w:before="40" w:after="40"/>
              <w:jc w:val="center"/>
              <w:rPr>
                <w:noProof/>
              </w:rPr>
            </w:pPr>
            <w:r>
              <w:rPr>
                <w:noProof/>
              </w:rPr>
              <w:t>EFF1/MED2_TR2</w:t>
            </w:r>
          </w:p>
        </w:tc>
      </w:tr>
      <w:tr>
        <w:trPr>
          <w:trHeight w:val="42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18 m et &lt; 24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208</w:t>
            </w:r>
          </w:p>
        </w:tc>
        <w:tc>
          <w:tcPr>
            <w:tcW w:w="595" w:type="pct"/>
          </w:tcPr>
          <w:p>
            <w:pPr>
              <w:spacing w:before="40" w:after="40"/>
              <w:jc w:val="center"/>
              <w:rPr>
                <w:noProof/>
              </w:rPr>
            </w:pPr>
            <w:r>
              <w:rPr>
                <w:noProof/>
              </w:rPr>
              <w:t>31 170</w:t>
            </w:r>
          </w:p>
        </w:tc>
        <w:tc>
          <w:tcPr>
            <w:tcW w:w="594" w:type="pct"/>
          </w:tcPr>
          <w:p>
            <w:pPr>
              <w:spacing w:before="40" w:after="40"/>
              <w:jc w:val="center"/>
              <w:rPr>
                <w:noProof/>
              </w:rPr>
            </w:pPr>
            <w:r>
              <w:rPr>
                <w:noProof/>
              </w:rPr>
              <w:t>EFF1/MED2_TR3</w:t>
            </w:r>
          </w:p>
        </w:tc>
      </w:tr>
      <w:tr>
        <w:trPr>
          <w:trHeight w:val="427"/>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24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208</w:t>
            </w:r>
          </w:p>
        </w:tc>
        <w:tc>
          <w:tcPr>
            <w:tcW w:w="595" w:type="pct"/>
          </w:tcPr>
          <w:p>
            <w:pPr>
              <w:spacing w:before="40" w:after="40"/>
              <w:jc w:val="center"/>
              <w:rPr>
                <w:noProof/>
              </w:rPr>
            </w:pPr>
            <w:r>
              <w:rPr>
                <w:noProof/>
              </w:rPr>
              <w:t>4 160</w:t>
            </w:r>
          </w:p>
        </w:tc>
        <w:tc>
          <w:tcPr>
            <w:tcW w:w="594" w:type="pct"/>
          </w:tcPr>
          <w:p>
            <w:pPr>
              <w:spacing w:before="40" w:after="40"/>
              <w:jc w:val="center"/>
              <w:rPr>
                <w:noProof/>
              </w:rPr>
            </w:pPr>
            <w:r>
              <w:rPr>
                <w:noProof/>
              </w:rPr>
              <w:t>EFF1/MED2_TR4</w:t>
            </w:r>
          </w:p>
        </w:tc>
      </w:tr>
    </w:tbl>
    <w:p>
      <w:pPr>
        <w:spacing w:after="0"/>
        <w:rPr>
          <w:noProof/>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88"/>
        <w:gridCol w:w="2188"/>
        <w:gridCol w:w="1051"/>
        <w:gridCol w:w="922"/>
        <w:gridCol w:w="923"/>
        <w:gridCol w:w="2017"/>
      </w:tblGrid>
      <w:tr>
        <w:tc>
          <w:tcPr>
            <w:tcW w:w="1276" w:type="pct"/>
          </w:tcPr>
          <w:p>
            <w:pPr>
              <w:spacing w:before="40" w:after="40"/>
              <w:jc w:val="center"/>
              <w:rPr>
                <w:noProof/>
              </w:rPr>
            </w:pPr>
            <w:r>
              <w:rPr>
                <w:noProof/>
              </w:rPr>
              <w:t>Groupe de stocks</w:t>
            </w:r>
          </w:p>
        </w:tc>
        <w:tc>
          <w:tcPr>
            <w:tcW w:w="1276" w:type="pct"/>
          </w:tcPr>
          <w:p>
            <w:pPr>
              <w:spacing w:before="40" w:after="40"/>
              <w:jc w:val="center"/>
              <w:rPr>
                <w:noProof/>
              </w:rPr>
            </w:pPr>
            <w:r>
              <w:rPr>
                <w:noProof/>
              </w:rPr>
              <w:t>Longueur hors tout des navires</w:t>
            </w:r>
          </w:p>
        </w:tc>
        <w:tc>
          <w:tcPr>
            <w:tcW w:w="664" w:type="pct"/>
          </w:tcPr>
          <w:p>
            <w:pPr>
              <w:spacing w:before="40" w:after="40"/>
              <w:jc w:val="center"/>
              <w:rPr>
                <w:noProof/>
              </w:rPr>
            </w:pPr>
            <w:r>
              <w:rPr>
                <w:noProof/>
              </w:rPr>
              <w:t>Espagne</w:t>
            </w:r>
          </w:p>
        </w:tc>
        <w:tc>
          <w:tcPr>
            <w:tcW w:w="595" w:type="pct"/>
          </w:tcPr>
          <w:p>
            <w:pPr>
              <w:spacing w:before="40" w:after="40"/>
              <w:jc w:val="center"/>
              <w:rPr>
                <w:noProof/>
              </w:rPr>
            </w:pPr>
            <w:r>
              <w:rPr>
                <w:noProof/>
              </w:rPr>
              <w:t>France</w:t>
            </w:r>
          </w:p>
        </w:tc>
        <w:tc>
          <w:tcPr>
            <w:tcW w:w="595" w:type="pct"/>
          </w:tcPr>
          <w:p>
            <w:pPr>
              <w:spacing w:before="40" w:after="40"/>
              <w:jc w:val="center"/>
              <w:rPr>
                <w:noProof/>
              </w:rPr>
            </w:pPr>
            <w:r>
              <w:rPr>
                <w:noProof/>
              </w:rPr>
              <w:t>Italie</w:t>
            </w:r>
          </w:p>
        </w:tc>
        <w:tc>
          <w:tcPr>
            <w:tcW w:w="594" w:type="pct"/>
          </w:tcPr>
          <w:p>
            <w:pPr>
              <w:spacing w:before="40" w:after="40"/>
              <w:jc w:val="center"/>
              <w:rPr>
                <w:noProof/>
              </w:rPr>
            </w:pPr>
            <w:r>
              <w:rPr>
                <w:noProof/>
              </w:rPr>
              <w:t>Code du groupe d'effort de pêche</w:t>
            </w:r>
          </w:p>
        </w:tc>
      </w:tr>
      <w:tr>
        <w:trPr>
          <w:trHeight w:val="356"/>
        </w:trPr>
        <w:tc>
          <w:tcPr>
            <w:tcW w:w="1276" w:type="pct"/>
            <w:vMerge w:val="restart"/>
            <w:vAlign w:val="center"/>
          </w:tcPr>
          <w:p>
            <w:pPr>
              <w:spacing w:before="40" w:after="40"/>
              <w:rPr>
                <w:noProof/>
              </w:rPr>
            </w:pPr>
            <w:r>
              <w:rPr>
                <w:noProof/>
              </w:rPr>
              <w:t>Gambon rouge dans les SRG 9, 10 et 11.</w:t>
            </w:r>
          </w:p>
        </w:tc>
        <w:tc>
          <w:tcPr>
            <w:tcW w:w="1276" w:type="pct"/>
            <w:vAlign w:val="center"/>
          </w:tcPr>
          <w:p>
            <w:pPr>
              <w:spacing w:before="40" w:after="40"/>
              <w:rPr>
                <w:rFonts w:eastAsia="Times New Roman"/>
                <w:noProof/>
                <w:szCs w:val="24"/>
              </w:rPr>
            </w:pPr>
            <w:r>
              <w:rPr>
                <w:noProof/>
              </w:rPr>
              <w:t>&lt; 12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510</w:t>
            </w:r>
          </w:p>
        </w:tc>
        <w:tc>
          <w:tcPr>
            <w:tcW w:w="594" w:type="pct"/>
          </w:tcPr>
          <w:p>
            <w:pPr>
              <w:spacing w:before="40" w:after="40"/>
              <w:jc w:val="center"/>
              <w:rPr>
                <w:noProof/>
              </w:rPr>
            </w:pPr>
            <w:r>
              <w:rPr>
                <w:noProof/>
              </w:rPr>
              <w:t>EFF2/MED2_TR1</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12 m et &lt; 18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3 760</w:t>
            </w:r>
          </w:p>
        </w:tc>
        <w:tc>
          <w:tcPr>
            <w:tcW w:w="594" w:type="pct"/>
          </w:tcPr>
          <w:p>
            <w:pPr>
              <w:spacing w:before="40" w:after="40"/>
              <w:jc w:val="center"/>
              <w:rPr>
                <w:noProof/>
              </w:rPr>
            </w:pPr>
            <w:r>
              <w:rPr>
                <w:noProof/>
              </w:rPr>
              <w:t>EFF2/MED2_TR2</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18 m et &lt; 24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3 028</w:t>
            </w:r>
          </w:p>
        </w:tc>
        <w:tc>
          <w:tcPr>
            <w:tcW w:w="594" w:type="pct"/>
          </w:tcPr>
          <w:p>
            <w:pPr>
              <w:spacing w:before="40" w:after="40"/>
              <w:jc w:val="center"/>
              <w:rPr>
                <w:noProof/>
              </w:rPr>
            </w:pPr>
            <w:r>
              <w:rPr>
                <w:noProof/>
              </w:rPr>
              <w:t>EFF2/MED2_TR3</w:t>
            </w:r>
          </w:p>
        </w:tc>
      </w:tr>
      <w:tr>
        <w:trPr>
          <w:trHeight w:val="356"/>
        </w:trPr>
        <w:tc>
          <w:tcPr>
            <w:tcW w:w="1276" w:type="pct"/>
            <w:vMerge/>
          </w:tcPr>
          <w:p>
            <w:pPr>
              <w:spacing w:before="40" w:after="40"/>
              <w:rPr>
                <w:noProof/>
              </w:rPr>
            </w:pPr>
          </w:p>
        </w:tc>
        <w:tc>
          <w:tcPr>
            <w:tcW w:w="1276" w:type="pct"/>
            <w:vAlign w:val="center"/>
          </w:tcPr>
          <w:p>
            <w:pPr>
              <w:spacing w:before="40" w:after="40"/>
              <w:rPr>
                <w:rFonts w:eastAsia="Times New Roman"/>
                <w:noProof/>
                <w:szCs w:val="24"/>
              </w:rPr>
            </w:pPr>
            <w:r>
              <w:rPr>
                <w:noProof/>
              </w:rPr>
              <w:t>≥ 24 m</w:t>
            </w:r>
          </w:p>
        </w:tc>
        <w:tc>
          <w:tcPr>
            <w:tcW w:w="664" w:type="pct"/>
          </w:tcPr>
          <w:p>
            <w:pPr>
              <w:spacing w:before="40" w:after="40"/>
              <w:jc w:val="center"/>
              <w:rPr>
                <w:noProof/>
              </w:rPr>
            </w:pPr>
            <w:r>
              <w:rPr>
                <w:noProof/>
              </w:rPr>
              <w:t>0</w:t>
            </w:r>
          </w:p>
        </w:tc>
        <w:tc>
          <w:tcPr>
            <w:tcW w:w="595" w:type="pct"/>
          </w:tcPr>
          <w:p>
            <w:pPr>
              <w:spacing w:before="40" w:after="40"/>
              <w:jc w:val="center"/>
              <w:rPr>
                <w:noProof/>
              </w:rPr>
            </w:pPr>
            <w:r>
              <w:rPr>
                <w:noProof/>
              </w:rPr>
              <w:t>0</w:t>
            </w:r>
          </w:p>
        </w:tc>
        <w:tc>
          <w:tcPr>
            <w:tcW w:w="595" w:type="pct"/>
          </w:tcPr>
          <w:p>
            <w:pPr>
              <w:spacing w:before="40" w:after="40"/>
              <w:jc w:val="center"/>
              <w:rPr>
                <w:noProof/>
              </w:rPr>
            </w:pPr>
            <w:r>
              <w:rPr>
                <w:noProof/>
              </w:rPr>
              <w:t>405</w:t>
            </w:r>
          </w:p>
        </w:tc>
        <w:tc>
          <w:tcPr>
            <w:tcW w:w="594" w:type="pct"/>
          </w:tcPr>
          <w:p>
            <w:pPr>
              <w:spacing w:before="40" w:after="40"/>
              <w:jc w:val="center"/>
              <w:rPr>
                <w:noProof/>
              </w:rPr>
            </w:pPr>
            <w:r>
              <w:rPr>
                <w:noProof/>
              </w:rPr>
              <w:t>EFF2/MED2_TR4</w:t>
            </w:r>
          </w:p>
        </w:tc>
      </w:tr>
    </w:tbl>
    <w:p>
      <w:pPr>
        <w:rPr>
          <w:noProof/>
        </w:rPr>
      </w:pPr>
    </w:p>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u w:val="none"/>
        </w:rPr>
      </w:pPr>
      <w:r>
        <w:rPr>
          <w:noProof/>
        </w:rPr>
        <w:t>ANNEXE II</w:t>
      </w:r>
      <w:r>
        <w:rPr>
          <w:noProof/>
        </w:rPr>
        <w:br/>
      </w:r>
      <w:r>
        <w:rPr>
          <w:noProof/>
        </w:rPr>
        <w:br/>
      </w:r>
      <w:r>
        <w:rPr>
          <w:noProof/>
          <w:u w:val="none"/>
        </w:rPr>
        <w:t xml:space="preserve">POSSIBILITÉS DE PÊCHE POUR LES NAVIRES DE PÊCHE DE L'UNION DANS LA MER ADRIATIQUE </w:t>
      </w:r>
    </w:p>
    <w:p>
      <w:pPr>
        <w:rPr>
          <w:noProof/>
        </w:rPr>
      </w:pPr>
      <w:r>
        <w:rPr>
          <w:noProof/>
        </w:rPr>
        <w:t>Les tableaux de la présente annexe établissent les possibilités de pêche par stock ou par groupe d’effort des navires et les conditions qui y sont liées sur le plan fonctionnel, le cas échéant.</w:t>
      </w:r>
    </w:p>
    <w:p>
      <w:pPr>
        <w:rPr>
          <w:noProof/>
        </w:rPr>
      </w:pPr>
      <w:r>
        <w:rPr>
          <w:noProof/>
        </w:rPr>
        <w:t xml:space="preserve">Toutes les possibilités de pêche établies dans la présente annexe sont soumises aux règles prévues aux articles 26 à 35 du règlement (CE) nº 1224/2009. </w:t>
      </w:r>
    </w:p>
    <w:p>
      <w:pPr>
        <w:rPr>
          <w:noProof/>
        </w:rPr>
      </w:pPr>
      <w:r>
        <w:rPr>
          <w:noProof/>
        </w:rPr>
        <w:t>Les zones de pêche auxquelles il est fait référence correspondent aux sous-régions géographiques CGPM (SRG).</w:t>
      </w:r>
    </w:p>
    <w:p>
      <w:pPr>
        <w:rPr>
          <w:noProof/>
        </w:rPr>
      </w:pPr>
      <w:r>
        <w:rPr>
          <w:noProof/>
        </w:rPr>
        <w:t>Aux fins de la présente annexe, le tableau suivant met en correspondance les noms latins et les noms communs:</w:t>
      </w:r>
    </w:p>
    <w:p>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tc>
          <w:tcPr>
            <w:tcW w:w="3080" w:type="dxa"/>
            <w:tcBorders>
              <w:bottom w:val="single" w:sz="4" w:space="0" w:color="auto"/>
            </w:tcBorders>
          </w:tcPr>
          <w:p>
            <w:pPr>
              <w:spacing w:before="40" w:after="40"/>
              <w:jc w:val="center"/>
              <w:rPr>
                <w:noProof/>
              </w:rPr>
            </w:pPr>
            <w:r>
              <w:rPr>
                <w:noProof/>
              </w:rPr>
              <w:t>Nom scientifique</w:t>
            </w:r>
          </w:p>
        </w:tc>
        <w:tc>
          <w:tcPr>
            <w:tcW w:w="3081" w:type="dxa"/>
            <w:tcBorders>
              <w:bottom w:val="single" w:sz="4" w:space="0" w:color="auto"/>
            </w:tcBorders>
          </w:tcPr>
          <w:p>
            <w:pPr>
              <w:spacing w:before="40" w:after="40"/>
              <w:jc w:val="center"/>
              <w:rPr>
                <w:noProof/>
              </w:rPr>
            </w:pPr>
            <w:r>
              <w:rPr>
                <w:noProof/>
              </w:rPr>
              <w:t>Code alpha-3</w:t>
            </w:r>
          </w:p>
        </w:tc>
        <w:tc>
          <w:tcPr>
            <w:tcW w:w="3081" w:type="dxa"/>
            <w:tcBorders>
              <w:bottom w:val="single" w:sz="4" w:space="0" w:color="auto"/>
            </w:tcBorders>
          </w:tcPr>
          <w:p>
            <w:pPr>
              <w:spacing w:before="40" w:after="40"/>
              <w:jc w:val="center"/>
              <w:rPr>
                <w:noProof/>
              </w:rPr>
            </w:pPr>
            <w:r>
              <w:rPr>
                <w:noProof/>
              </w:rPr>
              <w:t>Nom commun</w:t>
            </w:r>
          </w:p>
        </w:tc>
      </w:tr>
      <w:tr>
        <w:tc>
          <w:tcPr>
            <w:tcW w:w="3080" w:type="dxa"/>
            <w:tcBorders>
              <w:top w:val="single" w:sz="4" w:space="0" w:color="auto"/>
            </w:tcBorders>
          </w:tcPr>
          <w:p>
            <w:pPr>
              <w:spacing w:before="40" w:after="40"/>
              <w:rPr>
                <w:i/>
                <w:noProof/>
              </w:rPr>
            </w:pPr>
          </w:p>
        </w:tc>
        <w:tc>
          <w:tcPr>
            <w:tcW w:w="3081" w:type="dxa"/>
            <w:tcBorders>
              <w:top w:val="single" w:sz="4" w:space="0" w:color="auto"/>
            </w:tcBorders>
          </w:tcPr>
          <w:p>
            <w:pPr>
              <w:spacing w:before="40" w:after="40"/>
              <w:jc w:val="center"/>
              <w:rPr>
                <w:noProof/>
              </w:rPr>
            </w:pPr>
          </w:p>
        </w:tc>
        <w:tc>
          <w:tcPr>
            <w:tcW w:w="3081" w:type="dxa"/>
            <w:tcBorders>
              <w:top w:val="single" w:sz="4" w:space="0" w:color="auto"/>
            </w:tcBorders>
          </w:tcPr>
          <w:p>
            <w:pPr>
              <w:spacing w:before="40" w:after="40"/>
              <w:rPr>
                <w:noProof/>
              </w:rPr>
            </w:pPr>
          </w:p>
        </w:tc>
      </w:tr>
      <w:tr>
        <w:tc>
          <w:tcPr>
            <w:tcW w:w="3080" w:type="dxa"/>
          </w:tcPr>
          <w:p>
            <w:pPr>
              <w:spacing w:before="40" w:after="40"/>
              <w:rPr>
                <w:i/>
                <w:noProof/>
              </w:rPr>
            </w:pPr>
            <w:r>
              <w:rPr>
                <w:i/>
                <w:noProof/>
              </w:rPr>
              <w:t>Engraulis encrasicolus</w:t>
            </w:r>
          </w:p>
        </w:tc>
        <w:tc>
          <w:tcPr>
            <w:tcW w:w="3081" w:type="dxa"/>
          </w:tcPr>
          <w:p>
            <w:pPr>
              <w:spacing w:before="40" w:after="40"/>
              <w:jc w:val="center"/>
              <w:rPr>
                <w:noProof/>
              </w:rPr>
            </w:pPr>
            <w:r>
              <w:rPr>
                <w:noProof/>
              </w:rPr>
              <w:t>ANE</w:t>
            </w:r>
          </w:p>
        </w:tc>
        <w:tc>
          <w:tcPr>
            <w:tcW w:w="3081" w:type="dxa"/>
          </w:tcPr>
          <w:p>
            <w:pPr>
              <w:spacing w:before="40" w:after="40"/>
              <w:rPr>
                <w:noProof/>
              </w:rPr>
            </w:pPr>
            <w:r>
              <w:rPr>
                <w:noProof/>
              </w:rPr>
              <w:t>Anchois commun</w:t>
            </w:r>
          </w:p>
        </w:tc>
      </w:tr>
      <w:tr>
        <w:tc>
          <w:tcPr>
            <w:tcW w:w="3080" w:type="dxa"/>
          </w:tcPr>
          <w:p>
            <w:pPr>
              <w:spacing w:before="40" w:after="40"/>
              <w:rPr>
                <w:i/>
                <w:noProof/>
              </w:rPr>
            </w:pPr>
            <w:r>
              <w:rPr>
                <w:i/>
                <w:noProof/>
              </w:rPr>
              <w:t>Merluccius merluccius</w:t>
            </w:r>
          </w:p>
        </w:tc>
        <w:tc>
          <w:tcPr>
            <w:tcW w:w="3081" w:type="dxa"/>
          </w:tcPr>
          <w:p>
            <w:pPr>
              <w:spacing w:before="40" w:after="40"/>
              <w:jc w:val="center"/>
              <w:rPr>
                <w:noProof/>
              </w:rPr>
            </w:pPr>
            <w:r>
              <w:rPr>
                <w:noProof/>
              </w:rPr>
              <w:t>HKE</w:t>
            </w:r>
          </w:p>
        </w:tc>
        <w:tc>
          <w:tcPr>
            <w:tcW w:w="3081" w:type="dxa"/>
          </w:tcPr>
          <w:p>
            <w:pPr>
              <w:spacing w:before="40" w:after="40"/>
              <w:rPr>
                <w:noProof/>
              </w:rPr>
            </w:pPr>
            <w:r>
              <w:rPr>
                <w:noProof/>
              </w:rPr>
              <w:t>Merlu européen</w:t>
            </w:r>
          </w:p>
        </w:tc>
      </w:tr>
      <w:tr>
        <w:tc>
          <w:tcPr>
            <w:tcW w:w="3080" w:type="dxa"/>
          </w:tcPr>
          <w:p>
            <w:pPr>
              <w:spacing w:before="40" w:after="40"/>
              <w:rPr>
                <w:i/>
                <w:noProof/>
              </w:rPr>
            </w:pPr>
            <w:r>
              <w:rPr>
                <w:i/>
                <w:noProof/>
              </w:rPr>
              <w:t>Mullus barbatus</w:t>
            </w:r>
          </w:p>
        </w:tc>
        <w:tc>
          <w:tcPr>
            <w:tcW w:w="3081" w:type="dxa"/>
          </w:tcPr>
          <w:p>
            <w:pPr>
              <w:spacing w:before="40" w:after="40"/>
              <w:jc w:val="center"/>
              <w:rPr>
                <w:noProof/>
              </w:rPr>
            </w:pPr>
            <w:r>
              <w:rPr>
                <w:noProof/>
              </w:rPr>
              <w:t>MUT</w:t>
            </w:r>
          </w:p>
        </w:tc>
        <w:tc>
          <w:tcPr>
            <w:tcW w:w="3081" w:type="dxa"/>
          </w:tcPr>
          <w:p>
            <w:pPr>
              <w:spacing w:before="40" w:after="40"/>
              <w:rPr>
                <w:noProof/>
              </w:rPr>
            </w:pPr>
            <w:r>
              <w:rPr>
                <w:noProof/>
              </w:rPr>
              <w:t>Rouget de vase</w:t>
            </w:r>
          </w:p>
        </w:tc>
      </w:tr>
      <w:tr>
        <w:tc>
          <w:tcPr>
            <w:tcW w:w="3080" w:type="dxa"/>
          </w:tcPr>
          <w:p>
            <w:pPr>
              <w:spacing w:before="40" w:after="40"/>
              <w:rPr>
                <w:i/>
                <w:noProof/>
              </w:rPr>
            </w:pPr>
            <w:r>
              <w:rPr>
                <w:i/>
                <w:noProof/>
              </w:rPr>
              <w:t>Nephrops norvegicus</w:t>
            </w:r>
          </w:p>
        </w:tc>
        <w:tc>
          <w:tcPr>
            <w:tcW w:w="3081" w:type="dxa"/>
          </w:tcPr>
          <w:p>
            <w:pPr>
              <w:spacing w:before="40" w:after="40"/>
              <w:jc w:val="center"/>
              <w:rPr>
                <w:noProof/>
              </w:rPr>
            </w:pPr>
            <w:r>
              <w:rPr>
                <w:noProof/>
              </w:rPr>
              <w:t>NEP</w:t>
            </w:r>
          </w:p>
        </w:tc>
        <w:tc>
          <w:tcPr>
            <w:tcW w:w="3081" w:type="dxa"/>
          </w:tcPr>
          <w:p>
            <w:pPr>
              <w:spacing w:before="40" w:after="40"/>
              <w:rPr>
                <w:noProof/>
              </w:rPr>
            </w:pPr>
            <w:r>
              <w:rPr>
                <w:noProof/>
              </w:rPr>
              <w:t>Langoustine</w:t>
            </w:r>
          </w:p>
        </w:tc>
      </w:tr>
      <w:tr>
        <w:tc>
          <w:tcPr>
            <w:tcW w:w="3080" w:type="dxa"/>
          </w:tcPr>
          <w:p>
            <w:pPr>
              <w:spacing w:before="40" w:after="40"/>
              <w:rPr>
                <w:i/>
                <w:noProof/>
              </w:rPr>
            </w:pPr>
            <w:r>
              <w:rPr>
                <w:i/>
                <w:noProof/>
              </w:rPr>
              <w:t>Parapenaeus longirostris</w:t>
            </w:r>
          </w:p>
          <w:p>
            <w:pPr>
              <w:spacing w:before="40" w:after="40"/>
              <w:rPr>
                <w:i/>
                <w:noProof/>
              </w:rPr>
            </w:pPr>
            <w:r>
              <w:rPr>
                <w:i/>
                <w:noProof/>
              </w:rPr>
              <w:t>Sardina pilchardus</w:t>
            </w:r>
          </w:p>
          <w:p>
            <w:pPr>
              <w:spacing w:before="40" w:after="40"/>
              <w:rPr>
                <w:i/>
                <w:noProof/>
              </w:rPr>
            </w:pPr>
            <w:r>
              <w:rPr>
                <w:i/>
                <w:noProof/>
              </w:rPr>
              <w:t>Solea solea</w:t>
            </w:r>
          </w:p>
        </w:tc>
        <w:tc>
          <w:tcPr>
            <w:tcW w:w="3081" w:type="dxa"/>
          </w:tcPr>
          <w:p>
            <w:pPr>
              <w:spacing w:before="40" w:after="40"/>
              <w:jc w:val="center"/>
              <w:rPr>
                <w:noProof/>
              </w:rPr>
            </w:pPr>
            <w:r>
              <w:rPr>
                <w:noProof/>
              </w:rPr>
              <w:t>DPS</w:t>
            </w:r>
          </w:p>
          <w:p>
            <w:pPr>
              <w:spacing w:before="40" w:after="40"/>
              <w:jc w:val="center"/>
              <w:rPr>
                <w:noProof/>
              </w:rPr>
            </w:pPr>
            <w:r>
              <w:rPr>
                <w:noProof/>
              </w:rPr>
              <w:t>PIL</w:t>
            </w:r>
          </w:p>
          <w:p>
            <w:pPr>
              <w:spacing w:before="40" w:after="40"/>
              <w:jc w:val="center"/>
              <w:rPr>
                <w:noProof/>
              </w:rPr>
            </w:pPr>
            <w:r>
              <w:rPr>
                <w:noProof/>
              </w:rPr>
              <w:t>SOL</w:t>
            </w:r>
          </w:p>
          <w:p>
            <w:pPr>
              <w:spacing w:before="40" w:after="40"/>
              <w:jc w:val="center"/>
              <w:rPr>
                <w:noProof/>
              </w:rPr>
            </w:pPr>
          </w:p>
        </w:tc>
        <w:tc>
          <w:tcPr>
            <w:tcW w:w="3081" w:type="dxa"/>
          </w:tcPr>
          <w:p>
            <w:pPr>
              <w:spacing w:before="40" w:after="40"/>
              <w:rPr>
                <w:noProof/>
                <w:szCs w:val="24"/>
              </w:rPr>
            </w:pPr>
            <w:r>
              <w:rPr>
                <w:noProof/>
              </w:rPr>
              <w:t>Crevette rose du large</w:t>
            </w:r>
          </w:p>
          <w:p>
            <w:pPr>
              <w:spacing w:before="40" w:after="40"/>
              <w:rPr>
                <w:noProof/>
              </w:rPr>
            </w:pPr>
            <w:r>
              <w:rPr>
                <w:noProof/>
              </w:rPr>
              <w:t>Sardine commune</w:t>
            </w:r>
          </w:p>
          <w:p>
            <w:pPr>
              <w:spacing w:before="40" w:after="40"/>
              <w:rPr>
                <w:noProof/>
                <w:szCs w:val="24"/>
              </w:rPr>
            </w:pPr>
            <w:r>
              <w:rPr>
                <w:noProof/>
              </w:rPr>
              <w:t>Sole commune</w:t>
            </w:r>
          </w:p>
        </w:tc>
      </w:tr>
    </w:tbl>
    <w:p>
      <w:pPr>
        <w:rPr>
          <w:noProof/>
        </w:rPr>
      </w:pPr>
    </w:p>
    <w:p>
      <w:pPr>
        <w:pStyle w:val="NumPar1"/>
        <w:numPr>
          <w:ilvl w:val="0"/>
          <w:numId w:val="5"/>
        </w:numPr>
        <w:rPr>
          <w:b/>
          <w:noProof/>
        </w:rPr>
      </w:pPr>
      <w:r>
        <w:rPr>
          <w:b/>
          <w:noProof/>
        </w:rPr>
        <w:t>Stocks de petits pélagiques — SRG 17 et 18</w:t>
      </w:r>
    </w:p>
    <w:p>
      <w:pPr>
        <w:rPr>
          <w:noProof/>
        </w:rPr>
      </w:pPr>
      <w:r>
        <w:rPr>
          <w:noProof/>
        </w:rPr>
        <w:t>Le tableau de la présente section établit le niveau maximal des captures exprimées en tonnes de poids vif.</w:t>
      </w:r>
    </w:p>
    <w:tbl>
      <w:tblPr>
        <w:tblW w:w="9379" w:type="dxa"/>
        <w:tblInd w:w="94" w:type="dxa"/>
        <w:tblLayout w:type="fixed"/>
        <w:tblLook w:val="0000" w:firstRow="0" w:lastRow="0" w:firstColumn="0" w:lastColumn="0" w:noHBand="0" w:noVBand="0"/>
      </w:tblPr>
      <w:tblGrid>
        <w:gridCol w:w="1148"/>
        <w:gridCol w:w="426"/>
        <w:gridCol w:w="1842"/>
        <w:gridCol w:w="993"/>
        <w:gridCol w:w="850"/>
        <w:gridCol w:w="4120"/>
      </w:tblGrid>
      <w:tr>
        <w:trPr>
          <w:trHeight w:val="227"/>
        </w:trPr>
        <w:tc>
          <w:tcPr>
            <w:tcW w:w="1148"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Espèces:</w:t>
            </w:r>
          </w:p>
        </w:tc>
        <w:tc>
          <w:tcPr>
            <w:tcW w:w="3261" w:type="dxa"/>
            <w:gridSpan w:val="3"/>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szCs w:val="16"/>
              </w:rPr>
              <w:t xml:space="preserve">Petits pélagiques </w:t>
            </w:r>
            <w:r>
              <w:rPr>
                <w:noProof/>
                <w:sz w:val="18"/>
                <w:szCs w:val="16"/>
              </w:rPr>
              <w:br/>
              <w:t>(anchois commun et sardine commune)</w:t>
            </w:r>
          </w:p>
          <w:p>
            <w:pPr>
              <w:spacing w:before="60" w:after="60"/>
              <w:rPr>
                <w:noProof/>
                <w:sz w:val="18"/>
                <w:szCs w:val="16"/>
              </w:rPr>
            </w:pPr>
            <w:r>
              <w:rPr>
                <w:i/>
                <w:iCs/>
                <w:noProof/>
                <w:sz w:val="18"/>
                <w:szCs w:val="16"/>
              </w:rPr>
              <w:t>Engraulis encrasicolus</w:t>
            </w:r>
            <w:r>
              <w:rPr>
                <w:noProof/>
                <w:sz w:val="18"/>
                <w:szCs w:val="16"/>
              </w:rPr>
              <w:t xml:space="preserve"> </w:t>
            </w:r>
            <w:r>
              <w:rPr>
                <w:noProof/>
                <w:sz w:val="18"/>
                <w:szCs w:val="16"/>
              </w:rPr>
              <w:br/>
              <w:t xml:space="preserve">et </w:t>
            </w:r>
            <w:r>
              <w:rPr>
                <w:i/>
                <w:iCs/>
                <w:noProof/>
                <w:sz w:val="18"/>
                <w:szCs w:val="16"/>
              </w:rPr>
              <w:t>Sardina pilchardus</w:t>
            </w:r>
          </w:p>
        </w:tc>
        <w:tc>
          <w:tcPr>
            <w:tcW w:w="850"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szCs w:val="16"/>
              </w:rPr>
              <w:t>Zone:</w:t>
            </w:r>
          </w:p>
        </w:tc>
        <w:tc>
          <w:tcPr>
            <w:tcW w:w="4120" w:type="dxa"/>
            <w:tcBorders>
              <w:top w:val="single" w:sz="8" w:space="0" w:color="auto"/>
              <w:bottom w:val="single" w:sz="8" w:space="0" w:color="000000"/>
            </w:tcBorders>
            <w:shd w:val="clear" w:color="auto" w:fill="FFFFFF"/>
          </w:tcPr>
          <w:p>
            <w:pPr>
              <w:spacing w:before="60" w:after="60"/>
              <w:rPr>
                <w:noProof/>
                <w:sz w:val="18"/>
                <w:szCs w:val="16"/>
              </w:rPr>
            </w:pPr>
            <w:r>
              <w:rPr>
                <w:noProof/>
                <w:sz w:val="18"/>
                <w:szCs w:val="16"/>
              </w:rPr>
              <w:t>Eaux de l'Union et eaux internationales des SRG CGPM 17 et 18</w:t>
            </w:r>
          </w:p>
          <w:p>
            <w:pPr>
              <w:spacing w:before="60" w:after="60"/>
              <w:rPr>
                <w:noProof/>
                <w:sz w:val="18"/>
                <w:szCs w:val="16"/>
              </w:rPr>
            </w:pPr>
            <w:r>
              <w:rPr>
                <w:noProof/>
                <w:sz w:val="18"/>
                <w:szCs w:val="16"/>
              </w:rPr>
              <w:t>(SP1/GF1718)</w:t>
            </w:r>
          </w:p>
        </w:tc>
      </w:tr>
      <w:tr>
        <w:trPr>
          <w:trHeight w:val="227"/>
        </w:trPr>
        <w:tc>
          <w:tcPr>
            <w:tcW w:w="1574" w:type="dxa"/>
            <w:gridSpan w:val="2"/>
            <w:shd w:val="clear" w:color="auto" w:fill="auto"/>
          </w:tcPr>
          <w:p>
            <w:pPr>
              <w:spacing w:before="60" w:after="60"/>
              <w:rPr>
                <w:noProof/>
                <w:sz w:val="18"/>
                <w:szCs w:val="16"/>
              </w:rPr>
            </w:pPr>
            <w:r>
              <w:rPr>
                <w:noProof/>
                <w:sz w:val="18"/>
                <w:szCs w:val="16"/>
              </w:rPr>
              <w:t>Union</w:t>
            </w:r>
          </w:p>
        </w:tc>
        <w:tc>
          <w:tcPr>
            <w:tcW w:w="1842" w:type="dxa"/>
            <w:shd w:val="clear" w:color="auto" w:fill="auto"/>
          </w:tcPr>
          <w:p>
            <w:pPr>
              <w:spacing w:before="60" w:after="60"/>
              <w:jc w:val="right"/>
              <w:rPr>
                <w:noProof/>
                <w:sz w:val="18"/>
                <w:szCs w:val="18"/>
                <w:highlight w:val="yellow"/>
              </w:rPr>
            </w:pPr>
            <w:r>
              <w:rPr>
                <w:noProof/>
                <w:sz w:val="18"/>
                <w:szCs w:val="18"/>
              </w:rPr>
              <w:t>101 711</w:t>
            </w:r>
          </w:p>
        </w:tc>
        <w:tc>
          <w:tcPr>
            <w:tcW w:w="993" w:type="dxa"/>
            <w:shd w:val="clear" w:color="auto" w:fill="auto"/>
          </w:tcPr>
          <w:p>
            <w:pPr>
              <w:spacing w:before="60" w:after="60"/>
              <w:rPr>
                <w:b/>
                <w:bCs/>
                <w:noProof/>
                <w:sz w:val="18"/>
                <w:szCs w:val="16"/>
                <w:vertAlign w:val="superscript"/>
              </w:rPr>
            </w:pPr>
            <w:r>
              <w:rPr>
                <w:b/>
                <w:bCs/>
                <w:noProof/>
                <w:sz w:val="18"/>
                <w:szCs w:val="16"/>
                <w:vertAlign w:val="superscript"/>
              </w:rPr>
              <w:t>(1) (2)</w:t>
            </w:r>
          </w:p>
        </w:tc>
        <w:tc>
          <w:tcPr>
            <w:tcW w:w="4970" w:type="dxa"/>
            <w:gridSpan w:val="2"/>
            <w:vMerge w:val="restart"/>
            <w:shd w:val="clear" w:color="auto" w:fill="auto"/>
          </w:tcPr>
          <w:p>
            <w:pPr>
              <w:spacing w:before="60" w:after="60"/>
              <w:rPr>
                <w:noProof/>
                <w:sz w:val="18"/>
                <w:szCs w:val="16"/>
              </w:rPr>
            </w:pPr>
            <w:r>
              <w:rPr>
                <w:noProof/>
                <w:sz w:val="18"/>
                <w:szCs w:val="16"/>
              </w:rPr>
              <w:t xml:space="preserve">Niveau maximal des captures </w:t>
            </w:r>
          </w:p>
          <w:p>
            <w:pPr>
              <w:spacing w:before="60" w:after="60"/>
              <w:rPr>
                <w:noProof/>
                <w:sz w:val="18"/>
                <w:szCs w:val="16"/>
              </w:rPr>
            </w:pPr>
            <w:r>
              <w:rPr>
                <w:noProof/>
                <w:sz w:val="18"/>
                <w:szCs w:val="16"/>
              </w:rPr>
              <w:t>L'article 3 du règlement (CE) nº 847/96 ne s'applique pas.</w:t>
            </w:r>
          </w:p>
          <w:p>
            <w:pPr>
              <w:spacing w:before="60" w:after="60"/>
              <w:rPr>
                <w:noProof/>
                <w:sz w:val="18"/>
                <w:szCs w:val="16"/>
              </w:rPr>
            </w:pPr>
            <w:r>
              <w:rPr>
                <w:noProof/>
                <w:sz w:val="18"/>
                <w:szCs w:val="16"/>
              </w:rPr>
              <w:t>L'article 4 du règlement (CE) nº 847/96 ne s'applique pas.</w:t>
            </w:r>
          </w:p>
        </w:tc>
      </w:tr>
      <w:tr>
        <w:trPr>
          <w:trHeight w:val="227"/>
        </w:trPr>
        <w:tc>
          <w:tcPr>
            <w:tcW w:w="1574" w:type="dxa"/>
            <w:gridSpan w:val="2"/>
            <w:shd w:val="clear" w:color="auto" w:fill="auto"/>
          </w:tcPr>
          <w:p>
            <w:pPr>
              <w:spacing w:before="60" w:after="60"/>
              <w:rPr>
                <w:noProof/>
                <w:sz w:val="18"/>
                <w:szCs w:val="16"/>
              </w:rPr>
            </w:pPr>
          </w:p>
        </w:tc>
        <w:tc>
          <w:tcPr>
            <w:tcW w:w="1842" w:type="dxa"/>
            <w:shd w:val="clear" w:color="auto" w:fill="auto"/>
          </w:tcPr>
          <w:p>
            <w:pPr>
              <w:spacing w:before="60" w:after="60"/>
              <w:rPr>
                <w:noProof/>
                <w:sz w:val="18"/>
                <w:szCs w:val="16"/>
              </w:rPr>
            </w:pP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1574" w:type="dxa"/>
            <w:gridSpan w:val="2"/>
            <w:shd w:val="clear" w:color="auto" w:fill="auto"/>
          </w:tcPr>
          <w:p>
            <w:pPr>
              <w:spacing w:before="60" w:after="60"/>
              <w:rPr>
                <w:noProof/>
                <w:sz w:val="18"/>
                <w:szCs w:val="16"/>
              </w:rPr>
            </w:pPr>
          </w:p>
        </w:tc>
        <w:tc>
          <w:tcPr>
            <w:tcW w:w="1842" w:type="dxa"/>
            <w:shd w:val="clear" w:color="auto" w:fill="auto"/>
          </w:tcPr>
          <w:p>
            <w:pPr>
              <w:spacing w:before="60" w:after="60"/>
              <w:rPr>
                <w:noProof/>
                <w:sz w:val="18"/>
                <w:szCs w:val="16"/>
              </w:rPr>
            </w:pP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1574" w:type="dxa"/>
            <w:gridSpan w:val="2"/>
            <w:shd w:val="clear" w:color="auto" w:fill="auto"/>
          </w:tcPr>
          <w:p>
            <w:pPr>
              <w:spacing w:before="60" w:after="60"/>
              <w:rPr>
                <w:noProof/>
                <w:sz w:val="18"/>
                <w:szCs w:val="16"/>
              </w:rPr>
            </w:pPr>
            <w:r>
              <w:rPr>
                <w:noProof/>
                <w:sz w:val="18"/>
                <w:szCs w:val="16"/>
              </w:rPr>
              <w:t>TAC</w:t>
            </w:r>
          </w:p>
        </w:tc>
        <w:tc>
          <w:tcPr>
            <w:tcW w:w="1842" w:type="dxa"/>
            <w:shd w:val="clear" w:color="auto" w:fill="auto"/>
          </w:tcPr>
          <w:p>
            <w:pPr>
              <w:spacing w:before="60" w:after="60"/>
              <w:rPr>
                <w:noProof/>
                <w:sz w:val="18"/>
                <w:szCs w:val="16"/>
              </w:rPr>
            </w:pPr>
            <w:r>
              <w:rPr>
                <w:noProof/>
                <w:sz w:val="18"/>
                <w:szCs w:val="16"/>
              </w:rPr>
              <w:t>Sans objet</w:t>
            </w: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9379" w:type="dxa"/>
            <w:gridSpan w:val="6"/>
            <w:tcBorders>
              <w:bottom w:val="single" w:sz="8" w:space="0" w:color="auto"/>
            </w:tcBorders>
            <w:shd w:val="clear" w:color="auto" w:fill="auto"/>
          </w:tcPr>
          <w:p>
            <w:pPr>
              <w:spacing w:before="0" w:after="0"/>
              <w:ind w:left="720" w:hanging="720"/>
              <w:rPr>
                <w:noProof/>
                <w:sz w:val="18"/>
                <w:szCs w:val="16"/>
              </w:rPr>
            </w:pPr>
            <w:r>
              <w:rPr>
                <w:b/>
                <w:bCs/>
                <w:noProof/>
                <w:sz w:val="18"/>
                <w:szCs w:val="16"/>
                <w:vertAlign w:val="superscript"/>
              </w:rPr>
              <w:t>(1)</w:t>
            </w:r>
            <w:r>
              <w:rPr>
                <w:noProof/>
                <w:sz w:val="18"/>
                <w:szCs w:val="16"/>
              </w:rPr>
              <w:tab/>
              <w:t>Concernant la Slovénie, les quantités sont fondées sur le niveau des captures en 2014, jusqu'à concurrence d'un volume qui ne devrait pas excéder 300 tonnes.</w:t>
            </w:r>
          </w:p>
          <w:p>
            <w:pPr>
              <w:spacing w:before="0" w:after="0"/>
              <w:ind w:left="720" w:hanging="720"/>
              <w:rPr>
                <w:noProof/>
                <w:sz w:val="18"/>
                <w:szCs w:val="16"/>
              </w:rPr>
            </w:pPr>
            <w:r>
              <w:rPr>
                <w:b/>
                <w:bCs/>
                <w:noProof/>
                <w:sz w:val="18"/>
                <w:szCs w:val="16"/>
                <w:vertAlign w:val="superscript"/>
              </w:rPr>
              <w:t>(2)</w:t>
            </w:r>
            <w:r>
              <w:rPr>
                <w:noProof/>
                <w:sz w:val="18"/>
                <w:szCs w:val="16"/>
              </w:rPr>
              <w:tab/>
              <w:t>Limité à la Croatie, l'Italie et la Slovénie.</w:t>
            </w:r>
          </w:p>
        </w:tc>
      </w:tr>
    </w:tbl>
    <w:p>
      <w:pPr>
        <w:rPr>
          <w:noProof/>
        </w:rPr>
      </w:pPr>
    </w:p>
    <w:p>
      <w:pPr>
        <w:rPr>
          <w:noProof/>
        </w:rPr>
      </w:pPr>
    </w:p>
    <w:p>
      <w:pPr>
        <w:pStyle w:val="NumPar1"/>
        <w:rPr>
          <w:b/>
          <w:noProof/>
        </w:rPr>
      </w:pPr>
      <w:r>
        <w:rPr>
          <w:b/>
          <w:noProof/>
        </w:rPr>
        <w:t>Stocks démersaux — SRG 17 et 18</w:t>
      </w:r>
    </w:p>
    <w:p>
      <w:pPr>
        <w:rPr>
          <w:noProof/>
        </w:rPr>
      </w:pPr>
      <w:r>
        <w:rPr>
          <w:noProof/>
        </w:rPr>
        <w:t>Le tableau de la présente section établit l’effort de pêche maximal autorisé (kilowatts-jours de pêche) par groupe d’effort, longueur hors tout des navires et types de chaluts pour les stocks démersaux dans les SRG 17 et 18 (mer Adriatique).</w:t>
      </w:r>
    </w:p>
    <w:tbl>
      <w:tblPr>
        <w:tblStyle w:val="TableGrid2"/>
        <w:tblpPr w:leftFromText="180" w:rightFromText="180" w:vertAnchor="text" w:horzAnchor="margin" w:tblpY="287"/>
        <w:tblW w:w="3950" w:type="pct"/>
        <w:tblLayout w:type="fixed"/>
        <w:tblLook w:val="04A0" w:firstRow="1" w:lastRow="0" w:firstColumn="1" w:lastColumn="0" w:noHBand="0" w:noVBand="1"/>
      </w:tblPr>
      <w:tblGrid>
        <w:gridCol w:w="1101"/>
        <w:gridCol w:w="1283"/>
        <w:gridCol w:w="1133"/>
        <w:gridCol w:w="842"/>
        <w:gridCol w:w="712"/>
        <w:gridCol w:w="992"/>
        <w:gridCol w:w="1275"/>
      </w:tblGrid>
      <w:tr>
        <w:tc>
          <w:tcPr>
            <w:tcW w:w="750" w:type="pct"/>
            <w:tcBorders>
              <w:top w:val="single" w:sz="4" w:space="0" w:color="auto"/>
              <w:left w:val="nil"/>
              <w:bottom w:val="single" w:sz="4" w:space="0" w:color="auto"/>
            </w:tcBorders>
            <w:shd w:val="clear" w:color="auto" w:fill="auto"/>
            <w:vAlign w:val="center"/>
          </w:tcPr>
          <w:p>
            <w:pPr>
              <w:suppressAutoHyphens/>
              <w:spacing w:before="60" w:after="60"/>
              <w:jc w:val="center"/>
              <w:rPr>
                <w:rFonts w:ascii="Calibri" w:hAnsi="Calibri" w:cs="Tahoma"/>
                <w:b/>
                <w:noProof/>
                <w:sz w:val="20"/>
              </w:rPr>
            </w:pPr>
          </w:p>
        </w:tc>
        <w:tc>
          <w:tcPr>
            <w:tcW w:w="874" w:type="pct"/>
            <w:tcBorders>
              <w:top w:val="single" w:sz="4" w:space="0" w:color="auto"/>
              <w:bottom w:val="single" w:sz="4" w:space="0" w:color="auto"/>
            </w:tcBorders>
            <w:shd w:val="clear" w:color="auto" w:fill="auto"/>
            <w:vAlign w:val="center"/>
          </w:tcPr>
          <w:p>
            <w:pPr>
              <w:suppressAutoHyphens/>
              <w:spacing w:before="60" w:after="60"/>
              <w:jc w:val="center"/>
              <w:rPr>
                <w:rFonts w:ascii="Calibri" w:hAnsi="Calibri" w:cs="Tahoma"/>
                <w:b/>
                <w:noProof/>
                <w:sz w:val="20"/>
              </w:rPr>
            </w:pPr>
          </w:p>
        </w:tc>
        <w:tc>
          <w:tcPr>
            <w:tcW w:w="772" w:type="pct"/>
            <w:tcBorders>
              <w:top w:val="single" w:sz="4" w:space="0" w:color="auto"/>
              <w:bottom w:val="single" w:sz="4" w:space="0" w:color="auto"/>
              <w:right w:val="nil"/>
            </w:tcBorders>
            <w:shd w:val="clear" w:color="auto" w:fill="auto"/>
            <w:vAlign w:val="center"/>
          </w:tcPr>
          <w:p>
            <w:pPr>
              <w:suppressAutoHyphens/>
              <w:spacing w:before="60" w:after="60"/>
              <w:jc w:val="center"/>
              <w:rPr>
                <w:rFonts w:ascii="Calibri" w:hAnsi="Calibri" w:cs="Tahoma"/>
                <w:b/>
                <w:noProof/>
                <w:sz w:val="20"/>
              </w:rPr>
            </w:pPr>
          </w:p>
        </w:tc>
        <w:tc>
          <w:tcPr>
            <w:tcW w:w="1735" w:type="pct"/>
            <w:gridSpan w:val="3"/>
            <w:tcBorders>
              <w:top w:val="single" w:sz="4" w:space="0" w:color="auto"/>
              <w:bottom w:val="single" w:sz="4" w:space="0" w:color="auto"/>
              <w:right w:val="nil"/>
            </w:tcBorders>
            <w:shd w:val="clear" w:color="auto" w:fill="auto"/>
          </w:tcPr>
          <w:p>
            <w:pPr>
              <w:suppressAutoHyphens/>
              <w:spacing w:before="60" w:after="60"/>
              <w:jc w:val="center"/>
              <w:rPr>
                <w:rFonts w:ascii="Calibri" w:hAnsi="Calibri" w:cs="Tahoma"/>
                <w:b/>
                <w:noProof/>
                <w:sz w:val="20"/>
              </w:rPr>
            </w:pPr>
            <w:r>
              <w:rPr>
                <w:rFonts w:ascii="Calibri" w:hAnsi="Calibri"/>
                <w:b/>
                <w:noProof/>
                <w:sz w:val="20"/>
              </w:rPr>
              <w:t>kW * jours de pêche</w:t>
            </w:r>
          </w:p>
        </w:tc>
        <w:tc>
          <w:tcPr>
            <w:tcW w:w="869" w:type="pct"/>
            <w:tcBorders>
              <w:top w:val="single" w:sz="4" w:space="0" w:color="auto"/>
              <w:bottom w:val="single" w:sz="4" w:space="0" w:color="auto"/>
              <w:right w:val="nil"/>
            </w:tcBorders>
          </w:tcPr>
          <w:p>
            <w:pPr>
              <w:suppressAutoHyphens/>
              <w:spacing w:before="60" w:after="60"/>
              <w:jc w:val="center"/>
              <w:rPr>
                <w:rFonts w:ascii="Calibri" w:hAnsi="Calibri" w:cs="Tahoma"/>
                <w:b/>
                <w:noProof/>
                <w:sz w:val="20"/>
              </w:rPr>
            </w:pPr>
          </w:p>
        </w:tc>
      </w:tr>
      <w:tr>
        <w:tc>
          <w:tcPr>
            <w:tcW w:w="750" w:type="pct"/>
            <w:tcBorders>
              <w:top w:val="single" w:sz="4" w:space="0" w:color="auto"/>
              <w:left w:val="nil"/>
              <w:bottom w:val="single" w:sz="4" w:space="0" w:color="auto"/>
            </w:tcBorders>
            <w:shd w:val="clear" w:color="auto" w:fill="auto"/>
            <w:vAlign w:val="center"/>
          </w:tcPr>
          <w:p>
            <w:pPr>
              <w:suppressAutoHyphens/>
              <w:spacing w:before="60" w:after="60"/>
              <w:jc w:val="center"/>
              <w:rPr>
                <w:rFonts w:ascii="Calibri" w:hAnsi="Calibri" w:cs="Tahoma"/>
                <w:b/>
                <w:noProof/>
                <w:sz w:val="20"/>
              </w:rPr>
            </w:pPr>
            <w:r>
              <w:rPr>
                <w:rFonts w:ascii="Calibri" w:hAnsi="Calibri"/>
                <w:b/>
                <w:noProof/>
                <w:sz w:val="20"/>
              </w:rPr>
              <w:t>Type d'engin</w:t>
            </w:r>
          </w:p>
        </w:tc>
        <w:tc>
          <w:tcPr>
            <w:tcW w:w="874" w:type="pct"/>
            <w:tcBorders>
              <w:top w:val="single" w:sz="4" w:space="0" w:color="auto"/>
              <w:bottom w:val="single" w:sz="4" w:space="0" w:color="auto"/>
            </w:tcBorders>
            <w:shd w:val="clear" w:color="auto" w:fill="auto"/>
            <w:vAlign w:val="center"/>
          </w:tcPr>
          <w:p>
            <w:pPr>
              <w:suppressAutoHyphens/>
              <w:spacing w:before="60" w:after="60"/>
              <w:jc w:val="center"/>
              <w:rPr>
                <w:rFonts w:ascii="Calibri" w:hAnsi="Calibri" w:cs="Tahoma"/>
                <w:b/>
                <w:noProof/>
                <w:sz w:val="20"/>
              </w:rPr>
            </w:pPr>
            <w:r>
              <w:rPr>
                <w:rFonts w:ascii="Calibri" w:hAnsi="Calibri"/>
                <w:b/>
                <w:noProof/>
                <w:sz w:val="20"/>
              </w:rPr>
              <w:t>Stocks</w:t>
            </w:r>
          </w:p>
        </w:tc>
        <w:tc>
          <w:tcPr>
            <w:tcW w:w="772" w:type="pct"/>
            <w:tcBorders>
              <w:top w:val="single" w:sz="4" w:space="0" w:color="auto"/>
              <w:bottom w:val="single" w:sz="4" w:space="0" w:color="auto"/>
              <w:right w:val="nil"/>
            </w:tcBorders>
            <w:shd w:val="clear" w:color="auto" w:fill="auto"/>
            <w:vAlign w:val="center"/>
          </w:tcPr>
          <w:p>
            <w:pPr>
              <w:suppressAutoHyphens/>
              <w:spacing w:before="60" w:after="60"/>
              <w:jc w:val="center"/>
              <w:rPr>
                <w:rFonts w:ascii="Calibri" w:hAnsi="Calibri" w:cs="Tahoma"/>
                <w:b/>
                <w:noProof/>
                <w:sz w:val="20"/>
              </w:rPr>
            </w:pPr>
            <w:r>
              <w:rPr>
                <w:rFonts w:ascii="Calibri" w:hAnsi="Calibri"/>
                <w:b/>
                <w:noProof/>
                <w:sz w:val="20"/>
              </w:rPr>
              <w:t>Longueur hors tout des navires</w:t>
            </w:r>
          </w:p>
        </w:tc>
        <w:tc>
          <w:tcPr>
            <w:tcW w:w="574" w:type="pct"/>
            <w:tcBorders>
              <w:top w:val="single" w:sz="4" w:space="0" w:color="auto"/>
              <w:bottom w:val="single" w:sz="4" w:space="0" w:color="auto"/>
              <w:right w:val="nil"/>
            </w:tcBorders>
            <w:shd w:val="clear" w:color="auto" w:fill="auto"/>
          </w:tcPr>
          <w:p>
            <w:pPr>
              <w:suppressAutoHyphens/>
              <w:spacing w:before="60" w:after="60"/>
              <w:jc w:val="center"/>
              <w:rPr>
                <w:rFonts w:ascii="Calibri" w:hAnsi="Calibri" w:cs="Tahoma"/>
                <w:b/>
                <w:noProof/>
                <w:sz w:val="20"/>
              </w:rPr>
            </w:pPr>
            <w:r>
              <w:rPr>
                <w:rFonts w:ascii="Calibri" w:hAnsi="Calibri"/>
                <w:b/>
                <w:noProof/>
                <w:sz w:val="20"/>
              </w:rPr>
              <w:t>Croatie</w:t>
            </w:r>
          </w:p>
        </w:tc>
        <w:tc>
          <w:tcPr>
            <w:tcW w:w="485" w:type="pct"/>
            <w:tcBorders>
              <w:top w:val="single" w:sz="4" w:space="0" w:color="auto"/>
              <w:bottom w:val="single" w:sz="4" w:space="0" w:color="auto"/>
              <w:right w:val="nil"/>
            </w:tcBorders>
            <w:shd w:val="clear" w:color="auto" w:fill="auto"/>
          </w:tcPr>
          <w:p>
            <w:pPr>
              <w:suppressAutoHyphens/>
              <w:spacing w:before="60" w:after="60"/>
              <w:jc w:val="center"/>
              <w:rPr>
                <w:rFonts w:ascii="Calibri" w:hAnsi="Calibri" w:cs="Tahoma"/>
                <w:b/>
                <w:noProof/>
                <w:sz w:val="20"/>
              </w:rPr>
            </w:pPr>
            <w:r>
              <w:rPr>
                <w:rFonts w:ascii="Calibri" w:hAnsi="Calibri"/>
                <w:b/>
                <w:noProof/>
                <w:sz w:val="20"/>
              </w:rPr>
              <w:t>Italie</w:t>
            </w:r>
          </w:p>
        </w:tc>
        <w:tc>
          <w:tcPr>
            <w:tcW w:w="676" w:type="pct"/>
            <w:tcBorders>
              <w:top w:val="single" w:sz="4" w:space="0" w:color="auto"/>
              <w:bottom w:val="single" w:sz="4" w:space="0" w:color="auto"/>
              <w:right w:val="nil"/>
            </w:tcBorders>
            <w:shd w:val="clear" w:color="auto" w:fill="auto"/>
          </w:tcPr>
          <w:p>
            <w:pPr>
              <w:suppressAutoHyphens/>
              <w:spacing w:before="60" w:after="60"/>
              <w:jc w:val="center"/>
              <w:rPr>
                <w:rFonts w:ascii="Calibri" w:hAnsi="Calibri" w:cs="Tahoma"/>
                <w:b/>
                <w:noProof/>
                <w:sz w:val="20"/>
              </w:rPr>
            </w:pPr>
            <w:r>
              <w:rPr>
                <w:rFonts w:ascii="Calibri" w:hAnsi="Calibri"/>
                <w:b/>
                <w:noProof/>
                <w:sz w:val="20"/>
              </w:rPr>
              <w:t>Slovénie</w:t>
            </w:r>
          </w:p>
        </w:tc>
        <w:tc>
          <w:tcPr>
            <w:tcW w:w="869" w:type="pct"/>
            <w:tcBorders>
              <w:top w:val="single" w:sz="4" w:space="0" w:color="auto"/>
              <w:bottom w:val="single" w:sz="4" w:space="0" w:color="auto"/>
              <w:right w:val="nil"/>
            </w:tcBorders>
          </w:tcPr>
          <w:p>
            <w:pPr>
              <w:suppressAutoHyphens/>
              <w:spacing w:before="60" w:after="60"/>
              <w:jc w:val="center"/>
              <w:rPr>
                <w:rFonts w:ascii="Calibri" w:hAnsi="Calibri" w:cs="Tahoma"/>
                <w:b/>
                <w:noProof/>
                <w:sz w:val="20"/>
              </w:rPr>
            </w:pPr>
            <w:r>
              <w:rPr>
                <w:rFonts w:ascii="Calibri" w:hAnsi="Calibri"/>
                <w:b/>
                <w:noProof/>
                <w:sz w:val="20"/>
              </w:rPr>
              <w:t>Code du groupe d'effort de pêche</w:t>
            </w:r>
          </w:p>
        </w:tc>
      </w:tr>
      <w:tr>
        <w:trPr>
          <w:trHeight w:val="77"/>
        </w:trPr>
        <w:tc>
          <w:tcPr>
            <w:tcW w:w="750" w:type="pct"/>
            <w:vMerge w:val="restart"/>
            <w:tcBorders>
              <w:top w:val="single" w:sz="4" w:space="0" w:color="auto"/>
              <w:left w:val="nil"/>
            </w:tcBorders>
            <w:vAlign w:val="center"/>
          </w:tcPr>
          <w:p>
            <w:pPr>
              <w:suppressAutoHyphens/>
              <w:spacing w:before="0" w:after="0"/>
              <w:jc w:val="left"/>
              <w:rPr>
                <w:rFonts w:ascii="Calibri" w:hAnsi="Calibri" w:cs="Tahoma"/>
                <w:noProof/>
                <w:sz w:val="20"/>
              </w:rPr>
            </w:pPr>
            <w:r>
              <w:rPr>
                <w:rFonts w:ascii="Calibri" w:hAnsi="Calibri"/>
                <w:noProof/>
                <w:sz w:val="20"/>
              </w:rPr>
              <w:t>Chaluts (OTB)</w:t>
            </w:r>
          </w:p>
          <w:p>
            <w:pPr>
              <w:suppressAutoHyphens/>
              <w:spacing w:before="0" w:after="0"/>
              <w:jc w:val="left"/>
              <w:rPr>
                <w:rFonts w:ascii="Calibri" w:hAnsi="Calibri" w:cs="Tahoma"/>
                <w:noProof/>
                <w:sz w:val="20"/>
              </w:rPr>
            </w:pPr>
          </w:p>
        </w:tc>
        <w:tc>
          <w:tcPr>
            <w:tcW w:w="874" w:type="pct"/>
            <w:vMerge w:val="restart"/>
            <w:tcBorders>
              <w:top w:val="single" w:sz="4" w:space="0" w:color="auto"/>
            </w:tcBorders>
            <w:vAlign w:val="center"/>
          </w:tcPr>
          <w:p>
            <w:pPr>
              <w:suppressAutoHyphens/>
              <w:spacing w:before="0" w:after="0"/>
              <w:jc w:val="left"/>
              <w:rPr>
                <w:rFonts w:ascii="Calibri" w:hAnsi="Calibri" w:cs="Tahoma"/>
                <w:noProof/>
                <w:sz w:val="20"/>
              </w:rPr>
            </w:pPr>
            <w:r>
              <w:rPr>
                <w:rFonts w:ascii="Calibri" w:hAnsi="Calibri"/>
                <w:noProof/>
                <w:sz w:val="20"/>
              </w:rPr>
              <w:t xml:space="preserve">Merlu européen, crevette rose du large, langoustine, rouget de vase (SRG 17-18) </w:t>
            </w:r>
          </w:p>
        </w:tc>
        <w:tc>
          <w:tcPr>
            <w:tcW w:w="772" w:type="pct"/>
            <w:tcBorders>
              <w:top w:val="single" w:sz="4" w:space="0" w:color="auto"/>
              <w:right w:val="nil"/>
            </w:tcBorders>
            <w:vAlign w:val="center"/>
          </w:tcPr>
          <w:p>
            <w:pPr>
              <w:suppressAutoHyphens/>
              <w:spacing w:before="80" w:after="80"/>
              <w:jc w:val="left"/>
              <w:rPr>
                <w:rFonts w:ascii="Calibri" w:hAnsi="Calibri" w:cs="Tahoma"/>
                <w:noProof/>
                <w:sz w:val="20"/>
              </w:rPr>
            </w:pPr>
            <w:r>
              <w:rPr>
                <w:rFonts w:ascii="Calibri" w:hAnsi="Calibri"/>
                <w:noProof/>
                <w:sz w:val="20"/>
              </w:rPr>
              <w:t>&lt; 12 m</w:t>
            </w:r>
          </w:p>
        </w:tc>
        <w:tc>
          <w:tcPr>
            <w:tcW w:w="574" w:type="pct"/>
            <w:tcBorders>
              <w:top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top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top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top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77"/>
        </w:trPr>
        <w:tc>
          <w:tcPr>
            <w:tcW w:w="750" w:type="pct"/>
            <w:vMerge/>
            <w:tcBorders>
              <w:left w:val="nil"/>
            </w:tcBorders>
          </w:tcPr>
          <w:p>
            <w:pPr>
              <w:suppressAutoHyphens/>
              <w:spacing w:before="0" w:after="0"/>
              <w:jc w:val="left"/>
              <w:rPr>
                <w:rFonts w:ascii="Calibri" w:hAnsi="Calibri" w:cs="Tahoma"/>
                <w:noProof/>
                <w:sz w:val="20"/>
              </w:rPr>
            </w:pPr>
          </w:p>
        </w:tc>
        <w:tc>
          <w:tcPr>
            <w:tcW w:w="874" w:type="pct"/>
            <w:vMerge/>
            <w:vAlign w:val="center"/>
          </w:tcPr>
          <w:p>
            <w:pPr>
              <w:suppressAutoHyphens/>
              <w:spacing w:before="0" w:after="0"/>
              <w:jc w:val="left"/>
              <w:rPr>
                <w:rFonts w:ascii="Calibri" w:hAnsi="Calibri" w:cs="Tahoma"/>
                <w:noProof/>
                <w:sz w:val="20"/>
              </w:rPr>
            </w:pPr>
          </w:p>
        </w:tc>
        <w:tc>
          <w:tcPr>
            <w:tcW w:w="772" w:type="pct"/>
            <w:tcBorders>
              <w:right w:val="nil"/>
            </w:tcBorders>
            <w:vAlign w:val="center"/>
          </w:tcPr>
          <w:p>
            <w:pPr>
              <w:suppressAutoHyphens/>
              <w:spacing w:before="80" w:after="80"/>
              <w:jc w:val="left"/>
              <w:rPr>
                <w:rFonts w:ascii="Calibri" w:hAnsi="Calibri" w:cs="Tahoma"/>
                <w:noProof/>
                <w:sz w:val="20"/>
              </w:rPr>
            </w:pPr>
            <w:r>
              <w:rPr>
                <w:rFonts w:ascii="Calibri" w:hAnsi="Calibri"/>
                <w:noProof/>
                <w:sz w:val="20"/>
              </w:rPr>
              <w:t>≥ 12 m et &lt; 18 m</w:t>
            </w:r>
          </w:p>
        </w:tc>
        <w:tc>
          <w:tcPr>
            <w:tcW w:w="574"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77"/>
        </w:trPr>
        <w:tc>
          <w:tcPr>
            <w:tcW w:w="750" w:type="pct"/>
            <w:vMerge/>
            <w:tcBorders>
              <w:left w:val="nil"/>
            </w:tcBorders>
          </w:tcPr>
          <w:p>
            <w:pPr>
              <w:suppressAutoHyphens/>
              <w:spacing w:before="0" w:after="0"/>
              <w:jc w:val="left"/>
              <w:rPr>
                <w:rFonts w:ascii="Calibri" w:hAnsi="Calibri" w:cs="Tahoma"/>
                <w:noProof/>
                <w:sz w:val="20"/>
              </w:rPr>
            </w:pPr>
          </w:p>
        </w:tc>
        <w:tc>
          <w:tcPr>
            <w:tcW w:w="874" w:type="pct"/>
            <w:vMerge/>
            <w:vAlign w:val="center"/>
          </w:tcPr>
          <w:p>
            <w:pPr>
              <w:suppressAutoHyphens/>
              <w:spacing w:before="0" w:after="0"/>
              <w:jc w:val="left"/>
              <w:rPr>
                <w:rFonts w:ascii="Calibri" w:hAnsi="Calibri" w:cs="Tahoma"/>
                <w:noProof/>
                <w:sz w:val="20"/>
              </w:rPr>
            </w:pPr>
          </w:p>
        </w:tc>
        <w:tc>
          <w:tcPr>
            <w:tcW w:w="772" w:type="pct"/>
            <w:tcBorders>
              <w:bottom w:val="single" w:sz="4" w:space="0" w:color="auto"/>
              <w:right w:val="nil"/>
            </w:tcBorders>
            <w:vAlign w:val="center"/>
          </w:tcPr>
          <w:p>
            <w:pPr>
              <w:suppressAutoHyphens/>
              <w:spacing w:before="80" w:after="80"/>
              <w:jc w:val="left"/>
              <w:rPr>
                <w:rFonts w:ascii="Calibri" w:hAnsi="Calibri" w:cs="Tahoma"/>
                <w:noProof/>
                <w:sz w:val="20"/>
              </w:rPr>
            </w:pPr>
            <w:r>
              <w:rPr>
                <w:rFonts w:ascii="Calibri" w:hAnsi="Calibri"/>
                <w:noProof/>
                <w:sz w:val="20"/>
              </w:rPr>
              <w:t>≥ 18 m et &lt; 24 m</w:t>
            </w:r>
          </w:p>
        </w:tc>
        <w:tc>
          <w:tcPr>
            <w:tcW w:w="574"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433"/>
        </w:trPr>
        <w:tc>
          <w:tcPr>
            <w:tcW w:w="750" w:type="pct"/>
            <w:vMerge/>
            <w:tcBorders>
              <w:left w:val="nil"/>
            </w:tcBorders>
          </w:tcPr>
          <w:p>
            <w:pPr>
              <w:suppressAutoHyphens/>
              <w:spacing w:before="0" w:after="0"/>
              <w:jc w:val="left"/>
              <w:rPr>
                <w:rFonts w:ascii="Calibri" w:hAnsi="Calibri" w:cs="Tahoma"/>
                <w:noProof/>
                <w:sz w:val="20"/>
              </w:rPr>
            </w:pPr>
          </w:p>
        </w:tc>
        <w:tc>
          <w:tcPr>
            <w:tcW w:w="874" w:type="pct"/>
            <w:vMerge/>
            <w:tcBorders>
              <w:bottom w:val="double" w:sz="4" w:space="0" w:color="auto"/>
            </w:tcBorders>
            <w:vAlign w:val="center"/>
          </w:tcPr>
          <w:p>
            <w:pPr>
              <w:suppressAutoHyphens/>
              <w:spacing w:before="0" w:after="0"/>
              <w:jc w:val="left"/>
              <w:rPr>
                <w:rFonts w:ascii="Calibri" w:hAnsi="Calibri" w:cs="Tahoma"/>
                <w:noProof/>
                <w:sz w:val="20"/>
              </w:rPr>
            </w:pPr>
          </w:p>
        </w:tc>
        <w:tc>
          <w:tcPr>
            <w:tcW w:w="772" w:type="pct"/>
            <w:tcBorders>
              <w:top w:val="single" w:sz="4" w:space="0" w:color="auto"/>
              <w:bottom w:val="double" w:sz="4" w:space="0" w:color="auto"/>
              <w:right w:val="nil"/>
            </w:tcBorders>
            <w:vAlign w:val="center"/>
          </w:tcPr>
          <w:p>
            <w:pPr>
              <w:suppressAutoHyphens/>
              <w:spacing w:before="80" w:after="80"/>
              <w:jc w:val="left"/>
              <w:rPr>
                <w:rFonts w:ascii="Calibri" w:hAnsi="Calibri" w:cs="Tahoma"/>
                <w:noProof/>
                <w:sz w:val="20"/>
              </w:rPr>
            </w:pPr>
            <w:r>
              <w:rPr>
                <w:rFonts w:ascii="Calibri" w:hAnsi="Calibri"/>
                <w:noProof/>
                <w:sz w:val="20"/>
              </w:rPr>
              <w:t>≥ 24 m</w:t>
            </w:r>
          </w:p>
        </w:tc>
        <w:tc>
          <w:tcPr>
            <w:tcW w:w="574" w:type="pct"/>
            <w:tcBorders>
              <w:top w:val="single" w:sz="4" w:space="0" w:color="auto"/>
              <w:bottom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top w:val="single" w:sz="4" w:space="0" w:color="auto"/>
              <w:bottom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top w:val="single" w:sz="4" w:space="0" w:color="auto"/>
              <w:bottom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top w:val="single" w:sz="4" w:space="0" w:color="auto"/>
              <w:bottom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57"/>
        </w:trPr>
        <w:tc>
          <w:tcPr>
            <w:tcW w:w="750" w:type="pct"/>
            <w:vMerge w:val="restart"/>
            <w:tcBorders>
              <w:left w:val="nil"/>
            </w:tcBorders>
            <w:vAlign w:val="center"/>
          </w:tcPr>
          <w:p>
            <w:pPr>
              <w:suppressAutoHyphens/>
              <w:spacing w:before="0" w:after="0"/>
              <w:jc w:val="left"/>
              <w:rPr>
                <w:rFonts w:ascii="Calibri" w:hAnsi="Calibri" w:cs="Tahoma"/>
                <w:noProof/>
                <w:sz w:val="20"/>
              </w:rPr>
            </w:pPr>
            <w:r>
              <w:rPr>
                <w:rFonts w:ascii="Calibri" w:hAnsi="Calibri"/>
                <w:noProof/>
                <w:sz w:val="20"/>
              </w:rPr>
              <w:t>Chaluts à perche (TBB)</w:t>
            </w:r>
          </w:p>
        </w:tc>
        <w:tc>
          <w:tcPr>
            <w:tcW w:w="874" w:type="pct"/>
            <w:vMerge w:val="restart"/>
            <w:tcBorders>
              <w:top w:val="double" w:sz="4" w:space="0" w:color="auto"/>
            </w:tcBorders>
            <w:vAlign w:val="center"/>
          </w:tcPr>
          <w:p>
            <w:pPr>
              <w:suppressAutoHyphens/>
              <w:spacing w:before="0" w:after="0"/>
              <w:jc w:val="left"/>
              <w:rPr>
                <w:rFonts w:ascii="Calibri" w:hAnsi="Calibri" w:cs="Tahoma"/>
                <w:noProof/>
                <w:sz w:val="20"/>
              </w:rPr>
            </w:pPr>
            <w:r>
              <w:rPr>
                <w:rFonts w:ascii="Calibri" w:hAnsi="Calibri"/>
                <w:noProof/>
                <w:sz w:val="20"/>
              </w:rPr>
              <w:t>Sole commune (SRG 17)</w:t>
            </w:r>
          </w:p>
        </w:tc>
        <w:tc>
          <w:tcPr>
            <w:tcW w:w="772" w:type="pct"/>
            <w:tcBorders>
              <w:top w:val="double" w:sz="4" w:space="0" w:color="auto"/>
              <w:right w:val="nil"/>
            </w:tcBorders>
            <w:vAlign w:val="center"/>
          </w:tcPr>
          <w:p>
            <w:pPr>
              <w:suppressAutoHyphens/>
              <w:spacing w:before="80" w:after="80"/>
              <w:jc w:val="left"/>
              <w:rPr>
                <w:rFonts w:ascii="Calibri" w:hAnsi="Calibri" w:cs="Tahoma"/>
                <w:noProof/>
                <w:sz w:val="20"/>
              </w:rPr>
            </w:pPr>
            <w:r>
              <w:rPr>
                <w:rFonts w:ascii="Calibri" w:hAnsi="Calibri"/>
                <w:noProof/>
                <w:sz w:val="20"/>
              </w:rPr>
              <w:t>&lt; 12 m</w:t>
            </w:r>
          </w:p>
        </w:tc>
        <w:tc>
          <w:tcPr>
            <w:tcW w:w="574"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77"/>
        </w:trPr>
        <w:tc>
          <w:tcPr>
            <w:tcW w:w="750" w:type="pct"/>
            <w:vMerge/>
            <w:tcBorders>
              <w:left w:val="nil"/>
            </w:tcBorders>
          </w:tcPr>
          <w:p>
            <w:pPr>
              <w:suppressAutoHyphens/>
              <w:spacing w:before="0" w:after="0"/>
              <w:jc w:val="left"/>
              <w:rPr>
                <w:rFonts w:ascii="Calibri" w:hAnsi="Calibri" w:cs="Tahoma"/>
                <w:noProof/>
                <w:sz w:val="20"/>
              </w:rPr>
            </w:pPr>
          </w:p>
        </w:tc>
        <w:tc>
          <w:tcPr>
            <w:tcW w:w="874" w:type="pct"/>
            <w:vMerge/>
          </w:tcPr>
          <w:p>
            <w:pPr>
              <w:suppressAutoHyphens/>
              <w:spacing w:before="0" w:after="0"/>
              <w:jc w:val="left"/>
              <w:rPr>
                <w:rFonts w:ascii="Calibri" w:hAnsi="Calibri" w:cs="Tahoma"/>
                <w:noProof/>
                <w:sz w:val="20"/>
              </w:rPr>
            </w:pPr>
          </w:p>
        </w:tc>
        <w:tc>
          <w:tcPr>
            <w:tcW w:w="772" w:type="pct"/>
            <w:tcBorders>
              <w:right w:val="nil"/>
            </w:tcBorders>
            <w:vAlign w:val="center"/>
          </w:tcPr>
          <w:p>
            <w:pPr>
              <w:suppressAutoHyphens/>
              <w:spacing w:before="80" w:after="80"/>
              <w:jc w:val="left"/>
              <w:rPr>
                <w:rFonts w:ascii="Calibri" w:hAnsi="Calibri" w:cs="Tahoma"/>
                <w:noProof/>
                <w:sz w:val="20"/>
              </w:rPr>
            </w:pPr>
            <w:r>
              <w:rPr>
                <w:rFonts w:ascii="Calibri" w:hAnsi="Calibri"/>
                <w:noProof/>
                <w:sz w:val="20"/>
              </w:rPr>
              <w:t>≥ 12 m et &lt; 18 m</w:t>
            </w:r>
          </w:p>
        </w:tc>
        <w:tc>
          <w:tcPr>
            <w:tcW w:w="574"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77"/>
        </w:trPr>
        <w:tc>
          <w:tcPr>
            <w:tcW w:w="750" w:type="pct"/>
            <w:vMerge/>
            <w:tcBorders>
              <w:left w:val="nil"/>
            </w:tcBorders>
          </w:tcPr>
          <w:p>
            <w:pPr>
              <w:suppressAutoHyphens/>
              <w:spacing w:before="0" w:after="0"/>
              <w:jc w:val="left"/>
              <w:rPr>
                <w:rFonts w:ascii="Calibri" w:hAnsi="Calibri" w:cs="Tahoma"/>
                <w:noProof/>
                <w:sz w:val="20"/>
              </w:rPr>
            </w:pPr>
          </w:p>
        </w:tc>
        <w:tc>
          <w:tcPr>
            <w:tcW w:w="874" w:type="pct"/>
            <w:vMerge/>
          </w:tcPr>
          <w:p>
            <w:pPr>
              <w:suppressAutoHyphens/>
              <w:spacing w:before="0" w:after="0"/>
              <w:jc w:val="left"/>
              <w:rPr>
                <w:rFonts w:ascii="Calibri" w:hAnsi="Calibri" w:cs="Tahoma"/>
                <w:noProof/>
                <w:sz w:val="20"/>
              </w:rPr>
            </w:pPr>
          </w:p>
        </w:tc>
        <w:tc>
          <w:tcPr>
            <w:tcW w:w="772" w:type="pct"/>
            <w:tcBorders>
              <w:right w:val="nil"/>
            </w:tcBorders>
            <w:vAlign w:val="center"/>
          </w:tcPr>
          <w:p>
            <w:pPr>
              <w:suppressAutoHyphens/>
              <w:spacing w:before="80" w:after="80"/>
              <w:jc w:val="left"/>
              <w:rPr>
                <w:rFonts w:ascii="Calibri" w:hAnsi="Calibri" w:cs="Tahoma"/>
                <w:noProof/>
                <w:sz w:val="20"/>
              </w:rPr>
            </w:pPr>
            <w:r>
              <w:rPr>
                <w:rFonts w:ascii="Calibri" w:hAnsi="Calibri"/>
                <w:noProof/>
                <w:sz w:val="20"/>
              </w:rPr>
              <w:t>≥ 18 m et &lt; 24 m</w:t>
            </w:r>
          </w:p>
        </w:tc>
        <w:tc>
          <w:tcPr>
            <w:tcW w:w="574"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77"/>
        </w:trPr>
        <w:tc>
          <w:tcPr>
            <w:tcW w:w="750" w:type="pct"/>
            <w:vMerge/>
            <w:tcBorders>
              <w:left w:val="nil"/>
              <w:bottom w:val="single" w:sz="4" w:space="0" w:color="auto"/>
            </w:tcBorders>
          </w:tcPr>
          <w:p>
            <w:pPr>
              <w:suppressAutoHyphens/>
              <w:spacing w:before="0" w:after="0"/>
              <w:jc w:val="left"/>
              <w:rPr>
                <w:rFonts w:ascii="Calibri" w:hAnsi="Calibri" w:cs="Tahoma"/>
                <w:noProof/>
                <w:sz w:val="20"/>
              </w:rPr>
            </w:pPr>
          </w:p>
        </w:tc>
        <w:tc>
          <w:tcPr>
            <w:tcW w:w="874" w:type="pct"/>
            <w:vMerge/>
            <w:tcBorders>
              <w:bottom w:val="single" w:sz="4" w:space="0" w:color="auto"/>
            </w:tcBorders>
          </w:tcPr>
          <w:p>
            <w:pPr>
              <w:suppressAutoHyphens/>
              <w:spacing w:before="0" w:after="0"/>
              <w:jc w:val="left"/>
              <w:rPr>
                <w:rFonts w:ascii="Calibri" w:hAnsi="Calibri" w:cs="Tahoma"/>
                <w:noProof/>
                <w:sz w:val="20"/>
              </w:rPr>
            </w:pPr>
          </w:p>
        </w:tc>
        <w:tc>
          <w:tcPr>
            <w:tcW w:w="772" w:type="pct"/>
            <w:tcBorders>
              <w:bottom w:val="single" w:sz="4" w:space="0" w:color="auto"/>
              <w:right w:val="nil"/>
            </w:tcBorders>
            <w:vAlign w:val="center"/>
          </w:tcPr>
          <w:p>
            <w:pPr>
              <w:suppressAutoHyphens/>
              <w:spacing w:before="80" w:after="80"/>
              <w:jc w:val="left"/>
              <w:rPr>
                <w:rFonts w:ascii="Calibri" w:hAnsi="Calibri" w:cs="Tahoma"/>
                <w:noProof/>
                <w:sz w:val="20"/>
              </w:rPr>
            </w:pPr>
            <w:r>
              <w:rPr>
                <w:rFonts w:ascii="Calibri" w:hAnsi="Calibri"/>
                <w:noProof/>
                <w:sz w:val="20"/>
              </w:rPr>
              <w:t>≥ 24 m</w:t>
            </w:r>
          </w:p>
        </w:tc>
        <w:tc>
          <w:tcPr>
            <w:tcW w:w="574"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57"/>
        </w:trPr>
        <w:tc>
          <w:tcPr>
            <w:tcW w:w="750" w:type="pct"/>
            <w:vMerge w:val="restart"/>
            <w:tcBorders>
              <w:left w:val="nil"/>
            </w:tcBorders>
            <w:vAlign w:val="center"/>
          </w:tcPr>
          <w:p>
            <w:pPr>
              <w:suppressAutoHyphens/>
              <w:spacing w:before="0" w:after="0"/>
              <w:jc w:val="left"/>
              <w:rPr>
                <w:rFonts w:ascii="Calibri" w:hAnsi="Calibri" w:cs="Tahoma"/>
                <w:noProof/>
                <w:sz w:val="20"/>
              </w:rPr>
            </w:pPr>
            <w:r>
              <w:rPr>
                <w:rFonts w:ascii="Calibri" w:hAnsi="Calibri"/>
                <w:noProof/>
                <w:sz w:val="20"/>
              </w:rPr>
              <w:t xml:space="preserve">Chaluts-bœufs de fond (PTB) </w:t>
            </w:r>
          </w:p>
        </w:tc>
        <w:tc>
          <w:tcPr>
            <w:tcW w:w="874" w:type="pct"/>
            <w:vMerge w:val="restart"/>
            <w:tcBorders>
              <w:top w:val="double" w:sz="4" w:space="0" w:color="auto"/>
            </w:tcBorders>
            <w:vAlign w:val="center"/>
          </w:tcPr>
          <w:p>
            <w:pPr>
              <w:suppressAutoHyphens/>
              <w:spacing w:before="0" w:after="0"/>
              <w:jc w:val="left"/>
              <w:rPr>
                <w:rFonts w:ascii="Calibri" w:hAnsi="Calibri" w:cs="Tahoma"/>
                <w:noProof/>
                <w:sz w:val="20"/>
              </w:rPr>
            </w:pPr>
            <w:r>
              <w:rPr>
                <w:rFonts w:ascii="Calibri" w:hAnsi="Calibri"/>
                <w:noProof/>
                <w:sz w:val="20"/>
              </w:rPr>
              <w:t>Merlu européen, crevette rose du large, langoustine, rouget de vase (SRG 17-18)</w:t>
            </w:r>
          </w:p>
        </w:tc>
        <w:tc>
          <w:tcPr>
            <w:tcW w:w="772" w:type="pct"/>
            <w:tcBorders>
              <w:top w:val="double" w:sz="4" w:space="0" w:color="auto"/>
              <w:right w:val="nil"/>
            </w:tcBorders>
            <w:vAlign w:val="center"/>
          </w:tcPr>
          <w:p>
            <w:pPr>
              <w:suppressAutoHyphens/>
              <w:spacing w:before="80" w:after="80"/>
              <w:jc w:val="left"/>
              <w:rPr>
                <w:rFonts w:ascii="Calibri" w:hAnsi="Calibri" w:cs="Tahoma"/>
                <w:noProof/>
                <w:sz w:val="20"/>
              </w:rPr>
            </w:pPr>
            <w:r>
              <w:rPr>
                <w:rFonts w:ascii="Calibri" w:hAnsi="Calibri"/>
                <w:noProof/>
                <w:sz w:val="20"/>
              </w:rPr>
              <w:t>&lt; 12 m</w:t>
            </w:r>
          </w:p>
        </w:tc>
        <w:tc>
          <w:tcPr>
            <w:tcW w:w="574"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77"/>
        </w:trPr>
        <w:tc>
          <w:tcPr>
            <w:tcW w:w="750" w:type="pct"/>
            <w:vMerge/>
            <w:tcBorders>
              <w:left w:val="nil"/>
            </w:tcBorders>
          </w:tcPr>
          <w:p>
            <w:pPr>
              <w:suppressAutoHyphens/>
              <w:spacing w:before="0" w:after="0"/>
              <w:jc w:val="left"/>
              <w:rPr>
                <w:rFonts w:ascii="Calibri" w:hAnsi="Calibri" w:cs="Tahoma"/>
                <w:noProof/>
                <w:sz w:val="20"/>
              </w:rPr>
            </w:pPr>
          </w:p>
        </w:tc>
        <w:tc>
          <w:tcPr>
            <w:tcW w:w="874" w:type="pct"/>
            <w:vMerge/>
          </w:tcPr>
          <w:p>
            <w:pPr>
              <w:suppressAutoHyphens/>
              <w:spacing w:before="0" w:after="0"/>
              <w:jc w:val="left"/>
              <w:rPr>
                <w:rFonts w:ascii="Calibri" w:hAnsi="Calibri" w:cs="Tahoma"/>
                <w:noProof/>
                <w:sz w:val="20"/>
              </w:rPr>
            </w:pPr>
          </w:p>
        </w:tc>
        <w:tc>
          <w:tcPr>
            <w:tcW w:w="772" w:type="pct"/>
            <w:tcBorders>
              <w:right w:val="nil"/>
            </w:tcBorders>
            <w:vAlign w:val="center"/>
          </w:tcPr>
          <w:p>
            <w:pPr>
              <w:suppressAutoHyphens/>
              <w:spacing w:before="80" w:after="80"/>
              <w:jc w:val="left"/>
              <w:rPr>
                <w:rFonts w:ascii="Calibri" w:hAnsi="Calibri" w:cs="Tahoma"/>
                <w:noProof/>
                <w:sz w:val="20"/>
              </w:rPr>
            </w:pPr>
            <w:r>
              <w:rPr>
                <w:rFonts w:ascii="Calibri" w:hAnsi="Calibri"/>
                <w:noProof/>
                <w:sz w:val="20"/>
              </w:rPr>
              <w:t>≥ 12 m et &lt; 18 m</w:t>
            </w:r>
          </w:p>
        </w:tc>
        <w:tc>
          <w:tcPr>
            <w:tcW w:w="574"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77"/>
        </w:trPr>
        <w:tc>
          <w:tcPr>
            <w:tcW w:w="750" w:type="pct"/>
            <w:vMerge/>
            <w:tcBorders>
              <w:left w:val="nil"/>
            </w:tcBorders>
          </w:tcPr>
          <w:p>
            <w:pPr>
              <w:suppressAutoHyphens/>
              <w:spacing w:before="0" w:after="0"/>
              <w:jc w:val="left"/>
              <w:rPr>
                <w:rFonts w:ascii="Calibri" w:hAnsi="Calibri" w:cs="Tahoma"/>
                <w:noProof/>
                <w:sz w:val="20"/>
              </w:rPr>
            </w:pPr>
          </w:p>
        </w:tc>
        <w:tc>
          <w:tcPr>
            <w:tcW w:w="874" w:type="pct"/>
            <w:vMerge/>
          </w:tcPr>
          <w:p>
            <w:pPr>
              <w:suppressAutoHyphens/>
              <w:spacing w:before="0" w:after="0"/>
              <w:jc w:val="left"/>
              <w:rPr>
                <w:rFonts w:ascii="Calibri" w:hAnsi="Calibri" w:cs="Tahoma"/>
                <w:noProof/>
                <w:sz w:val="20"/>
              </w:rPr>
            </w:pPr>
          </w:p>
        </w:tc>
        <w:tc>
          <w:tcPr>
            <w:tcW w:w="772" w:type="pct"/>
            <w:tcBorders>
              <w:right w:val="nil"/>
            </w:tcBorders>
            <w:vAlign w:val="center"/>
          </w:tcPr>
          <w:p>
            <w:pPr>
              <w:suppressAutoHyphens/>
              <w:spacing w:before="80" w:after="80"/>
              <w:jc w:val="left"/>
              <w:rPr>
                <w:rFonts w:ascii="Calibri" w:hAnsi="Calibri" w:cs="Tahoma"/>
                <w:noProof/>
                <w:sz w:val="20"/>
              </w:rPr>
            </w:pPr>
            <w:r>
              <w:rPr>
                <w:rFonts w:ascii="Calibri" w:hAnsi="Calibri"/>
                <w:noProof/>
                <w:sz w:val="20"/>
              </w:rPr>
              <w:t>≥ 18 m et &lt; 24 m</w:t>
            </w:r>
          </w:p>
        </w:tc>
        <w:tc>
          <w:tcPr>
            <w:tcW w:w="574"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77"/>
        </w:trPr>
        <w:tc>
          <w:tcPr>
            <w:tcW w:w="750" w:type="pct"/>
            <w:vMerge/>
            <w:tcBorders>
              <w:left w:val="nil"/>
              <w:bottom w:val="single" w:sz="4" w:space="0" w:color="auto"/>
            </w:tcBorders>
          </w:tcPr>
          <w:p>
            <w:pPr>
              <w:suppressAutoHyphens/>
              <w:spacing w:before="0" w:after="0"/>
              <w:jc w:val="left"/>
              <w:rPr>
                <w:rFonts w:ascii="Calibri" w:hAnsi="Calibri" w:cs="Tahoma"/>
                <w:noProof/>
                <w:sz w:val="20"/>
              </w:rPr>
            </w:pPr>
          </w:p>
        </w:tc>
        <w:tc>
          <w:tcPr>
            <w:tcW w:w="874" w:type="pct"/>
            <w:vMerge/>
            <w:tcBorders>
              <w:bottom w:val="single" w:sz="4" w:space="0" w:color="auto"/>
            </w:tcBorders>
          </w:tcPr>
          <w:p>
            <w:pPr>
              <w:suppressAutoHyphens/>
              <w:spacing w:before="0" w:after="0"/>
              <w:jc w:val="left"/>
              <w:rPr>
                <w:rFonts w:ascii="Calibri" w:hAnsi="Calibri" w:cs="Tahoma"/>
                <w:noProof/>
                <w:sz w:val="20"/>
              </w:rPr>
            </w:pPr>
          </w:p>
        </w:tc>
        <w:tc>
          <w:tcPr>
            <w:tcW w:w="772" w:type="pct"/>
            <w:tcBorders>
              <w:bottom w:val="single" w:sz="4" w:space="0" w:color="auto"/>
              <w:right w:val="nil"/>
            </w:tcBorders>
            <w:vAlign w:val="center"/>
          </w:tcPr>
          <w:p>
            <w:pPr>
              <w:suppressAutoHyphens/>
              <w:spacing w:before="80" w:after="80"/>
              <w:jc w:val="left"/>
              <w:rPr>
                <w:rFonts w:ascii="Calibri" w:hAnsi="Calibri" w:cs="Tahoma"/>
                <w:noProof/>
                <w:sz w:val="20"/>
              </w:rPr>
            </w:pPr>
            <w:r>
              <w:rPr>
                <w:rFonts w:ascii="Calibri" w:hAnsi="Calibri"/>
                <w:noProof/>
                <w:sz w:val="20"/>
              </w:rPr>
              <w:t>≥ 24 m</w:t>
            </w:r>
          </w:p>
        </w:tc>
        <w:tc>
          <w:tcPr>
            <w:tcW w:w="574"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57"/>
        </w:trPr>
        <w:tc>
          <w:tcPr>
            <w:tcW w:w="750" w:type="pct"/>
            <w:vMerge w:val="restart"/>
            <w:tcBorders>
              <w:left w:val="nil"/>
            </w:tcBorders>
            <w:vAlign w:val="center"/>
          </w:tcPr>
          <w:p>
            <w:pPr>
              <w:suppressAutoHyphens/>
              <w:spacing w:before="0" w:after="0"/>
              <w:jc w:val="left"/>
              <w:rPr>
                <w:rFonts w:ascii="Calibri" w:hAnsi="Calibri" w:cs="Tahoma"/>
                <w:noProof/>
                <w:sz w:val="20"/>
              </w:rPr>
            </w:pPr>
            <w:r>
              <w:rPr>
                <w:rFonts w:ascii="Calibri" w:hAnsi="Calibri"/>
                <w:noProof/>
                <w:sz w:val="20"/>
              </w:rPr>
              <w:t>Chaluts jumeaux à panneaux (OTT)</w:t>
            </w:r>
          </w:p>
        </w:tc>
        <w:tc>
          <w:tcPr>
            <w:tcW w:w="874" w:type="pct"/>
            <w:vMerge w:val="restart"/>
            <w:tcBorders>
              <w:top w:val="double" w:sz="4" w:space="0" w:color="auto"/>
            </w:tcBorders>
            <w:vAlign w:val="center"/>
          </w:tcPr>
          <w:p>
            <w:pPr>
              <w:suppressAutoHyphens/>
              <w:spacing w:before="0" w:after="0"/>
              <w:jc w:val="left"/>
              <w:rPr>
                <w:rFonts w:ascii="Calibri" w:hAnsi="Calibri" w:cs="Tahoma"/>
                <w:noProof/>
                <w:sz w:val="20"/>
              </w:rPr>
            </w:pPr>
            <w:r>
              <w:rPr>
                <w:rFonts w:ascii="Calibri" w:hAnsi="Calibri"/>
                <w:noProof/>
                <w:sz w:val="20"/>
              </w:rPr>
              <w:t>Merlu européen, crevette rose du large, langoustine, rouget de vase (SRG 17-18)</w:t>
            </w:r>
          </w:p>
        </w:tc>
        <w:tc>
          <w:tcPr>
            <w:tcW w:w="772" w:type="pct"/>
            <w:tcBorders>
              <w:top w:val="double" w:sz="4" w:space="0" w:color="auto"/>
              <w:right w:val="nil"/>
            </w:tcBorders>
            <w:vAlign w:val="center"/>
          </w:tcPr>
          <w:p>
            <w:pPr>
              <w:suppressAutoHyphens/>
              <w:spacing w:before="80" w:after="80"/>
              <w:jc w:val="left"/>
              <w:rPr>
                <w:rFonts w:ascii="Calibri" w:hAnsi="Calibri" w:cs="Tahoma"/>
                <w:noProof/>
                <w:sz w:val="20"/>
              </w:rPr>
            </w:pPr>
            <w:r>
              <w:rPr>
                <w:rFonts w:ascii="Calibri" w:hAnsi="Calibri"/>
                <w:noProof/>
                <w:sz w:val="20"/>
              </w:rPr>
              <w:t>&lt; 12 m</w:t>
            </w:r>
          </w:p>
        </w:tc>
        <w:tc>
          <w:tcPr>
            <w:tcW w:w="574"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top w:val="doub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77"/>
        </w:trPr>
        <w:tc>
          <w:tcPr>
            <w:tcW w:w="750" w:type="pct"/>
            <w:vMerge/>
            <w:tcBorders>
              <w:left w:val="nil"/>
            </w:tcBorders>
          </w:tcPr>
          <w:p>
            <w:pPr>
              <w:suppressAutoHyphens/>
              <w:spacing w:before="0" w:after="0"/>
              <w:jc w:val="left"/>
              <w:rPr>
                <w:rFonts w:ascii="Calibri" w:hAnsi="Calibri" w:cs="Tahoma"/>
                <w:noProof/>
                <w:sz w:val="20"/>
              </w:rPr>
            </w:pPr>
          </w:p>
        </w:tc>
        <w:tc>
          <w:tcPr>
            <w:tcW w:w="874" w:type="pct"/>
            <w:vMerge/>
          </w:tcPr>
          <w:p>
            <w:pPr>
              <w:suppressAutoHyphens/>
              <w:spacing w:before="0" w:after="0"/>
              <w:jc w:val="left"/>
              <w:rPr>
                <w:rFonts w:ascii="Calibri" w:hAnsi="Calibri" w:cs="Tahoma"/>
                <w:noProof/>
                <w:sz w:val="20"/>
              </w:rPr>
            </w:pPr>
          </w:p>
        </w:tc>
        <w:tc>
          <w:tcPr>
            <w:tcW w:w="772" w:type="pct"/>
            <w:tcBorders>
              <w:right w:val="nil"/>
            </w:tcBorders>
            <w:vAlign w:val="center"/>
          </w:tcPr>
          <w:p>
            <w:pPr>
              <w:suppressAutoHyphens/>
              <w:spacing w:before="80" w:after="80"/>
              <w:jc w:val="left"/>
              <w:rPr>
                <w:rFonts w:ascii="Calibri" w:hAnsi="Calibri" w:cs="Tahoma"/>
                <w:noProof/>
                <w:sz w:val="20"/>
              </w:rPr>
            </w:pPr>
            <w:r>
              <w:rPr>
                <w:rFonts w:ascii="Calibri" w:hAnsi="Calibri"/>
                <w:noProof/>
                <w:sz w:val="20"/>
              </w:rPr>
              <w:t>≥ 12 m et &lt; 18 m</w:t>
            </w:r>
          </w:p>
        </w:tc>
        <w:tc>
          <w:tcPr>
            <w:tcW w:w="574"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77"/>
        </w:trPr>
        <w:tc>
          <w:tcPr>
            <w:tcW w:w="750" w:type="pct"/>
            <w:vMerge/>
            <w:tcBorders>
              <w:left w:val="nil"/>
            </w:tcBorders>
          </w:tcPr>
          <w:p>
            <w:pPr>
              <w:suppressAutoHyphens/>
              <w:spacing w:before="0" w:after="0"/>
              <w:jc w:val="left"/>
              <w:rPr>
                <w:rFonts w:ascii="Calibri" w:hAnsi="Calibri" w:cs="Tahoma"/>
                <w:noProof/>
                <w:sz w:val="20"/>
              </w:rPr>
            </w:pPr>
          </w:p>
        </w:tc>
        <w:tc>
          <w:tcPr>
            <w:tcW w:w="874" w:type="pct"/>
            <w:vMerge/>
          </w:tcPr>
          <w:p>
            <w:pPr>
              <w:suppressAutoHyphens/>
              <w:spacing w:before="0" w:after="0"/>
              <w:jc w:val="left"/>
              <w:rPr>
                <w:rFonts w:ascii="Calibri" w:hAnsi="Calibri" w:cs="Tahoma"/>
                <w:noProof/>
                <w:sz w:val="20"/>
              </w:rPr>
            </w:pPr>
          </w:p>
        </w:tc>
        <w:tc>
          <w:tcPr>
            <w:tcW w:w="772" w:type="pct"/>
            <w:tcBorders>
              <w:right w:val="nil"/>
            </w:tcBorders>
            <w:vAlign w:val="center"/>
          </w:tcPr>
          <w:p>
            <w:pPr>
              <w:suppressAutoHyphens/>
              <w:spacing w:before="80" w:after="80"/>
              <w:jc w:val="left"/>
              <w:rPr>
                <w:rFonts w:ascii="Calibri" w:hAnsi="Calibri" w:cs="Tahoma"/>
                <w:noProof/>
                <w:sz w:val="20"/>
              </w:rPr>
            </w:pPr>
            <w:r>
              <w:rPr>
                <w:rFonts w:ascii="Calibri" w:hAnsi="Calibri"/>
                <w:noProof/>
                <w:sz w:val="20"/>
              </w:rPr>
              <w:t>≥ 18 m et &lt; 24 m</w:t>
            </w:r>
          </w:p>
        </w:tc>
        <w:tc>
          <w:tcPr>
            <w:tcW w:w="574"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right w:val="nil"/>
            </w:tcBorders>
          </w:tcPr>
          <w:p>
            <w:pPr>
              <w:suppressAutoHyphens/>
              <w:spacing w:before="80" w:after="80"/>
              <w:jc w:val="left"/>
              <w:rPr>
                <w:rFonts w:ascii="Calibri" w:hAnsi="Calibri" w:cs="Tahoma"/>
                <w:noProof/>
                <w:sz w:val="20"/>
              </w:rPr>
            </w:pPr>
            <w:r>
              <w:rPr>
                <w:rFonts w:ascii="Calibri" w:hAnsi="Calibri"/>
                <w:noProof/>
                <w:sz w:val="20"/>
              </w:rPr>
              <w:t>p.m.</w:t>
            </w:r>
          </w:p>
        </w:tc>
      </w:tr>
      <w:tr>
        <w:trPr>
          <w:trHeight w:val="77"/>
        </w:trPr>
        <w:tc>
          <w:tcPr>
            <w:tcW w:w="750" w:type="pct"/>
            <w:vMerge/>
            <w:tcBorders>
              <w:left w:val="nil"/>
              <w:bottom w:val="single" w:sz="4" w:space="0" w:color="auto"/>
            </w:tcBorders>
          </w:tcPr>
          <w:p>
            <w:pPr>
              <w:suppressAutoHyphens/>
              <w:spacing w:before="0" w:after="0"/>
              <w:jc w:val="left"/>
              <w:rPr>
                <w:rFonts w:ascii="Calibri" w:hAnsi="Calibri" w:cs="Tahoma"/>
                <w:noProof/>
                <w:sz w:val="20"/>
              </w:rPr>
            </w:pPr>
          </w:p>
        </w:tc>
        <w:tc>
          <w:tcPr>
            <w:tcW w:w="874" w:type="pct"/>
            <w:vMerge/>
            <w:tcBorders>
              <w:bottom w:val="single" w:sz="4" w:space="0" w:color="auto"/>
            </w:tcBorders>
          </w:tcPr>
          <w:p>
            <w:pPr>
              <w:suppressAutoHyphens/>
              <w:spacing w:before="0" w:after="0"/>
              <w:jc w:val="left"/>
              <w:rPr>
                <w:rFonts w:ascii="Calibri" w:hAnsi="Calibri" w:cs="Tahoma"/>
                <w:noProof/>
                <w:sz w:val="20"/>
              </w:rPr>
            </w:pPr>
          </w:p>
        </w:tc>
        <w:tc>
          <w:tcPr>
            <w:tcW w:w="772" w:type="pct"/>
            <w:tcBorders>
              <w:bottom w:val="single" w:sz="4" w:space="0" w:color="auto"/>
              <w:right w:val="nil"/>
            </w:tcBorders>
            <w:vAlign w:val="center"/>
          </w:tcPr>
          <w:p>
            <w:pPr>
              <w:suppressAutoHyphens/>
              <w:spacing w:before="80" w:after="80"/>
              <w:jc w:val="left"/>
              <w:rPr>
                <w:rFonts w:ascii="Calibri" w:hAnsi="Calibri" w:cs="Tahoma"/>
                <w:noProof/>
                <w:sz w:val="20"/>
              </w:rPr>
            </w:pPr>
            <w:r>
              <w:rPr>
                <w:rFonts w:ascii="Calibri" w:hAnsi="Calibri"/>
                <w:noProof/>
                <w:sz w:val="20"/>
              </w:rPr>
              <w:t>≥ 24 m</w:t>
            </w:r>
          </w:p>
        </w:tc>
        <w:tc>
          <w:tcPr>
            <w:tcW w:w="574"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485"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676"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c>
          <w:tcPr>
            <w:tcW w:w="869" w:type="pct"/>
            <w:tcBorders>
              <w:bottom w:val="single" w:sz="4" w:space="0" w:color="auto"/>
              <w:right w:val="nil"/>
            </w:tcBorders>
          </w:tcPr>
          <w:p>
            <w:pPr>
              <w:suppressAutoHyphens/>
              <w:spacing w:before="80" w:after="80"/>
              <w:jc w:val="left"/>
              <w:rPr>
                <w:rFonts w:ascii="Calibri" w:hAnsi="Calibri" w:cs="Tahoma"/>
                <w:noProof/>
                <w:sz w:val="20"/>
              </w:rPr>
            </w:pPr>
            <w:r>
              <w:rPr>
                <w:rFonts w:ascii="Calibri" w:hAnsi="Calibri"/>
                <w:noProof/>
                <w:sz w:val="20"/>
              </w:rPr>
              <w:t>p.m.</w:t>
            </w:r>
          </w:p>
        </w:tc>
      </w:tr>
    </w:tbl>
    <w:p>
      <w:pPr>
        <w:widowControl w:val="0"/>
        <w:suppressAutoHyphens/>
        <w:autoSpaceDN w:val="0"/>
        <w:spacing w:before="0" w:after="200" w:line="276" w:lineRule="auto"/>
        <w:jc w:val="left"/>
        <w:textAlignment w:val="baseline"/>
        <w:rPr>
          <w:rFonts w:ascii="Calibri" w:eastAsia="Lucida Sans Unicode" w:hAnsi="Calibri" w:cs="Tahoma"/>
          <w:noProof/>
          <w:kern w:val="3"/>
          <w:sz w:val="22"/>
        </w:rPr>
      </w:pP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III </w:t>
      </w:r>
      <w:r>
        <w:rPr>
          <w:noProof/>
        </w:rPr>
        <w:br/>
      </w:r>
      <w:r>
        <w:rPr>
          <w:noProof/>
        </w:rPr>
        <w:br/>
      </w:r>
      <w:r>
        <w:rPr>
          <w:noProof/>
          <w:u w:val="none"/>
        </w:rPr>
        <w:t>POSSIBILITÉS DE PÊCHE POUR LES NAVIRES DE PÊCHE DE L'UNION DANS LA MER NOIRE</w:t>
      </w:r>
    </w:p>
    <w:p>
      <w:pPr>
        <w:rPr>
          <w:rFonts w:eastAsia="Calibri"/>
          <w:noProof/>
        </w:rPr>
      </w:pPr>
      <w:r>
        <w:rPr>
          <w:noProof/>
        </w:rPr>
        <w:t>Les tableaux de la présente annexe présentent les TAC et quotas exprimés en tonnes de poids vif par stock, ainsi que, le cas échéant, les conditions qui leur sont liées sur le plan fonctionnel.</w:t>
      </w:r>
    </w:p>
    <w:p>
      <w:pPr>
        <w:rPr>
          <w:noProof/>
        </w:rPr>
      </w:pPr>
      <w:r>
        <w:rPr>
          <w:noProof/>
        </w:rPr>
        <w:t xml:space="preserve">Toutes les possibilités de pêche établies dans la présente annexe sont soumises aux règles prévues aux articles 26 à 35 du règlement (CE) nº 1224/2009. </w:t>
      </w:r>
    </w:p>
    <w:p>
      <w:pPr>
        <w:rPr>
          <w:noProof/>
        </w:rPr>
      </w:pPr>
      <w:r>
        <w:rPr>
          <w:noProof/>
        </w:rPr>
        <w:t>Les zones de pêche auxquelles il est fait référence correspondent aux sous-régions géographiques CGPM (SRG).</w:t>
      </w:r>
    </w:p>
    <w:p>
      <w:pPr>
        <w:rPr>
          <w:noProof/>
        </w:rPr>
      </w:pPr>
      <w:r>
        <w:rPr>
          <w:noProof/>
        </w:rPr>
        <w:t>Aux fins de la présente annexe, le tableau suivant met en correspondance les noms latins et les noms communs: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tc>
          <w:tcPr>
            <w:tcW w:w="3080" w:type="dxa"/>
            <w:tcBorders>
              <w:bottom w:val="single" w:sz="4" w:space="0" w:color="auto"/>
            </w:tcBorders>
          </w:tcPr>
          <w:p>
            <w:pPr>
              <w:spacing w:before="40" w:after="40"/>
              <w:jc w:val="center"/>
              <w:rPr>
                <w:noProof/>
              </w:rPr>
            </w:pPr>
            <w:r>
              <w:rPr>
                <w:noProof/>
              </w:rPr>
              <w:t>Nom scientifique</w:t>
            </w:r>
          </w:p>
        </w:tc>
        <w:tc>
          <w:tcPr>
            <w:tcW w:w="3081" w:type="dxa"/>
            <w:tcBorders>
              <w:bottom w:val="single" w:sz="4" w:space="0" w:color="auto"/>
            </w:tcBorders>
          </w:tcPr>
          <w:p>
            <w:pPr>
              <w:spacing w:before="40" w:after="40"/>
              <w:jc w:val="center"/>
              <w:rPr>
                <w:noProof/>
              </w:rPr>
            </w:pPr>
            <w:r>
              <w:rPr>
                <w:noProof/>
              </w:rPr>
              <w:t>Code alpha-3</w:t>
            </w:r>
          </w:p>
        </w:tc>
        <w:tc>
          <w:tcPr>
            <w:tcW w:w="3081" w:type="dxa"/>
            <w:tcBorders>
              <w:bottom w:val="single" w:sz="4" w:space="0" w:color="auto"/>
            </w:tcBorders>
          </w:tcPr>
          <w:p>
            <w:pPr>
              <w:spacing w:before="40" w:after="40"/>
              <w:jc w:val="center"/>
              <w:rPr>
                <w:noProof/>
              </w:rPr>
            </w:pPr>
            <w:r>
              <w:rPr>
                <w:noProof/>
              </w:rPr>
              <w:t>Nom commun</w:t>
            </w:r>
          </w:p>
        </w:tc>
      </w:tr>
      <w:tr>
        <w:tc>
          <w:tcPr>
            <w:tcW w:w="3080" w:type="dxa"/>
            <w:tcBorders>
              <w:top w:val="single" w:sz="4" w:space="0" w:color="auto"/>
            </w:tcBorders>
          </w:tcPr>
          <w:p>
            <w:pPr>
              <w:spacing w:before="40" w:after="40"/>
              <w:rPr>
                <w:i/>
                <w:noProof/>
              </w:rPr>
            </w:pPr>
          </w:p>
        </w:tc>
        <w:tc>
          <w:tcPr>
            <w:tcW w:w="3081" w:type="dxa"/>
            <w:tcBorders>
              <w:top w:val="single" w:sz="4" w:space="0" w:color="auto"/>
            </w:tcBorders>
          </w:tcPr>
          <w:p>
            <w:pPr>
              <w:spacing w:before="40" w:after="40"/>
              <w:jc w:val="center"/>
              <w:rPr>
                <w:noProof/>
              </w:rPr>
            </w:pPr>
          </w:p>
        </w:tc>
        <w:tc>
          <w:tcPr>
            <w:tcW w:w="3081" w:type="dxa"/>
            <w:tcBorders>
              <w:top w:val="single" w:sz="4" w:space="0" w:color="auto"/>
            </w:tcBorders>
          </w:tcPr>
          <w:p>
            <w:pPr>
              <w:spacing w:before="40" w:after="40"/>
              <w:rPr>
                <w:noProof/>
              </w:rPr>
            </w:pPr>
          </w:p>
        </w:tc>
      </w:tr>
      <w:tr>
        <w:tc>
          <w:tcPr>
            <w:tcW w:w="3080" w:type="dxa"/>
          </w:tcPr>
          <w:p>
            <w:pPr>
              <w:spacing w:before="40" w:after="40"/>
              <w:rPr>
                <w:i/>
                <w:noProof/>
              </w:rPr>
            </w:pPr>
            <w:r>
              <w:rPr>
                <w:i/>
                <w:noProof/>
              </w:rPr>
              <w:t>Sprattus sprattus</w:t>
            </w:r>
          </w:p>
        </w:tc>
        <w:tc>
          <w:tcPr>
            <w:tcW w:w="3081" w:type="dxa"/>
          </w:tcPr>
          <w:p>
            <w:pPr>
              <w:spacing w:before="40" w:after="40"/>
              <w:jc w:val="center"/>
              <w:rPr>
                <w:noProof/>
              </w:rPr>
            </w:pPr>
            <w:r>
              <w:rPr>
                <w:noProof/>
              </w:rPr>
              <w:t>SPR</w:t>
            </w:r>
          </w:p>
        </w:tc>
        <w:tc>
          <w:tcPr>
            <w:tcW w:w="3081" w:type="dxa"/>
          </w:tcPr>
          <w:p>
            <w:pPr>
              <w:spacing w:before="40" w:after="40"/>
              <w:rPr>
                <w:noProof/>
              </w:rPr>
            </w:pPr>
            <w:r>
              <w:rPr>
                <w:noProof/>
              </w:rPr>
              <w:t>Sprat</w:t>
            </w:r>
          </w:p>
        </w:tc>
      </w:tr>
      <w:tr>
        <w:tc>
          <w:tcPr>
            <w:tcW w:w="3080" w:type="dxa"/>
          </w:tcPr>
          <w:p>
            <w:pPr>
              <w:spacing w:before="40" w:after="40"/>
              <w:rPr>
                <w:i/>
                <w:noProof/>
              </w:rPr>
            </w:pPr>
            <w:r>
              <w:rPr>
                <w:i/>
                <w:noProof/>
              </w:rPr>
              <w:t>Psetta maxima</w:t>
            </w:r>
          </w:p>
        </w:tc>
        <w:tc>
          <w:tcPr>
            <w:tcW w:w="3081" w:type="dxa"/>
          </w:tcPr>
          <w:p>
            <w:pPr>
              <w:spacing w:before="40" w:after="40"/>
              <w:jc w:val="center"/>
              <w:rPr>
                <w:noProof/>
              </w:rPr>
            </w:pPr>
            <w:r>
              <w:rPr>
                <w:noProof/>
              </w:rPr>
              <w:t>TUR</w:t>
            </w:r>
          </w:p>
        </w:tc>
        <w:tc>
          <w:tcPr>
            <w:tcW w:w="3081" w:type="dxa"/>
          </w:tcPr>
          <w:p>
            <w:pPr>
              <w:spacing w:before="40" w:after="40"/>
              <w:rPr>
                <w:noProof/>
              </w:rPr>
            </w:pPr>
            <w:r>
              <w:rPr>
                <w:noProof/>
              </w:rPr>
              <w:t>Turbot</w:t>
            </w:r>
          </w:p>
        </w:tc>
      </w:tr>
      <w:tr>
        <w:tc>
          <w:tcPr>
            <w:tcW w:w="3080" w:type="dxa"/>
          </w:tcPr>
          <w:p>
            <w:pPr>
              <w:spacing w:before="40" w:after="40"/>
              <w:rPr>
                <w:i/>
                <w:noProof/>
              </w:rPr>
            </w:pPr>
          </w:p>
        </w:tc>
        <w:tc>
          <w:tcPr>
            <w:tcW w:w="3081" w:type="dxa"/>
          </w:tcPr>
          <w:p>
            <w:pPr>
              <w:spacing w:before="40" w:after="40"/>
              <w:jc w:val="center"/>
              <w:rPr>
                <w:noProof/>
              </w:rPr>
            </w:pPr>
          </w:p>
        </w:tc>
        <w:tc>
          <w:tcPr>
            <w:tcW w:w="3081" w:type="dxa"/>
          </w:tcPr>
          <w:p>
            <w:pPr>
              <w:spacing w:before="40" w:after="40"/>
              <w:rPr>
                <w:noProof/>
              </w:rPr>
            </w:pPr>
          </w:p>
        </w:tc>
      </w:tr>
    </w:tbl>
    <w:p>
      <w:pPr>
        <w:jc w:val="center"/>
        <w:rPr>
          <w:rFonts w:eastAsia="Calibri"/>
          <w:b/>
          <w:noProof/>
          <w:u w:val="single"/>
        </w:rPr>
      </w:pPr>
    </w:p>
    <w:tbl>
      <w:tblPr>
        <w:tblW w:w="9435" w:type="dxa"/>
        <w:tblLayout w:type="fixed"/>
        <w:tblCellMar>
          <w:left w:w="30" w:type="dxa"/>
          <w:right w:w="30" w:type="dxa"/>
        </w:tblCellMar>
        <w:tblLook w:val="0000" w:firstRow="0" w:lastRow="0" w:firstColumn="0" w:lastColumn="0" w:noHBand="0" w:noVBand="0"/>
      </w:tblPr>
      <w:tblGrid>
        <w:gridCol w:w="2157"/>
        <w:gridCol w:w="425"/>
        <w:gridCol w:w="448"/>
        <w:gridCol w:w="261"/>
        <w:gridCol w:w="922"/>
        <w:gridCol w:w="852"/>
        <w:gridCol w:w="3408"/>
        <w:gridCol w:w="962"/>
      </w:tblGrid>
      <w:tr>
        <w:trPr>
          <w:trHeight w:val="233"/>
        </w:trPr>
        <w:tc>
          <w:tcPr>
            <w:tcW w:w="2157" w:type="dxa"/>
            <w:tcBorders>
              <w:top w:val="single" w:sz="18" w:space="0" w:color="auto"/>
            </w:tcBorders>
          </w:tcPr>
          <w:p>
            <w:pPr>
              <w:spacing w:before="40" w:after="40"/>
              <w:rPr>
                <w:rFonts w:eastAsia="Calibri"/>
                <w:noProof/>
                <w:sz w:val="20"/>
                <w:szCs w:val="20"/>
              </w:rPr>
            </w:pPr>
            <w:r>
              <w:rPr>
                <w:noProof/>
                <w:sz w:val="20"/>
                <w:szCs w:val="20"/>
              </w:rPr>
              <w:t>Espèces:</w:t>
            </w:r>
          </w:p>
        </w:tc>
        <w:tc>
          <w:tcPr>
            <w:tcW w:w="873" w:type="dxa"/>
            <w:gridSpan w:val="2"/>
            <w:tcBorders>
              <w:top w:val="single" w:sz="18" w:space="0" w:color="auto"/>
            </w:tcBorders>
          </w:tcPr>
          <w:p>
            <w:pPr>
              <w:spacing w:before="40" w:after="40"/>
              <w:rPr>
                <w:rFonts w:eastAsia="Calibri"/>
                <w:noProof/>
                <w:sz w:val="20"/>
                <w:szCs w:val="20"/>
              </w:rPr>
            </w:pPr>
            <w:r>
              <w:rPr>
                <w:noProof/>
                <w:sz w:val="20"/>
                <w:szCs w:val="20"/>
              </w:rPr>
              <w:t xml:space="preserve">Sprat </w:t>
            </w:r>
          </w:p>
        </w:tc>
        <w:tc>
          <w:tcPr>
            <w:tcW w:w="1183" w:type="dxa"/>
            <w:gridSpan w:val="2"/>
            <w:tcBorders>
              <w:top w:val="single" w:sz="18" w:space="0" w:color="auto"/>
              <w:right w:val="single" w:sz="6" w:space="0" w:color="auto"/>
            </w:tcBorders>
          </w:tcPr>
          <w:p>
            <w:pPr>
              <w:spacing w:before="40" w:after="40"/>
              <w:rPr>
                <w:rFonts w:eastAsia="Calibri"/>
                <w:noProof/>
                <w:sz w:val="20"/>
                <w:szCs w:val="20"/>
              </w:rPr>
            </w:pPr>
          </w:p>
        </w:tc>
        <w:tc>
          <w:tcPr>
            <w:tcW w:w="852" w:type="dxa"/>
            <w:tcBorders>
              <w:top w:val="single" w:sz="18" w:space="0" w:color="auto"/>
              <w:left w:val="single" w:sz="6" w:space="0" w:color="auto"/>
            </w:tcBorders>
          </w:tcPr>
          <w:p>
            <w:pPr>
              <w:spacing w:before="40" w:after="40"/>
              <w:rPr>
                <w:rFonts w:eastAsia="Calibri"/>
                <w:noProof/>
                <w:sz w:val="20"/>
                <w:szCs w:val="20"/>
              </w:rPr>
            </w:pPr>
            <w:r>
              <w:rPr>
                <w:noProof/>
                <w:sz w:val="20"/>
                <w:szCs w:val="20"/>
              </w:rPr>
              <w:t>Zone:</w:t>
            </w:r>
          </w:p>
        </w:tc>
        <w:tc>
          <w:tcPr>
            <w:tcW w:w="3408" w:type="dxa"/>
            <w:tcBorders>
              <w:top w:val="single" w:sz="18" w:space="0" w:color="auto"/>
            </w:tcBorders>
          </w:tcPr>
          <w:p>
            <w:pPr>
              <w:spacing w:before="40" w:after="40"/>
              <w:rPr>
                <w:rFonts w:eastAsia="Calibri"/>
                <w:i/>
                <w:noProof/>
                <w:sz w:val="20"/>
                <w:szCs w:val="20"/>
              </w:rPr>
            </w:pPr>
            <w:r>
              <w:rPr>
                <w:noProof/>
                <w:sz w:val="20"/>
                <w:szCs w:val="20"/>
              </w:rPr>
              <w:t>Eaux de l’Union de la mer Noire — SRG 29</w:t>
            </w:r>
          </w:p>
        </w:tc>
        <w:tc>
          <w:tcPr>
            <w:tcW w:w="962" w:type="dxa"/>
            <w:tcBorders>
              <w:top w:val="single" w:sz="18" w:space="0" w:color="auto"/>
            </w:tcBorders>
          </w:tcPr>
          <w:p>
            <w:pPr>
              <w:spacing w:before="40" w:after="40"/>
              <w:rPr>
                <w:rFonts w:eastAsia="Calibri"/>
                <w:noProof/>
                <w:sz w:val="20"/>
                <w:szCs w:val="20"/>
              </w:rPr>
            </w:pPr>
          </w:p>
        </w:tc>
      </w:tr>
      <w:tr>
        <w:trPr>
          <w:cantSplit/>
          <w:trHeight w:val="233"/>
        </w:trPr>
        <w:tc>
          <w:tcPr>
            <w:tcW w:w="2157" w:type="dxa"/>
            <w:tcBorders>
              <w:bottom w:val="single" w:sz="6" w:space="0" w:color="auto"/>
            </w:tcBorders>
          </w:tcPr>
          <w:p>
            <w:pPr>
              <w:spacing w:before="40" w:after="40"/>
              <w:rPr>
                <w:rFonts w:eastAsia="Calibri"/>
                <w:noProof/>
                <w:sz w:val="20"/>
                <w:szCs w:val="20"/>
              </w:rPr>
            </w:pPr>
          </w:p>
        </w:tc>
        <w:tc>
          <w:tcPr>
            <w:tcW w:w="2056" w:type="dxa"/>
            <w:gridSpan w:val="4"/>
            <w:tcBorders>
              <w:bottom w:val="single" w:sz="6" w:space="0" w:color="auto"/>
              <w:right w:val="single" w:sz="6" w:space="0" w:color="auto"/>
            </w:tcBorders>
          </w:tcPr>
          <w:p>
            <w:pPr>
              <w:spacing w:before="40" w:after="40"/>
              <w:rPr>
                <w:rFonts w:eastAsia="Calibri"/>
                <w:i/>
                <w:noProof/>
                <w:sz w:val="20"/>
                <w:szCs w:val="20"/>
              </w:rPr>
            </w:pPr>
            <w:r>
              <w:rPr>
                <w:i/>
                <w:noProof/>
                <w:sz w:val="20"/>
                <w:szCs w:val="20"/>
              </w:rPr>
              <w:t>Sprattus sprattus</w:t>
            </w:r>
          </w:p>
        </w:tc>
        <w:tc>
          <w:tcPr>
            <w:tcW w:w="852" w:type="dxa"/>
            <w:tcBorders>
              <w:left w:val="single" w:sz="6" w:space="0" w:color="auto"/>
              <w:bottom w:val="single" w:sz="6" w:space="0" w:color="auto"/>
            </w:tcBorders>
          </w:tcPr>
          <w:p>
            <w:pPr>
              <w:spacing w:before="40" w:after="40"/>
              <w:rPr>
                <w:rFonts w:eastAsia="Calibri"/>
                <w:noProof/>
                <w:sz w:val="20"/>
                <w:szCs w:val="20"/>
              </w:rPr>
            </w:pPr>
          </w:p>
        </w:tc>
        <w:tc>
          <w:tcPr>
            <w:tcW w:w="4370" w:type="dxa"/>
            <w:gridSpan w:val="2"/>
            <w:tcBorders>
              <w:bottom w:val="single" w:sz="6" w:space="0" w:color="auto"/>
            </w:tcBorders>
          </w:tcPr>
          <w:p>
            <w:pPr>
              <w:spacing w:before="40" w:after="40"/>
              <w:jc w:val="left"/>
              <w:rPr>
                <w:rFonts w:eastAsia="Calibri"/>
                <w:noProof/>
                <w:sz w:val="20"/>
                <w:szCs w:val="20"/>
              </w:rPr>
            </w:pPr>
            <w:r>
              <w:rPr>
                <w:noProof/>
                <w:sz w:val="20"/>
                <w:szCs w:val="20"/>
              </w:rPr>
              <w:t>(SPR/F3742C)</w:t>
            </w:r>
          </w:p>
        </w:tc>
      </w:tr>
      <w:tr>
        <w:trPr>
          <w:trHeight w:val="233"/>
        </w:trPr>
        <w:tc>
          <w:tcPr>
            <w:tcW w:w="2157" w:type="dxa"/>
            <w:tcBorders>
              <w:top w:val="single" w:sz="6" w:space="0" w:color="auto"/>
            </w:tcBorders>
          </w:tcPr>
          <w:p>
            <w:pPr>
              <w:spacing w:before="40" w:after="40"/>
              <w:rPr>
                <w:rFonts w:eastAsia="Calibri"/>
                <w:noProof/>
                <w:sz w:val="20"/>
                <w:szCs w:val="20"/>
              </w:rPr>
            </w:pPr>
            <w:r>
              <w:rPr>
                <w:noProof/>
                <w:sz w:val="20"/>
                <w:szCs w:val="20"/>
              </w:rPr>
              <w:t>Bulgarie</w:t>
            </w:r>
          </w:p>
        </w:tc>
        <w:tc>
          <w:tcPr>
            <w:tcW w:w="425" w:type="dxa"/>
            <w:tcBorders>
              <w:top w:val="single" w:sz="6" w:space="0" w:color="auto"/>
            </w:tcBorders>
            <w:vAlign w:val="bottom"/>
          </w:tcPr>
          <w:p>
            <w:pPr>
              <w:spacing w:before="40" w:after="40"/>
              <w:jc w:val="center"/>
              <w:rPr>
                <w:rFonts w:eastAsia="Calibri"/>
                <w:noProof/>
                <w:snapToGrid w:val="0"/>
                <w:sz w:val="20"/>
                <w:szCs w:val="20"/>
              </w:rPr>
            </w:pPr>
          </w:p>
        </w:tc>
        <w:tc>
          <w:tcPr>
            <w:tcW w:w="1631" w:type="dxa"/>
            <w:gridSpan w:val="3"/>
            <w:tcBorders>
              <w:top w:val="single" w:sz="6" w:space="0" w:color="auto"/>
            </w:tcBorders>
          </w:tcPr>
          <w:p>
            <w:pPr>
              <w:spacing w:before="40" w:after="40"/>
              <w:rPr>
                <w:rFonts w:eastAsia="Calibri"/>
                <w:noProof/>
                <w:sz w:val="20"/>
                <w:szCs w:val="20"/>
              </w:rPr>
            </w:pPr>
            <w:r>
              <w:rPr>
                <w:noProof/>
                <w:sz w:val="20"/>
                <w:szCs w:val="20"/>
              </w:rPr>
              <w:t xml:space="preserve">8 032,50 </w:t>
            </w:r>
          </w:p>
        </w:tc>
        <w:tc>
          <w:tcPr>
            <w:tcW w:w="5222" w:type="dxa"/>
            <w:gridSpan w:val="3"/>
            <w:vMerge w:val="restart"/>
            <w:tcBorders>
              <w:top w:val="single" w:sz="6" w:space="0" w:color="auto"/>
            </w:tcBorders>
          </w:tcPr>
          <w:p>
            <w:pPr>
              <w:spacing w:before="40" w:after="40"/>
              <w:rPr>
                <w:rFonts w:eastAsia="Calibri"/>
                <w:noProof/>
                <w:sz w:val="20"/>
                <w:szCs w:val="20"/>
              </w:rPr>
            </w:pPr>
            <w:r>
              <w:rPr>
                <w:noProof/>
                <w:sz w:val="20"/>
                <w:szCs w:val="20"/>
              </w:rPr>
              <w:t>Quota analytique</w:t>
            </w:r>
          </w:p>
          <w:p>
            <w:pPr>
              <w:spacing w:before="40" w:after="40"/>
              <w:rPr>
                <w:rFonts w:eastAsia="Calibri"/>
                <w:noProof/>
                <w:sz w:val="20"/>
                <w:szCs w:val="20"/>
              </w:rPr>
            </w:pPr>
            <w:r>
              <w:rPr>
                <w:noProof/>
                <w:sz w:val="20"/>
                <w:szCs w:val="20"/>
              </w:rPr>
              <w:t>L'article 3 du règlement (CE) nº 847/96 ne s'applique pas.</w:t>
            </w:r>
          </w:p>
          <w:p>
            <w:pPr>
              <w:spacing w:before="40" w:after="40"/>
              <w:rPr>
                <w:rFonts w:eastAsia="Calibri"/>
                <w:noProof/>
                <w:sz w:val="20"/>
                <w:szCs w:val="20"/>
              </w:rPr>
            </w:pPr>
            <w:r>
              <w:rPr>
                <w:noProof/>
                <w:sz w:val="20"/>
                <w:szCs w:val="20"/>
              </w:rPr>
              <w:t>L'article 4 du règlement (CE) nº 847/96 ne s'applique pas.</w:t>
            </w:r>
          </w:p>
          <w:p>
            <w:pPr>
              <w:spacing w:before="40" w:after="40"/>
              <w:rPr>
                <w:rFonts w:eastAsia="Calibri"/>
                <w:noProof/>
                <w:sz w:val="20"/>
                <w:szCs w:val="20"/>
              </w:rPr>
            </w:pPr>
          </w:p>
        </w:tc>
      </w:tr>
      <w:tr>
        <w:trPr>
          <w:trHeight w:val="233"/>
        </w:trPr>
        <w:tc>
          <w:tcPr>
            <w:tcW w:w="2157" w:type="dxa"/>
          </w:tcPr>
          <w:p>
            <w:pPr>
              <w:spacing w:before="40" w:after="40"/>
              <w:rPr>
                <w:rFonts w:eastAsia="Calibri"/>
                <w:noProof/>
                <w:sz w:val="20"/>
                <w:szCs w:val="20"/>
              </w:rPr>
            </w:pPr>
            <w:r>
              <w:rPr>
                <w:noProof/>
                <w:sz w:val="20"/>
                <w:szCs w:val="20"/>
              </w:rPr>
              <w:t>Roumanie</w:t>
            </w:r>
          </w:p>
        </w:tc>
        <w:tc>
          <w:tcPr>
            <w:tcW w:w="425" w:type="dxa"/>
            <w:vAlign w:val="bottom"/>
          </w:tcPr>
          <w:p>
            <w:pPr>
              <w:spacing w:before="40" w:after="40"/>
              <w:jc w:val="right"/>
              <w:rPr>
                <w:rFonts w:eastAsia="Calibri"/>
                <w:noProof/>
                <w:snapToGrid w:val="0"/>
                <w:sz w:val="20"/>
                <w:szCs w:val="20"/>
              </w:rPr>
            </w:pPr>
          </w:p>
        </w:tc>
        <w:tc>
          <w:tcPr>
            <w:tcW w:w="1631" w:type="dxa"/>
            <w:gridSpan w:val="3"/>
          </w:tcPr>
          <w:p>
            <w:pPr>
              <w:spacing w:before="40" w:after="40"/>
              <w:rPr>
                <w:rFonts w:eastAsia="Calibri"/>
                <w:noProof/>
                <w:sz w:val="20"/>
                <w:szCs w:val="20"/>
              </w:rPr>
            </w:pPr>
            <w:r>
              <w:rPr>
                <w:noProof/>
                <w:sz w:val="20"/>
                <w:szCs w:val="20"/>
              </w:rPr>
              <w:t>3 442,50</w:t>
            </w:r>
          </w:p>
        </w:tc>
        <w:tc>
          <w:tcPr>
            <w:tcW w:w="5222" w:type="dxa"/>
            <w:gridSpan w:val="3"/>
            <w:vMerge/>
          </w:tcPr>
          <w:p>
            <w:pPr>
              <w:spacing w:before="40" w:after="40"/>
              <w:rPr>
                <w:rFonts w:eastAsia="Calibri"/>
                <w:noProof/>
                <w:sz w:val="20"/>
                <w:szCs w:val="20"/>
              </w:rPr>
            </w:pPr>
          </w:p>
        </w:tc>
      </w:tr>
      <w:tr>
        <w:trPr>
          <w:trHeight w:val="233"/>
        </w:trPr>
        <w:tc>
          <w:tcPr>
            <w:tcW w:w="2157" w:type="dxa"/>
          </w:tcPr>
          <w:p>
            <w:pPr>
              <w:spacing w:before="40" w:after="40"/>
              <w:rPr>
                <w:rFonts w:eastAsia="Calibri"/>
                <w:noProof/>
                <w:sz w:val="20"/>
                <w:szCs w:val="20"/>
              </w:rPr>
            </w:pPr>
          </w:p>
        </w:tc>
        <w:tc>
          <w:tcPr>
            <w:tcW w:w="425" w:type="dxa"/>
            <w:vAlign w:val="bottom"/>
          </w:tcPr>
          <w:p>
            <w:pPr>
              <w:spacing w:before="40" w:after="40"/>
              <w:jc w:val="right"/>
              <w:rPr>
                <w:rFonts w:eastAsia="Calibri"/>
                <w:noProof/>
                <w:snapToGrid w:val="0"/>
                <w:sz w:val="20"/>
                <w:szCs w:val="20"/>
              </w:rPr>
            </w:pPr>
          </w:p>
        </w:tc>
        <w:tc>
          <w:tcPr>
            <w:tcW w:w="1631" w:type="dxa"/>
            <w:gridSpan w:val="3"/>
          </w:tcPr>
          <w:p>
            <w:pPr>
              <w:spacing w:before="40" w:after="40"/>
              <w:rPr>
                <w:rFonts w:eastAsia="Calibri"/>
                <w:noProof/>
                <w:sz w:val="20"/>
                <w:szCs w:val="20"/>
              </w:rPr>
            </w:pPr>
          </w:p>
        </w:tc>
        <w:tc>
          <w:tcPr>
            <w:tcW w:w="5222" w:type="dxa"/>
            <w:gridSpan w:val="3"/>
            <w:vMerge/>
          </w:tcPr>
          <w:p>
            <w:pPr>
              <w:spacing w:before="40" w:after="40"/>
              <w:rPr>
                <w:rFonts w:eastAsia="Calibri"/>
                <w:noProof/>
                <w:sz w:val="20"/>
                <w:szCs w:val="20"/>
              </w:rPr>
            </w:pPr>
          </w:p>
        </w:tc>
      </w:tr>
      <w:tr>
        <w:trPr>
          <w:trHeight w:val="233"/>
        </w:trPr>
        <w:tc>
          <w:tcPr>
            <w:tcW w:w="2157" w:type="dxa"/>
          </w:tcPr>
          <w:p>
            <w:pPr>
              <w:spacing w:before="40" w:after="40"/>
              <w:rPr>
                <w:rFonts w:eastAsia="Calibri"/>
                <w:noProof/>
                <w:sz w:val="20"/>
                <w:szCs w:val="20"/>
              </w:rPr>
            </w:pPr>
            <w:r>
              <w:rPr>
                <w:noProof/>
                <w:sz w:val="20"/>
                <w:szCs w:val="20"/>
              </w:rPr>
              <w:t>Union</w:t>
            </w:r>
          </w:p>
        </w:tc>
        <w:tc>
          <w:tcPr>
            <w:tcW w:w="425" w:type="dxa"/>
            <w:vAlign w:val="bottom"/>
          </w:tcPr>
          <w:p>
            <w:pPr>
              <w:spacing w:before="40" w:after="40"/>
              <w:jc w:val="right"/>
              <w:rPr>
                <w:rFonts w:eastAsia="Calibri"/>
                <w:noProof/>
                <w:snapToGrid w:val="0"/>
                <w:sz w:val="20"/>
                <w:szCs w:val="20"/>
              </w:rPr>
            </w:pPr>
          </w:p>
        </w:tc>
        <w:tc>
          <w:tcPr>
            <w:tcW w:w="1631" w:type="dxa"/>
            <w:gridSpan w:val="3"/>
          </w:tcPr>
          <w:p>
            <w:pPr>
              <w:spacing w:before="40" w:after="40"/>
              <w:rPr>
                <w:rFonts w:eastAsia="Calibri"/>
                <w:noProof/>
                <w:sz w:val="20"/>
                <w:szCs w:val="20"/>
              </w:rPr>
            </w:pPr>
            <w:r>
              <w:rPr>
                <w:noProof/>
                <w:sz w:val="20"/>
                <w:szCs w:val="20"/>
              </w:rPr>
              <w:t>11 475</w:t>
            </w:r>
          </w:p>
        </w:tc>
        <w:tc>
          <w:tcPr>
            <w:tcW w:w="5222" w:type="dxa"/>
            <w:gridSpan w:val="3"/>
            <w:vMerge/>
          </w:tcPr>
          <w:p>
            <w:pPr>
              <w:spacing w:before="40" w:after="40"/>
              <w:rPr>
                <w:rFonts w:eastAsia="Calibri"/>
                <w:noProof/>
                <w:sz w:val="20"/>
                <w:szCs w:val="20"/>
              </w:rPr>
            </w:pPr>
          </w:p>
        </w:tc>
      </w:tr>
      <w:tr>
        <w:trPr>
          <w:trHeight w:val="233"/>
        </w:trPr>
        <w:tc>
          <w:tcPr>
            <w:tcW w:w="2157" w:type="dxa"/>
          </w:tcPr>
          <w:p>
            <w:pPr>
              <w:spacing w:before="40" w:after="40"/>
              <w:rPr>
                <w:rFonts w:eastAsia="Calibri"/>
                <w:noProof/>
                <w:sz w:val="20"/>
                <w:szCs w:val="20"/>
              </w:rPr>
            </w:pPr>
          </w:p>
        </w:tc>
        <w:tc>
          <w:tcPr>
            <w:tcW w:w="425" w:type="dxa"/>
            <w:vAlign w:val="bottom"/>
          </w:tcPr>
          <w:p>
            <w:pPr>
              <w:spacing w:before="40" w:after="40"/>
              <w:jc w:val="right"/>
              <w:rPr>
                <w:rFonts w:eastAsia="Calibri"/>
                <w:noProof/>
                <w:snapToGrid w:val="0"/>
                <w:sz w:val="20"/>
                <w:szCs w:val="20"/>
              </w:rPr>
            </w:pPr>
          </w:p>
        </w:tc>
        <w:tc>
          <w:tcPr>
            <w:tcW w:w="1631" w:type="dxa"/>
            <w:gridSpan w:val="3"/>
          </w:tcPr>
          <w:p>
            <w:pPr>
              <w:spacing w:before="40" w:after="40"/>
              <w:rPr>
                <w:rFonts w:eastAsia="Calibri"/>
                <w:noProof/>
                <w:sz w:val="20"/>
                <w:szCs w:val="20"/>
              </w:rPr>
            </w:pPr>
          </w:p>
        </w:tc>
        <w:tc>
          <w:tcPr>
            <w:tcW w:w="5222" w:type="dxa"/>
            <w:gridSpan w:val="3"/>
            <w:vMerge/>
          </w:tcPr>
          <w:p>
            <w:pPr>
              <w:spacing w:before="40" w:after="40"/>
              <w:rPr>
                <w:rFonts w:eastAsia="Calibri"/>
                <w:noProof/>
                <w:sz w:val="20"/>
                <w:szCs w:val="20"/>
              </w:rPr>
            </w:pPr>
          </w:p>
        </w:tc>
      </w:tr>
      <w:tr>
        <w:trPr>
          <w:trHeight w:val="233"/>
        </w:trPr>
        <w:tc>
          <w:tcPr>
            <w:tcW w:w="2157" w:type="dxa"/>
            <w:shd w:val="clear" w:color="auto" w:fill="auto"/>
          </w:tcPr>
          <w:p>
            <w:pPr>
              <w:spacing w:before="40" w:after="40"/>
              <w:rPr>
                <w:rFonts w:eastAsia="Calibri"/>
                <w:noProof/>
                <w:sz w:val="20"/>
                <w:szCs w:val="20"/>
              </w:rPr>
            </w:pPr>
            <w:r>
              <w:rPr>
                <w:noProof/>
                <w:sz w:val="20"/>
                <w:szCs w:val="20"/>
              </w:rPr>
              <w:t>TAC</w:t>
            </w:r>
          </w:p>
        </w:tc>
        <w:tc>
          <w:tcPr>
            <w:tcW w:w="1134" w:type="dxa"/>
            <w:gridSpan w:val="3"/>
            <w:shd w:val="clear" w:color="auto" w:fill="auto"/>
            <w:vAlign w:val="bottom"/>
          </w:tcPr>
          <w:p>
            <w:pPr>
              <w:spacing w:before="40" w:after="40"/>
              <w:rPr>
                <w:rFonts w:eastAsia="Calibri"/>
                <w:noProof/>
                <w:sz w:val="20"/>
                <w:szCs w:val="20"/>
              </w:rPr>
            </w:pPr>
            <w:r>
              <w:rPr>
                <w:noProof/>
                <w:sz w:val="20"/>
                <w:szCs w:val="20"/>
              </w:rPr>
              <w:t xml:space="preserve">Sans objet/Non convenu  </w:t>
            </w:r>
          </w:p>
        </w:tc>
        <w:tc>
          <w:tcPr>
            <w:tcW w:w="922" w:type="dxa"/>
            <w:shd w:val="clear" w:color="auto" w:fill="auto"/>
          </w:tcPr>
          <w:p>
            <w:pPr>
              <w:spacing w:before="40" w:after="40"/>
              <w:rPr>
                <w:rFonts w:eastAsia="Calibri"/>
                <w:noProof/>
                <w:sz w:val="20"/>
                <w:szCs w:val="20"/>
              </w:rPr>
            </w:pPr>
          </w:p>
        </w:tc>
        <w:tc>
          <w:tcPr>
            <w:tcW w:w="5222" w:type="dxa"/>
            <w:gridSpan w:val="3"/>
            <w:vMerge/>
            <w:shd w:val="clear" w:color="auto" w:fill="auto"/>
          </w:tcPr>
          <w:p>
            <w:pPr>
              <w:spacing w:before="40" w:after="40"/>
              <w:rPr>
                <w:rFonts w:eastAsia="Calibri"/>
                <w:noProof/>
                <w:sz w:val="20"/>
                <w:szCs w:val="20"/>
              </w:rPr>
            </w:pPr>
          </w:p>
        </w:tc>
      </w:tr>
    </w:tbl>
    <w:p>
      <w:pPr>
        <w:spacing w:after="0"/>
        <w:rPr>
          <w:rFonts w:eastAsia="Calibri"/>
          <w:noProof/>
          <w:szCs w:val="20"/>
        </w:rPr>
      </w:pPr>
    </w:p>
    <w:p>
      <w:pPr>
        <w:spacing w:after="0"/>
        <w:rPr>
          <w:rFonts w:eastAsia="Calibri"/>
          <w:noProof/>
          <w:szCs w:val="20"/>
        </w:rPr>
      </w:pPr>
    </w:p>
    <w:tbl>
      <w:tblPr>
        <w:tblW w:w="9510" w:type="dxa"/>
        <w:tblLayout w:type="fixed"/>
        <w:tblCellMar>
          <w:left w:w="30" w:type="dxa"/>
          <w:right w:w="30" w:type="dxa"/>
        </w:tblCellMar>
        <w:tblLook w:val="0000" w:firstRow="0" w:lastRow="0" w:firstColumn="0" w:lastColumn="0" w:noHBand="0" w:noVBand="0"/>
      </w:tblPr>
      <w:tblGrid>
        <w:gridCol w:w="2081"/>
        <w:gridCol w:w="972"/>
        <w:gridCol w:w="1120"/>
        <w:gridCol w:w="931"/>
        <w:gridCol w:w="1718"/>
        <w:gridCol w:w="859"/>
        <w:gridCol w:w="859"/>
        <w:gridCol w:w="970"/>
      </w:tblGrid>
      <w:tr>
        <w:trPr>
          <w:trHeight w:val="233"/>
        </w:trPr>
        <w:tc>
          <w:tcPr>
            <w:tcW w:w="2066" w:type="dxa"/>
            <w:tcBorders>
              <w:top w:val="single" w:sz="18" w:space="0" w:color="auto"/>
            </w:tcBorders>
          </w:tcPr>
          <w:p>
            <w:pPr>
              <w:spacing w:before="40" w:after="40"/>
              <w:rPr>
                <w:rFonts w:eastAsia="Calibri"/>
                <w:noProof/>
                <w:sz w:val="20"/>
                <w:szCs w:val="20"/>
              </w:rPr>
            </w:pPr>
            <w:r>
              <w:rPr>
                <w:noProof/>
              </w:rPr>
              <w:br w:type="page"/>
            </w:r>
            <w:r>
              <w:rPr>
                <w:noProof/>
                <w:sz w:val="20"/>
                <w:szCs w:val="20"/>
              </w:rPr>
              <w:t>Espèces:</w:t>
            </w:r>
          </w:p>
        </w:tc>
        <w:tc>
          <w:tcPr>
            <w:tcW w:w="2075" w:type="dxa"/>
            <w:gridSpan w:val="2"/>
            <w:tcBorders>
              <w:top w:val="single" w:sz="18" w:space="0" w:color="auto"/>
              <w:right w:val="single" w:sz="6" w:space="0" w:color="auto"/>
            </w:tcBorders>
          </w:tcPr>
          <w:p>
            <w:pPr>
              <w:spacing w:before="40" w:after="40"/>
              <w:rPr>
                <w:rFonts w:eastAsia="Calibri"/>
                <w:noProof/>
                <w:sz w:val="20"/>
                <w:szCs w:val="20"/>
              </w:rPr>
            </w:pPr>
            <w:r>
              <w:rPr>
                <w:noProof/>
                <w:sz w:val="20"/>
                <w:szCs w:val="20"/>
              </w:rPr>
              <w:t>Turbot</w:t>
            </w:r>
          </w:p>
        </w:tc>
        <w:tc>
          <w:tcPr>
            <w:tcW w:w="924" w:type="dxa"/>
            <w:tcBorders>
              <w:top w:val="single" w:sz="18" w:space="0" w:color="auto"/>
              <w:left w:val="single" w:sz="6" w:space="0" w:color="auto"/>
            </w:tcBorders>
          </w:tcPr>
          <w:p>
            <w:pPr>
              <w:spacing w:before="40" w:after="40"/>
              <w:rPr>
                <w:rFonts w:eastAsia="Calibri"/>
                <w:noProof/>
                <w:sz w:val="20"/>
                <w:szCs w:val="20"/>
              </w:rPr>
            </w:pPr>
            <w:r>
              <w:rPr>
                <w:noProof/>
                <w:sz w:val="20"/>
                <w:szCs w:val="20"/>
              </w:rPr>
              <w:t>Zone:</w:t>
            </w:r>
          </w:p>
        </w:tc>
        <w:tc>
          <w:tcPr>
            <w:tcW w:w="4370" w:type="dxa"/>
            <w:gridSpan w:val="4"/>
            <w:tcBorders>
              <w:top w:val="single" w:sz="18" w:space="0" w:color="auto"/>
            </w:tcBorders>
          </w:tcPr>
          <w:p>
            <w:pPr>
              <w:spacing w:before="40" w:after="40"/>
              <w:rPr>
                <w:rFonts w:eastAsia="Calibri"/>
                <w:noProof/>
                <w:sz w:val="20"/>
                <w:szCs w:val="20"/>
              </w:rPr>
            </w:pPr>
            <w:r>
              <w:rPr>
                <w:noProof/>
                <w:sz w:val="20"/>
                <w:szCs w:val="20"/>
              </w:rPr>
              <w:t>Eaux de l’Union de la mer Noire – SRG 29</w:t>
            </w:r>
          </w:p>
        </w:tc>
      </w:tr>
      <w:tr>
        <w:trPr>
          <w:cantSplit/>
          <w:trHeight w:val="233"/>
        </w:trPr>
        <w:tc>
          <w:tcPr>
            <w:tcW w:w="2066" w:type="dxa"/>
            <w:tcBorders>
              <w:bottom w:val="single" w:sz="6" w:space="0" w:color="auto"/>
            </w:tcBorders>
          </w:tcPr>
          <w:p>
            <w:pPr>
              <w:spacing w:before="40" w:after="40"/>
              <w:rPr>
                <w:rFonts w:eastAsia="Calibri"/>
                <w:noProof/>
                <w:sz w:val="20"/>
                <w:szCs w:val="20"/>
              </w:rPr>
            </w:pPr>
          </w:p>
        </w:tc>
        <w:tc>
          <w:tcPr>
            <w:tcW w:w="2075" w:type="dxa"/>
            <w:gridSpan w:val="2"/>
            <w:tcBorders>
              <w:bottom w:val="single" w:sz="6" w:space="0" w:color="auto"/>
            </w:tcBorders>
          </w:tcPr>
          <w:p>
            <w:pPr>
              <w:spacing w:before="40" w:after="40"/>
              <w:rPr>
                <w:rFonts w:eastAsia="Calibri"/>
                <w:i/>
                <w:noProof/>
                <w:sz w:val="20"/>
                <w:szCs w:val="20"/>
              </w:rPr>
            </w:pPr>
            <w:r>
              <w:rPr>
                <w:i/>
                <w:noProof/>
                <w:sz w:val="20"/>
                <w:szCs w:val="20"/>
              </w:rPr>
              <w:t>Psetta maxima</w:t>
            </w:r>
          </w:p>
        </w:tc>
        <w:tc>
          <w:tcPr>
            <w:tcW w:w="924" w:type="dxa"/>
            <w:tcBorders>
              <w:left w:val="single" w:sz="6" w:space="0" w:color="auto"/>
              <w:bottom w:val="single" w:sz="6" w:space="0" w:color="auto"/>
            </w:tcBorders>
          </w:tcPr>
          <w:p>
            <w:pPr>
              <w:spacing w:before="40" w:after="40"/>
              <w:rPr>
                <w:rFonts w:eastAsia="Calibri"/>
                <w:noProof/>
                <w:sz w:val="20"/>
                <w:szCs w:val="20"/>
              </w:rPr>
            </w:pPr>
          </w:p>
        </w:tc>
        <w:tc>
          <w:tcPr>
            <w:tcW w:w="1704" w:type="dxa"/>
            <w:tcBorders>
              <w:bottom w:val="single" w:sz="6" w:space="0" w:color="auto"/>
            </w:tcBorders>
          </w:tcPr>
          <w:p>
            <w:pPr>
              <w:spacing w:before="40" w:after="40"/>
              <w:rPr>
                <w:rFonts w:eastAsia="Calibri"/>
                <w:noProof/>
                <w:sz w:val="20"/>
                <w:szCs w:val="20"/>
              </w:rPr>
            </w:pPr>
            <w:r>
              <w:rPr>
                <w:noProof/>
                <w:sz w:val="20"/>
                <w:szCs w:val="20"/>
              </w:rPr>
              <w:t>(TUR/F3742C)</w:t>
            </w:r>
          </w:p>
        </w:tc>
        <w:tc>
          <w:tcPr>
            <w:tcW w:w="852" w:type="dxa"/>
            <w:tcBorders>
              <w:bottom w:val="single" w:sz="6" w:space="0" w:color="auto"/>
            </w:tcBorders>
          </w:tcPr>
          <w:p>
            <w:pPr>
              <w:spacing w:before="40" w:after="40"/>
              <w:rPr>
                <w:rFonts w:eastAsia="Calibri"/>
                <w:noProof/>
                <w:sz w:val="20"/>
                <w:szCs w:val="20"/>
              </w:rPr>
            </w:pPr>
          </w:p>
        </w:tc>
        <w:tc>
          <w:tcPr>
            <w:tcW w:w="852" w:type="dxa"/>
            <w:tcBorders>
              <w:bottom w:val="single" w:sz="6" w:space="0" w:color="auto"/>
            </w:tcBorders>
          </w:tcPr>
          <w:p>
            <w:pPr>
              <w:spacing w:before="40" w:after="40"/>
              <w:rPr>
                <w:rFonts w:eastAsia="Calibri"/>
                <w:noProof/>
                <w:sz w:val="20"/>
                <w:szCs w:val="20"/>
              </w:rPr>
            </w:pPr>
          </w:p>
        </w:tc>
        <w:tc>
          <w:tcPr>
            <w:tcW w:w="962" w:type="dxa"/>
            <w:tcBorders>
              <w:bottom w:val="single" w:sz="6" w:space="0" w:color="auto"/>
            </w:tcBorders>
          </w:tcPr>
          <w:p>
            <w:pPr>
              <w:spacing w:before="40" w:after="40"/>
              <w:rPr>
                <w:rFonts w:eastAsia="Calibri"/>
                <w:noProof/>
                <w:sz w:val="20"/>
                <w:szCs w:val="20"/>
              </w:rPr>
            </w:pPr>
          </w:p>
        </w:tc>
      </w:tr>
      <w:tr>
        <w:trPr>
          <w:trHeight w:val="233"/>
        </w:trPr>
        <w:tc>
          <w:tcPr>
            <w:tcW w:w="2066" w:type="dxa"/>
          </w:tcPr>
          <w:p>
            <w:pPr>
              <w:spacing w:before="40" w:after="40"/>
              <w:rPr>
                <w:rFonts w:eastAsia="Calibri"/>
                <w:noProof/>
                <w:sz w:val="20"/>
                <w:szCs w:val="20"/>
              </w:rPr>
            </w:pPr>
            <w:r>
              <w:rPr>
                <w:noProof/>
                <w:sz w:val="20"/>
                <w:szCs w:val="20"/>
              </w:rPr>
              <w:t>Bulgarie</w:t>
            </w:r>
          </w:p>
        </w:tc>
        <w:tc>
          <w:tcPr>
            <w:tcW w:w="964" w:type="dxa"/>
            <w:vAlign w:val="bottom"/>
          </w:tcPr>
          <w:p>
            <w:pPr>
              <w:spacing w:before="40" w:after="40"/>
              <w:jc w:val="right"/>
              <w:rPr>
                <w:rFonts w:eastAsia="Calibri"/>
                <w:noProof/>
                <w:sz w:val="20"/>
                <w:szCs w:val="20"/>
              </w:rPr>
            </w:pPr>
            <w:r>
              <w:rPr>
                <w:noProof/>
                <w:sz w:val="20"/>
                <w:szCs w:val="20"/>
              </w:rPr>
              <w:t>p.m.</w:t>
            </w:r>
          </w:p>
        </w:tc>
        <w:tc>
          <w:tcPr>
            <w:tcW w:w="1111" w:type="dxa"/>
          </w:tcPr>
          <w:p>
            <w:pPr>
              <w:spacing w:before="40" w:after="40"/>
              <w:rPr>
                <w:rFonts w:eastAsia="Calibri"/>
                <w:noProof/>
                <w:sz w:val="20"/>
                <w:szCs w:val="20"/>
              </w:rPr>
            </w:pPr>
          </w:p>
        </w:tc>
        <w:tc>
          <w:tcPr>
            <w:tcW w:w="5294" w:type="dxa"/>
            <w:gridSpan w:val="5"/>
            <w:vMerge w:val="restart"/>
          </w:tcPr>
          <w:p>
            <w:pPr>
              <w:spacing w:before="40" w:after="40"/>
              <w:rPr>
                <w:rFonts w:eastAsia="Calibri"/>
                <w:noProof/>
                <w:sz w:val="20"/>
                <w:szCs w:val="20"/>
              </w:rPr>
            </w:pPr>
            <w:r>
              <w:rPr>
                <w:noProof/>
                <w:sz w:val="20"/>
                <w:szCs w:val="20"/>
              </w:rPr>
              <w:t xml:space="preserve">TAC analytique </w:t>
            </w:r>
          </w:p>
          <w:p>
            <w:pPr>
              <w:spacing w:before="40" w:after="40"/>
              <w:rPr>
                <w:rFonts w:eastAsia="Calibri"/>
                <w:noProof/>
                <w:sz w:val="20"/>
                <w:szCs w:val="20"/>
              </w:rPr>
            </w:pPr>
            <w:r>
              <w:rPr>
                <w:noProof/>
                <w:sz w:val="20"/>
                <w:szCs w:val="20"/>
              </w:rPr>
              <w:t>L'article 3 du règlement (CE) nº 847/96 ne s'applique pas.</w:t>
            </w:r>
          </w:p>
          <w:p>
            <w:pPr>
              <w:spacing w:before="40" w:after="40"/>
              <w:rPr>
                <w:rFonts w:eastAsia="Calibri"/>
                <w:noProof/>
                <w:sz w:val="20"/>
                <w:szCs w:val="20"/>
              </w:rPr>
            </w:pPr>
            <w:r>
              <w:rPr>
                <w:noProof/>
                <w:sz w:val="20"/>
                <w:szCs w:val="20"/>
              </w:rPr>
              <w:t>L'article 4 du règlement (CE) nº 847/96 ne s'applique pas.</w:t>
            </w:r>
          </w:p>
          <w:p>
            <w:pPr>
              <w:spacing w:before="40" w:after="40"/>
              <w:rPr>
                <w:rFonts w:eastAsia="Calibri"/>
                <w:noProof/>
                <w:sz w:val="20"/>
                <w:szCs w:val="20"/>
              </w:rPr>
            </w:pPr>
          </w:p>
        </w:tc>
      </w:tr>
      <w:tr>
        <w:trPr>
          <w:trHeight w:val="233"/>
        </w:trPr>
        <w:tc>
          <w:tcPr>
            <w:tcW w:w="2066" w:type="dxa"/>
          </w:tcPr>
          <w:p>
            <w:pPr>
              <w:spacing w:before="40" w:after="40"/>
              <w:rPr>
                <w:rFonts w:eastAsia="Calibri"/>
                <w:noProof/>
                <w:sz w:val="20"/>
                <w:szCs w:val="20"/>
              </w:rPr>
            </w:pPr>
            <w:r>
              <w:rPr>
                <w:noProof/>
                <w:sz w:val="20"/>
                <w:szCs w:val="20"/>
              </w:rPr>
              <w:t>Roumanie</w:t>
            </w:r>
          </w:p>
        </w:tc>
        <w:tc>
          <w:tcPr>
            <w:tcW w:w="964" w:type="dxa"/>
            <w:vAlign w:val="bottom"/>
          </w:tcPr>
          <w:p>
            <w:pPr>
              <w:spacing w:before="40" w:after="40"/>
              <w:jc w:val="right"/>
              <w:rPr>
                <w:rFonts w:eastAsia="Calibri"/>
                <w:noProof/>
                <w:sz w:val="20"/>
                <w:szCs w:val="20"/>
              </w:rPr>
            </w:pPr>
            <w:r>
              <w:rPr>
                <w:noProof/>
                <w:sz w:val="20"/>
                <w:szCs w:val="20"/>
              </w:rPr>
              <w:t xml:space="preserve">p.m. </w:t>
            </w:r>
          </w:p>
        </w:tc>
        <w:tc>
          <w:tcPr>
            <w:tcW w:w="1111" w:type="dxa"/>
          </w:tcPr>
          <w:p>
            <w:pPr>
              <w:spacing w:before="40" w:after="40"/>
              <w:rPr>
                <w:rFonts w:eastAsia="Calibri"/>
                <w:noProof/>
                <w:sz w:val="20"/>
                <w:szCs w:val="20"/>
              </w:rPr>
            </w:pPr>
          </w:p>
        </w:tc>
        <w:tc>
          <w:tcPr>
            <w:tcW w:w="5294" w:type="dxa"/>
            <w:gridSpan w:val="5"/>
            <w:vMerge/>
          </w:tcPr>
          <w:p>
            <w:pPr>
              <w:spacing w:before="40" w:after="40"/>
              <w:rPr>
                <w:rFonts w:eastAsia="Calibri"/>
                <w:noProof/>
                <w:sz w:val="20"/>
                <w:szCs w:val="20"/>
              </w:rPr>
            </w:pPr>
          </w:p>
        </w:tc>
      </w:tr>
      <w:tr>
        <w:trPr>
          <w:trHeight w:val="233"/>
        </w:trPr>
        <w:tc>
          <w:tcPr>
            <w:tcW w:w="2066" w:type="dxa"/>
          </w:tcPr>
          <w:p>
            <w:pPr>
              <w:spacing w:before="40" w:after="40"/>
              <w:rPr>
                <w:rFonts w:eastAsia="Calibri"/>
                <w:noProof/>
                <w:sz w:val="20"/>
                <w:szCs w:val="20"/>
              </w:rPr>
            </w:pPr>
          </w:p>
        </w:tc>
        <w:tc>
          <w:tcPr>
            <w:tcW w:w="964" w:type="dxa"/>
          </w:tcPr>
          <w:p>
            <w:pPr>
              <w:spacing w:before="40" w:after="40"/>
              <w:jc w:val="right"/>
              <w:rPr>
                <w:rFonts w:eastAsia="Calibri"/>
                <w:noProof/>
                <w:sz w:val="20"/>
                <w:szCs w:val="20"/>
              </w:rPr>
            </w:pPr>
          </w:p>
        </w:tc>
        <w:tc>
          <w:tcPr>
            <w:tcW w:w="1111" w:type="dxa"/>
          </w:tcPr>
          <w:p>
            <w:pPr>
              <w:spacing w:before="40" w:after="40"/>
              <w:rPr>
                <w:rFonts w:eastAsia="Calibri"/>
                <w:noProof/>
                <w:sz w:val="20"/>
                <w:szCs w:val="20"/>
              </w:rPr>
            </w:pPr>
          </w:p>
        </w:tc>
        <w:tc>
          <w:tcPr>
            <w:tcW w:w="5294" w:type="dxa"/>
            <w:gridSpan w:val="5"/>
            <w:vMerge/>
          </w:tcPr>
          <w:p>
            <w:pPr>
              <w:spacing w:before="40" w:after="40"/>
              <w:rPr>
                <w:rFonts w:eastAsia="Calibri"/>
                <w:noProof/>
                <w:sz w:val="20"/>
                <w:szCs w:val="20"/>
              </w:rPr>
            </w:pPr>
          </w:p>
        </w:tc>
      </w:tr>
      <w:tr>
        <w:trPr>
          <w:trHeight w:val="233"/>
        </w:trPr>
        <w:tc>
          <w:tcPr>
            <w:tcW w:w="2066" w:type="dxa"/>
          </w:tcPr>
          <w:p>
            <w:pPr>
              <w:spacing w:before="40" w:after="40"/>
              <w:rPr>
                <w:rFonts w:eastAsia="Calibri"/>
                <w:noProof/>
                <w:sz w:val="20"/>
                <w:szCs w:val="20"/>
              </w:rPr>
            </w:pPr>
            <w:r>
              <w:rPr>
                <w:noProof/>
                <w:sz w:val="20"/>
                <w:szCs w:val="20"/>
              </w:rPr>
              <w:t>Union</w:t>
            </w:r>
          </w:p>
        </w:tc>
        <w:tc>
          <w:tcPr>
            <w:tcW w:w="964" w:type="dxa"/>
          </w:tcPr>
          <w:p>
            <w:pPr>
              <w:spacing w:before="40" w:after="40"/>
              <w:jc w:val="right"/>
              <w:rPr>
                <w:rFonts w:eastAsia="Calibri"/>
                <w:noProof/>
                <w:sz w:val="20"/>
                <w:szCs w:val="20"/>
              </w:rPr>
            </w:pPr>
            <w:r>
              <w:rPr>
                <w:noProof/>
                <w:sz w:val="20"/>
                <w:szCs w:val="20"/>
              </w:rPr>
              <w:t>p.m.</w:t>
            </w:r>
          </w:p>
        </w:tc>
        <w:tc>
          <w:tcPr>
            <w:tcW w:w="1111" w:type="dxa"/>
          </w:tcPr>
          <w:p>
            <w:pPr>
              <w:spacing w:before="40" w:after="40"/>
              <w:rPr>
                <w:rFonts w:eastAsia="Calibri"/>
                <w:noProof/>
                <w:sz w:val="20"/>
                <w:szCs w:val="20"/>
              </w:rPr>
            </w:pPr>
            <w:r>
              <w:rPr>
                <w:noProof/>
                <w:sz w:val="20"/>
                <w:szCs w:val="20"/>
              </w:rPr>
              <w:t>(*)</w:t>
            </w:r>
          </w:p>
        </w:tc>
        <w:tc>
          <w:tcPr>
            <w:tcW w:w="5294" w:type="dxa"/>
            <w:gridSpan w:val="5"/>
            <w:vMerge/>
          </w:tcPr>
          <w:p>
            <w:pPr>
              <w:spacing w:before="40" w:after="40"/>
              <w:rPr>
                <w:rFonts w:eastAsia="Calibri"/>
                <w:noProof/>
                <w:sz w:val="20"/>
                <w:szCs w:val="20"/>
              </w:rPr>
            </w:pPr>
          </w:p>
        </w:tc>
      </w:tr>
      <w:tr>
        <w:trPr>
          <w:trHeight w:val="233"/>
        </w:trPr>
        <w:tc>
          <w:tcPr>
            <w:tcW w:w="2066" w:type="dxa"/>
          </w:tcPr>
          <w:p>
            <w:pPr>
              <w:spacing w:before="40" w:after="40"/>
              <w:rPr>
                <w:rFonts w:eastAsia="Calibri"/>
                <w:noProof/>
                <w:sz w:val="20"/>
                <w:szCs w:val="20"/>
              </w:rPr>
            </w:pPr>
          </w:p>
        </w:tc>
        <w:tc>
          <w:tcPr>
            <w:tcW w:w="964" w:type="dxa"/>
          </w:tcPr>
          <w:p>
            <w:pPr>
              <w:spacing w:before="40" w:after="40"/>
              <w:jc w:val="right"/>
              <w:rPr>
                <w:rFonts w:eastAsia="Calibri"/>
                <w:noProof/>
                <w:sz w:val="20"/>
                <w:szCs w:val="20"/>
              </w:rPr>
            </w:pPr>
          </w:p>
        </w:tc>
        <w:tc>
          <w:tcPr>
            <w:tcW w:w="1111" w:type="dxa"/>
          </w:tcPr>
          <w:p>
            <w:pPr>
              <w:spacing w:before="40" w:after="40"/>
              <w:rPr>
                <w:rFonts w:eastAsia="Calibri"/>
                <w:noProof/>
                <w:sz w:val="20"/>
                <w:szCs w:val="20"/>
              </w:rPr>
            </w:pPr>
          </w:p>
        </w:tc>
        <w:tc>
          <w:tcPr>
            <w:tcW w:w="5294" w:type="dxa"/>
            <w:gridSpan w:val="5"/>
            <w:vMerge/>
          </w:tcPr>
          <w:p>
            <w:pPr>
              <w:spacing w:before="40" w:after="40"/>
              <w:rPr>
                <w:rFonts w:eastAsia="Calibri"/>
                <w:noProof/>
                <w:sz w:val="20"/>
                <w:szCs w:val="20"/>
              </w:rPr>
            </w:pPr>
          </w:p>
        </w:tc>
      </w:tr>
      <w:tr>
        <w:trPr>
          <w:cantSplit/>
          <w:trHeight w:val="233"/>
        </w:trPr>
        <w:tc>
          <w:tcPr>
            <w:tcW w:w="2066" w:type="dxa"/>
          </w:tcPr>
          <w:p>
            <w:pPr>
              <w:spacing w:before="40" w:after="40"/>
              <w:rPr>
                <w:rFonts w:eastAsia="Calibri"/>
                <w:noProof/>
                <w:sz w:val="20"/>
                <w:szCs w:val="20"/>
              </w:rPr>
            </w:pPr>
            <w:r>
              <w:rPr>
                <w:noProof/>
                <w:sz w:val="20"/>
                <w:szCs w:val="20"/>
              </w:rPr>
              <w:t>TAC</w:t>
            </w:r>
          </w:p>
        </w:tc>
        <w:tc>
          <w:tcPr>
            <w:tcW w:w="2075" w:type="dxa"/>
            <w:gridSpan w:val="2"/>
          </w:tcPr>
          <w:p>
            <w:pPr>
              <w:spacing w:before="40" w:after="40"/>
              <w:jc w:val="left"/>
              <w:rPr>
                <w:rFonts w:eastAsia="Calibri"/>
                <w:noProof/>
                <w:sz w:val="20"/>
                <w:szCs w:val="20"/>
              </w:rPr>
            </w:pPr>
            <w:r>
              <w:rPr>
                <w:noProof/>
                <w:sz w:val="20"/>
                <w:szCs w:val="20"/>
              </w:rPr>
              <w:t xml:space="preserve">             p.m. </w:t>
            </w:r>
          </w:p>
        </w:tc>
        <w:tc>
          <w:tcPr>
            <w:tcW w:w="5294" w:type="dxa"/>
            <w:gridSpan w:val="5"/>
            <w:vMerge/>
          </w:tcPr>
          <w:p>
            <w:pPr>
              <w:spacing w:before="40" w:after="40"/>
              <w:rPr>
                <w:rFonts w:eastAsia="Calibri"/>
                <w:noProof/>
                <w:sz w:val="20"/>
                <w:szCs w:val="20"/>
              </w:rPr>
            </w:pPr>
          </w:p>
        </w:tc>
      </w:tr>
      <w:tr>
        <w:trPr>
          <w:trHeight w:val="233"/>
        </w:trPr>
        <w:tc>
          <w:tcPr>
            <w:tcW w:w="2066" w:type="dxa"/>
          </w:tcPr>
          <w:p>
            <w:pPr>
              <w:spacing w:before="40" w:after="40"/>
              <w:rPr>
                <w:rFonts w:eastAsia="Calibri"/>
                <w:noProof/>
                <w:sz w:val="20"/>
                <w:szCs w:val="20"/>
              </w:rPr>
            </w:pPr>
            <w:r>
              <w:rPr>
                <w:noProof/>
                <w:sz w:val="20"/>
                <w:szCs w:val="20"/>
              </w:rPr>
              <w:t>_________</w:t>
            </w:r>
          </w:p>
        </w:tc>
        <w:tc>
          <w:tcPr>
            <w:tcW w:w="964" w:type="dxa"/>
          </w:tcPr>
          <w:p>
            <w:pPr>
              <w:spacing w:before="40" w:after="40"/>
              <w:rPr>
                <w:rFonts w:eastAsia="Calibri"/>
                <w:noProof/>
                <w:sz w:val="20"/>
                <w:szCs w:val="20"/>
              </w:rPr>
            </w:pPr>
          </w:p>
        </w:tc>
        <w:tc>
          <w:tcPr>
            <w:tcW w:w="1111" w:type="dxa"/>
          </w:tcPr>
          <w:p>
            <w:pPr>
              <w:spacing w:before="40" w:after="40"/>
              <w:rPr>
                <w:rFonts w:eastAsia="Calibri"/>
                <w:noProof/>
                <w:sz w:val="20"/>
                <w:szCs w:val="20"/>
              </w:rPr>
            </w:pPr>
          </w:p>
        </w:tc>
        <w:tc>
          <w:tcPr>
            <w:tcW w:w="5294" w:type="dxa"/>
            <w:gridSpan w:val="5"/>
            <w:vMerge/>
          </w:tcPr>
          <w:p>
            <w:pPr>
              <w:spacing w:before="40" w:after="40"/>
              <w:rPr>
                <w:rFonts w:eastAsia="Calibri"/>
                <w:noProof/>
                <w:sz w:val="20"/>
                <w:szCs w:val="20"/>
              </w:rPr>
            </w:pPr>
          </w:p>
        </w:tc>
      </w:tr>
      <w:tr>
        <w:trPr>
          <w:cantSplit/>
          <w:trHeight w:val="1533"/>
        </w:trPr>
        <w:tc>
          <w:tcPr>
            <w:tcW w:w="9435" w:type="dxa"/>
            <w:gridSpan w:val="8"/>
            <w:tcBorders>
              <w:bottom w:val="single" w:sz="18" w:space="0" w:color="auto"/>
            </w:tcBorders>
          </w:tcPr>
          <w:p>
            <w:pPr>
              <w:spacing w:before="40" w:after="40"/>
              <w:rPr>
                <w:rFonts w:eastAsia="Calibri"/>
                <w:noProof/>
                <w:sz w:val="20"/>
                <w:szCs w:val="20"/>
              </w:rPr>
            </w:pPr>
            <w:r>
              <w:rPr>
                <w:noProof/>
                <w:sz w:val="20"/>
                <w:szCs w:val="20"/>
              </w:rPr>
              <w:t xml:space="preserve"> (*)</w:t>
            </w:r>
            <w:r>
              <w:rPr>
                <w:noProof/>
                <w:sz w:val="20"/>
                <w:szCs w:val="20"/>
              </w:rPr>
              <w:tab/>
              <w:t>Aucune activité de pêche, y compris le transbordement, la détention à bord et le débarquement, n’est autorisée du 15 avril au 15 juin 2020.</w:t>
            </w:r>
            <w:r>
              <w:rPr>
                <w:b/>
                <w:noProof/>
              </w:rPr>
              <w:t xml:space="preserve">                                 </w:t>
            </w:r>
          </w:p>
        </w:tc>
      </w:tr>
    </w:tbl>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ab/>
        <w:t>TBB, OTB, PTB, TBN, TBS, TB, OTM, PTM, TMS, TM, OTT, OT, PT, TX, OTP, TSP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BE09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F7C42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A678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04D6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8CEF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5EB5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0C5430"/>
    <w:lvl w:ilvl="0">
      <w:start w:val="1"/>
      <w:numFmt w:val="decimal"/>
      <w:pStyle w:val="ListNumber"/>
      <w:lvlText w:val="%1."/>
      <w:lvlJc w:val="left"/>
      <w:pPr>
        <w:tabs>
          <w:tab w:val="num" w:pos="360"/>
        </w:tabs>
        <w:ind w:left="360" w:hanging="360"/>
      </w:pPr>
    </w:lvl>
  </w:abstractNum>
  <w:abstractNum w:abstractNumId="7">
    <w:nsid w:val="FFFFFF89"/>
    <w:multiLevelType w:val="singleLevel"/>
    <w:tmpl w:val="31CA78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1 12:24:00"/>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3"/>
    <w:docVar w:name="LW_ANNEX_UNIQUE" w:val="0"/>
    <w:docVar w:name="LW_CORRIGENDUM" w:val="&lt;UNUSED&gt;"/>
    <w:docVar w:name="LW_COVERPAGE_EXISTS" w:val="True"/>
    <w:docVar w:name="LW_COVERPAGE_GUID" w:val="AA011BD1-7A3A-4F25-A4D3-DD6A6D1B3D44"/>
    <w:docVar w:name="LW_COVERPAGE_TYPE" w:val="1"/>
    <w:docVar w:name="LW_CROSSREFERENCE" w:val="&lt;UNUSED&gt;"/>
    <w:docVar w:name="LW_DocType" w:val="ANNEX"/>
    <w:docVar w:name="LW_EMISSION" w:val="8.10.2019"/>
    <w:docVar w:name="LW_EMISSION_ISODATE" w:val="2019-10-0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établissant, pour 2020, les possibilités de pêche pour certains stocks halieutiques et groupes de stocks halieutiques en mer Méditerranée et en mer Noire&lt;/FMT&gt;_x000b_"/>
    <w:docVar w:name="LW_OBJETACTEPRINCIPAL.CP" w:val="&lt;FMT:Bold&gt;établissant, pour 2020, les possibilités de pêche pour certains stocks halieutiques et groupes de stocks halieutiques en mer Méditerranée et en mer Noire&lt;/FMT&gt;_x000b_"/>
    <w:docVar w:name="LW_PART_NBR" w:val="&lt;UNUSED&gt;"/>
    <w:docVar w:name="LW_PART_NBR_TOTAL" w:val="&lt;UNUSED&gt;"/>
    <w:docVar w:name="LW_REF.INST.NEW" w:val="COM"/>
    <w:docVar w:name="LW_REF.INST.NEW_ADOPTED" w:val="final"/>
    <w:docVar w:name="LW_REF.INST.NEW_TEXT" w:val="(2019)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widowControl w:val="0"/>
      <w:autoSpaceDN w:val="0"/>
      <w:spacing w:after="0" w:line="240" w:lineRule="auto"/>
      <w:textAlignment w:val="baseline"/>
    </w:pPr>
    <w:rPr>
      <w:rFonts w:ascii="Calibri" w:eastAsia="Lucida Sans Unicode"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widowControl w:val="0"/>
      <w:autoSpaceDN w:val="0"/>
      <w:spacing w:after="0" w:line="240" w:lineRule="auto"/>
      <w:textAlignment w:val="baseline"/>
    </w:pPr>
    <w:rPr>
      <w:rFonts w:ascii="Calibri" w:eastAsia="Lucida Sans Unicode"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widowControl w:val="0"/>
      <w:autoSpaceDN w:val="0"/>
      <w:spacing w:after="0" w:line="240" w:lineRule="auto"/>
      <w:textAlignment w:val="baseline"/>
    </w:pPr>
    <w:rPr>
      <w:rFonts w:ascii="Calibri" w:eastAsia="Lucida Sans Unicode"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widowControl w:val="0"/>
      <w:autoSpaceDN w:val="0"/>
      <w:spacing w:after="0" w:line="240" w:lineRule="auto"/>
      <w:textAlignment w:val="baseline"/>
    </w:pPr>
    <w:rPr>
      <w:rFonts w:ascii="Calibri" w:eastAsia="Lucida Sans Unicode"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7</Pages>
  <Words>1374</Words>
  <Characters>6144</Characters>
  <Application>Microsoft Office Word</Application>
  <DocSecurity>0</DocSecurity>
  <Lines>614</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MANSILLAS Belen (MARE)</dc:creator>
  <cp:keywords/>
  <dc:description/>
  <cp:lastModifiedBy>WES PDFC Administrator</cp:lastModifiedBy>
  <cp:revision>9</cp:revision>
  <cp:lastPrinted>2019-09-02T10:06:00Z</cp:lastPrinted>
  <dcterms:created xsi:type="dcterms:W3CDTF">2019-09-18T13:35:00Z</dcterms:created>
  <dcterms:modified xsi:type="dcterms:W3CDTF">2019-10-01T10:24:00Z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