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9B74770-B600-4C43-AA1A-4CEDC7316B52"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rPr>
          <w:noProof/>
        </w:rPr>
        <w:lastRenderedPageBreak/>
        <w:t>1</w:t>
      </w:r>
      <w:r>
        <w:rPr>
          <w:noProof/>
        </w:rPr>
        <w:tab/>
        <w:t>Въведение</w:t>
      </w:r>
    </w:p>
    <w:p>
      <w:pPr>
        <w:spacing w:after="100" w:afterAutospacing="1"/>
        <w:rPr>
          <w:noProof/>
        </w:rPr>
      </w:pPr>
      <w:r>
        <w:rPr>
          <w:noProof/>
        </w:rPr>
        <w:t>В контекста на оттеглянето на Обединеното кралство от Съюза останалите 27 държави членки, заседаващи в рамките на Съвета, избраха Париж за ново седалище на Европейския банков орган (ЕБО)</w:t>
      </w:r>
      <w:r>
        <w:rPr>
          <w:rStyle w:val="FootnoteReference"/>
          <w:noProof/>
          <w:szCs w:val="22"/>
        </w:rPr>
        <w:footnoteReference w:id="2"/>
      </w:r>
      <w:r>
        <w:rPr>
          <w:noProof/>
        </w:rPr>
        <w:t xml:space="preserve">. </w:t>
      </w:r>
    </w:p>
    <w:p>
      <w:pPr>
        <w:spacing w:after="100" w:afterAutospacing="1"/>
        <w:rPr>
          <w:noProof/>
          <w:szCs w:val="22"/>
        </w:rPr>
      </w:pPr>
      <w:r>
        <w:rPr>
          <w:noProof/>
        </w:rPr>
        <w:t>Разпоредбите относно седалището на ЕБО се съдържат в член 7 от учредителния регламент за ЕБО</w:t>
      </w:r>
      <w:r>
        <w:rPr>
          <w:rStyle w:val="FootnoteReference"/>
          <w:noProof/>
          <w:szCs w:val="22"/>
        </w:rPr>
        <w:footnoteReference w:id="3"/>
      </w:r>
      <w:r>
        <w:rPr>
          <w:noProof/>
        </w:rPr>
        <w:t xml:space="preserve"> („Регламента за ЕБО“), който трябваше да бъде съответно изменен, за да бъде преместено седалището от Лондон в Париж. Освен преместването на седалището, с изменението на регламента</w:t>
      </w:r>
      <w:r>
        <w:rPr>
          <w:rStyle w:val="FootnoteReference"/>
          <w:noProof/>
        </w:rPr>
        <w:footnoteReference w:id="4"/>
      </w:r>
      <w:r>
        <w:rPr>
          <w:noProof/>
        </w:rPr>
        <w:t xml:space="preserve"> бяха въведени и нови изисквания по отношение на седалището, а също и задължение за Комисията да публикува доклад до 30 март 2019 г., както и на всеки 12 месеца след това, относно спазването от ЕБО на тези изисквания.</w:t>
      </w:r>
    </w:p>
    <w:p>
      <w:pPr>
        <w:spacing w:after="100" w:afterAutospacing="1"/>
        <w:rPr>
          <w:noProof/>
          <w:szCs w:val="22"/>
        </w:rPr>
      </w:pPr>
      <w:r>
        <w:rPr>
          <w:noProof/>
        </w:rPr>
        <w:t xml:space="preserve">В съответствие с член 7 от регламента  </w:t>
      </w:r>
      <w:r>
        <w:rPr>
          <w:i/>
          <w:iCs/>
          <w:noProof/>
        </w:rPr>
        <w:t>„Местонахождението на седалището на Органа не засяга изпълнението на неговите задачи и правомощия, организацията на структурата на управлението му, работата на основната му организация или основното финансиране на дейностите му, като същевременно позволява, когато е приложимо, споделяне с агенции на Съюза на услуги за административна подкрепа и услуги за управление на инфраструктура, които не са свързани с основните дейности на Органа.“</w:t>
      </w:r>
      <w:r>
        <w:rPr>
          <w:noProof/>
        </w:rPr>
        <w:t xml:space="preserve">  </w:t>
      </w:r>
    </w:p>
    <w:p>
      <w:pPr>
        <w:spacing w:after="100" w:afterAutospacing="1"/>
        <w:rPr>
          <w:noProof/>
          <w:szCs w:val="22"/>
        </w:rPr>
      </w:pPr>
      <w:r>
        <w:rPr>
          <w:noProof/>
        </w:rPr>
        <w:t xml:space="preserve">ЕБО предостави информацията, необходима за изпълнението на тези изисквания за докладване. Настоящият първи доклад в изпълнение на новото задължение за докладване е публикуван след 30 март 2019 г., тъй като пълната оперативност на ЕБО в Париж не бе достигната преди 3 юни 2019 г. </w:t>
      </w:r>
    </w:p>
    <w:p>
      <w:pPr>
        <w:pStyle w:val="ManualHeading1"/>
        <w:rPr>
          <w:noProof/>
        </w:rPr>
      </w:pPr>
      <w:r>
        <w:rPr>
          <w:noProof/>
        </w:rPr>
        <w:t>2</w:t>
      </w:r>
      <w:r>
        <w:rPr>
          <w:noProof/>
        </w:rPr>
        <w:tab/>
        <w:t>Споразумение за промяна на седалището на ЕБО</w:t>
      </w:r>
    </w:p>
    <w:p>
      <w:pPr>
        <w:rPr>
          <w:noProof/>
          <w:szCs w:val="22"/>
        </w:rPr>
      </w:pPr>
      <w:r>
        <w:rPr>
          <w:noProof/>
        </w:rPr>
        <w:t xml:space="preserve">На 4 март 2019 г. Управителният съвет на ЕБО одобри споразумение за промяна на седалището на органа, което бе подписано на 6 март 2019 г на церемония в Париж. ЕБО очаква потвърждение за приключването на вътрешните процедури, изисквани във Франция, за да може споразумението да влезе в сила. Подписването му не засегна дейността и управлението на ЕБО.   </w:t>
      </w:r>
    </w:p>
    <w:p>
      <w:pPr>
        <w:rPr>
          <w:noProof/>
          <w:szCs w:val="22"/>
        </w:rPr>
      </w:pPr>
      <w:r>
        <w:rPr>
          <w:noProof/>
        </w:rPr>
        <w:t>В споразумението са отразени изискванията на Протокол № 7 за привилегиите и имунитетите на Европейския съюз</w:t>
      </w:r>
      <w:r>
        <w:rPr>
          <w:rStyle w:val="FootnoteReference"/>
          <w:noProof/>
          <w:szCs w:val="22"/>
        </w:rPr>
        <w:footnoteReference w:id="5"/>
      </w:r>
      <w:r>
        <w:rPr>
          <w:noProof/>
        </w:rPr>
        <w:t xml:space="preserve">, като в допълнение е предвидена и възможността преместилите се от Лондон в Париж служители да закупят автомобил, без да заплащат данък, в рамките на дванадесет месеца след преместването. Тази възможност е предоставена и на служителите с френско </w:t>
      </w:r>
      <w:r>
        <w:rPr>
          <w:noProof/>
        </w:rPr>
        <w:lastRenderedPageBreak/>
        <w:t xml:space="preserve">гражданство. Със споразумението френското правителство се ангажира да участва в процедурата по откриването на Европейско училище в района на Париж. Управителният съвет на Европейските училища одобри досието за съответствие на предложеното Европейско училище, което се предвижда да отвори врати през септември 2019 г. в Courbevoie. Тези две мерки за подкрепа ще подпомогнат служителите в процеса на тяхното преместване и в частност на служителите със семейства, чиито деца са в училищна възраст.  </w:t>
      </w:r>
    </w:p>
    <w:p>
      <w:pPr>
        <w:rPr>
          <w:noProof/>
        </w:rPr>
      </w:pPr>
      <w:r>
        <w:rPr>
          <w:noProof/>
        </w:rPr>
        <w:t>Освен това ЕБО си сътрудничи със службата по протокол към френското министерство по европейските въпроси и външните работи, а също така и с френските митнически органи, за да се гарантира гладкото протичане на процедурите по пристигането на служителите и техните семейства във Франция, издаването на специални разрешения за пребиваване, както и  прилагането на данъчните привилегии по отношение на ЕБО.</w:t>
      </w:r>
    </w:p>
    <w:p>
      <w:pPr>
        <w:pStyle w:val="ManualHeading1"/>
        <w:rPr>
          <w:noProof/>
        </w:rPr>
      </w:pPr>
      <w:r>
        <w:rPr>
          <w:noProof/>
        </w:rPr>
        <w:t>3</w:t>
      </w:r>
      <w:r>
        <w:rPr>
          <w:noProof/>
        </w:rPr>
        <w:tab/>
        <w:t>Управление, операции и изпълнение на задачите на ЕБО</w:t>
      </w:r>
    </w:p>
    <w:p>
      <w:pPr>
        <w:spacing w:after="100" w:afterAutospacing="1"/>
        <w:rPr>
          <w:noProof/>
        </w:rPr>
      </w:pPr>
      <w:r>
        <w:rPr>
          <w:noProof/>
        </w:rPr>
        <w:t>Задачите и правомощията на ЕБО, организацията на неговата управленска структура, функционирането на основната му организация, както и основното му финансиране не са засегнати от преместването на неговото седалище.</w:t>
      </w:r>
    </w:p>
    <w:p>
      <w:pPr>
        <w:rPr>
          <w:noProof/>
          <w:sz w:val="22"/>
          <w:szCs w:val="22"/>
        </w:rPr>
      </w:pPr>
      <w:r>
        <w:rPr>
          <w:noProof/>
        </w:rPr>
        <w:t>Органът получи специално финансиране от френското правителство за покриване на разходите по преместването, както следва:</w:t>
      </w:r>
    </w:p>
    <w:p>
      <w:pPr>
        <w:pStyle w:val="ListParagraph"/>
        <w:numPr>
          <w:ilvl w:val="0"/>
          <w:numId w:val="21"/>
        </w:numPr>
        <w:spacing w:before="0" w:after="160" w:line="252" w:lineRule="auto"/>
        <w:rPr>
          <w:noProof/>
        </w:rPr>
      </w:pPr>
      <w:r>
        <w:rPr>
          <w:noProof/>
        </w:rPr>
        <w:t>Принос от 1,5 млн. евро за разходите по подготовката на офисите в Париж. Тази сума бе получена и изплатена.</w:t>
      </w:r>
    </w:p>
    <w:p>
      <w:pPr>
        <w:pStyle w:val="ListParagraph"/>
        <w:numPr>
          <w:ilvl w:val="0"/>
          <w:numId w:val="21"/>
        </w:numPr>
        <w:spacing w:before="0" w:after="100" w:afterAutospacing="1" w:line="252" w:lineRule="auto"/>
        <w:rPr>
          <w:noProof/>
        </w:rPr>
      </w:pPr>
      <w:r>
        <w:rPr>
          <w:noProof/>
        </w:rPr>
        <w:t>Принос от 7 млн. евро за разходите по наема и сградата, в която се помещават офисите в Париж. До момента ЕБО е получил 2,5 млн. евро от тези средства. Останалата част ще бъде получена в рамките на срока на действие на договора за наем на офисите в Париж.</w:t>
      </w:r>
    </w:p>
    <w:p>
      <w:pPr>
        <w:spacing w:after="100" w:afterAutospacing="1"/>
        <w:rPr>
          <w:noProof/>
        </w:rPr>
      </w:pPr>
      <w:r>
        <w:rPr>
          <w:noProof/>
        </w:rPr>
        <w:t xml:space="preserve">До пристигането на новия председател на ЕБО на 1 май 2019 г. функцията на временно изпълняващ длъжността председател беше поета от заместник-председателя на ЕБО, който подписа от името на ЕБО споразумението за промяна на седалището. Тъй като до края на май 2019 г. новите офисни помещения в Париж все още не бяха готови, по време на преходния период април — май 2019 г. бяха приложени специфични мерки с цел свеждане до минимум на смущенията в работата на служителите на ЕБО, както и с цел запазване на пълната оперативна непрекъснатост. На 30 март 2019 г. висшето ръководство започна да изпълнява функциите си в Париж, където ЕБО бе осигурил ограничен брой временни офиси в сградата Europlaza (сградата на новите помещения на ЕБО).  </w:t>
      </w:r>
    </w:p>
    <w:p>
      <w:pPr>
        <w:spacing w:after="100" w:afterAutospacing="1"/>
        <w:rPr>
          <w:noProof/>
        </w:rPr>
      </w:pPr>
      <w:r>
        <w:rPr>
          <w:noProof/>
        </w:rPr>
        <w:t>От 1 април 2019 г. ЕБО започна да организира срещи от ключово значение в Париж и други градове в ЕС. Banque de France предостави специална подкрепа, като осигури помещение за заседанието на Съвета на надзорниците на 16—17 април 2019 г., докато в сградата Europlaza беше организирано публично изслушване.</w:t>
      </w:r>
    </w:p>
    <w:p>
      <w:pPr>
        <w:pStyle w:val="ManualHeading1"/>
        <w:rPr>
          <w:noProof/>
        </w:rPr>
      </w:pPr>
      <w:r>
        <w:rPr>
          <w:noProof/>
        </w:rPr>
        <w:t>4</w:t>
      </w:r>
      <w:r>
        <w:rPr>
          <w:noProof/>
        </w:rPr>
        <w:tab/>
        <w:t>Преместване на офисите на ЕБО</w:t>
      </w:r>
    </w:p>
    <w:p>
      <w:pPr>
        <w:rPr>
          <w:noProof/>
        </w:rPr>
      </w:pPr>
      <w:r>
        <w:rPr>
          <w:noProof/>
        </w:rPr>
        <w:t>През последните няколко месеца в Europlaza бяха проведени интензивни седмични срещи с оглед на наблюдението и разрешаването на проблеми във връзка с подготовката на новите офиси. Въпреки закъснението от страна на собственика с цялостното приключване на довършителните работи, което съгласно  договора бе предвидено на 16 април 2019 г., постигнатият напредък даде възможност на ЕБО да спази срока за цялостното преместване на офисите си. Подготовката на помещенията на ЕБО в Europlaza (мебели, аудио-визуално оборудване и ИТ оборудване за крайните потребители) от външните изпълнители и служителите на ЕБО приключи на 31 май 2019 г., а крайният срок за преместването на офисите на ЕБО от Лондон в Париж бе 2 юни 2019 г. ЕБО достигна пълна оперативност на функциите си в Париж на 3 юни 2019 г., когато всички служители поеха задълженията си в новото седалище на ЕБО, помещаващо се в сградата Europlaza.</w:t>
      </w:r>
    </w:p>
    <w:p>
      <w:pPr>
        <w:pStyle w:val="ManualHeading1"/>
        <w:rPr>
          <w:noProof/>
        </w:rPr>
      </w:pPr>
      <w:r>
        <w:rPr>
          <w:noProof/>
        </w:rPr>
        <w:t>5</w:t>
      </w:r>
      <w:r>
        <w:rPr>
          <w:noProof/>
        </w:rPr>
        <w:tab/>
        <w:t>Преместване на центъра за данни на ЕБО</w:t>
      </w:r>
    </w:p>
    <w:p>
      <w:pPr>
        <w:rPr>
          <w:noProof/>
        </w:rPr>
      </w:pPr>
      <w:r>
        <w:rPr>
          <w:noProof/>
        </w:rPr>
        <w:t>В центъра за данни на ЕБО се съхраняват договори, изтичащи през 2019 г., в резултат на което ЕБО реши да извърши миграция на центъра за данни към междуведомствена среда за съхраняване в облак в рамките на общност в съответствие със своята стратегия за хостинга и с оглед на очаквания през март 2019 г. Брексит. В рамките на програмата си от 2018 г. за миграция на центъра за данни и в тясно сътрудничество с Европейския орган за застраховане и професионално пенсионно осигуряване (ЕОЗППО) ЕБО разработи, планира, договори и осъществи пълно прехвърляне на съхраняваните данни и инфраструктурните услуги.  По този начин бе постигната непрекъснатост на дейността на агенцията, бе подобрена сигурността и бяха намалени разходите при същевременно осигуряване на същото или по-добро качество на услугата.</w:t>
      </w:r>
    </w:p>
    <w:p>
      <w:pPr>
        <w:rPr>
          <w:noProof/>
        </w:rPr>
      </w:pPr>
      <w:r>
        <w:rPr>
          <w:noProof/>
        </w:rPr>
        <w:t>ЕБО взе участие в две междуинституционални процедури за възлагане на обществени поръчки, организирани от Европейския орган за ценни книжа и пазари (ЕОЦКП): за консултантски услуги в областта на информационните и комуникационните технологии (ИКТ) (рамков договор, подписан на 8 октомври 2018 г.) и за консултантски услуги за управление на инфраструктура (рамков договор, подписан на 30 април 2019 г.) Съгласно договора за консултантски услуги в областта на ИКТ временно наетите в Обединеното кралство ИТ служители понастоящем прехвърлят на изпълнителя познанията, с които разполагат, за да се гарантира, че информацията от всички информационни приложения и проекти ще остане в рамките на ЕБО и ще се съхранява по структуриран начин.</w:t>
      </w:r>
    </w:p>
    <w:p>
      <w:pPr>
        <w:pStyle w:val="ManualHeading1"/>
        <w:ind w:left="0" w:firstLine="0"/>
        <w:rPr>
          <w:noProof/>
        </w:rPr>
      </w:pPr>
      <w:r>
        <w:rPr>
          <w:noProof/>
        </w:rPr>
        <w:t>5</w:t>
      </w:r>
      <w:r>
        <w:rPr>
          <w:noProof/>
        </w:rPr>
        <w:tab/>
        <w:t>Заключения</w:t>
      </w:r>
    </w:p>
    <w:p>
      <w:pPr>
        <w:rPr>
          <w:noProof/>
          <w:sz w:val="22"/>
          <w:szCs w:val="22"/>
        </w:rPr>
      </w:pPr>
      <w:r>
        <w:rPr>
          <w:noProof/>
        </w:rPr>
        <w:t>Въз основа на наличната информация изпълнението на задачите и правомощията на ЕБО, структурата му на управление, основната му организация и финансирането на дейностите му не са били засегнати нито в резултат на  преместването на седалището на ЕБО в Париж, нито в резултат на описаните по-горе мерки за административно сътрудничество с ЕОЦКП и ЕОЗППО, които не са свързани с основните дейности на ЕБО.</w:t>
      </w:r>
    </w:p>
    <w:p>
      <w:pPr>
        <w:rPr>
          <w:noProof/>
          <w:szCs w:val="22"/>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 xml:space="preserve"> </w:t>
      </w:r>
      <w:r>
        <w:tab/>
        <w:t xml:space="preserve">Съвет по общи въпроси (член 50), 20 ноември 2017 г.: </w:t>
      </w:r>
      <w:r>
        <w:tab/>
        <w:t xml:space="preserve"> </w:t>
      </w:r>
      <w:hyperlink r:id="rId1" w:history="1">
        <w:r>
          <w:rPr>
            <w:rStyle w:val="Hyperlink"/>
          </w:rPr>
          <w:t>https://www.consilium.europa.eu/bg/press/press-releases/2017/11/20/european-banking-authority-to-be-relocated-to-city-country/</w:t>
        </w:r>
      </w:hyperlink>
      <w:r>
        <w:t xml:space="preserve"> </w:t>
      </w:r>
    </w:p>
  </w:footnote>
  <w:footnote w:id="3">
    <w:p>
      <w:pPr>
        <w:pStyle w:val="FootnoteText"/>
        <w:ind w:left="284" w:hanging="284"/>
      </w:pPr>
      <w:r>
        <w:rPr>
          <w:rStyle w:val="FootnoteReference"/>
        </w:rPr>
        <w:footnoteRef/>
      </w:r>
      <w:r>
        <w:t xml:space="preserve"> </w:t>
      </w:r>
      <w:r>
        <w:tab/>
        <w:t>Регламент (ЕС) № 1093/2010 на Европейския парламент и на Съвета от 24 ноември 2010 г. за създаване на Европейски надзорен орган (Европейски банков орган) (ОВ L 331, 15.12.2010 г., стр. 12).</w:t>
      </w:r>
    </w:p>
  </w:footnote>
  <w:footnote w:id="4">
    <w:p>
      <w:pPr>
        <w:pStyle w:val="FootnoteText"/>
        <w:ind w:left="284" w:hanging="284"/>
      </w:pPr>
      <w:r>
        <w:rPr>
          <w:rStyle w:val="FootnoteReference"/>
        </w:rPr>
        <w:footnoteRef/>
      </w:r>
      <w:r>
        <w:t xml:space="preserve"> </w:t>
      </w:r>
      <w:r>
        <w:tab/>
        <w:t>Регламент (ЕС) 2018/1717 на Европейския парламент и на Съвета от 14 ноември 2018 г. заизменение на Регламент (ЕС) № 1093/2010 по отношение на местонахождението на седалището на Европейския банков орган (OВ L 291, 16.11.2018 г., стр. 1)</w:t>
      </w:r>
    </w:p>
  </w:footnote>
  <w:footnote w:id="5">
    <w:p>
      <w:pPr>
        <w:pStyle w:val="FootnoteText"/>
        <w:ind w:left="284" w:hanging="284"/>
      </w:pPr>
      <w:r>
        <w:rPr>
          <w:rStyle w:val="FootnoteReference"/>
        </w:rPr>
        <w:footnoteRef/>
      </w:r>
      <w:r>
        <w:t xml:space="preserve"> </w:t>
      </w:r>
      <w:r>
        <w:tab/>
        <w:t>OВ C 202, 7.6.2016 г., стр. 266-272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6DD"/>
    <w:multiLevelType w:val="hybridMultilevel"/>
    <w:tmpl w:val="950A2F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A305CB3"/>
    <w:multiLevelType w:val="hybridMultilevel"/>
    <w:tmpl w:val="F5F07D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4">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942455"/>
    <w:multiLevelType w:val="multilevel"/>
    <w:tmpl w:val="FAD43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D26EF3"/>
    <w:multiLevelType w:val="hybridMultilevel"/>
    <w:tmpl w:val="4524F13E"/>
    <w:lvl w:ilvl="0" w:tplc="82AA57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67167667"/>
    <w:multiLevelType w:val="hybridMultilevel"/>
    <w:tmpl w:val="7A1E7628"/>
    <w:lvl w:ilvl="0" w:tplc="76089A36">
      <w:start w:val="159"/>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D316EF"/>
    <w:multiLevelType w:val="hybridMultilevel"/>
    <w:tmpl w:val="E86E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E31602"/>
    <w:multiLevelType w:val="hybridMultilevel"/>
    <w:tmpl w:val="E02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EF2E05"/>
    <w:multiLevelType w:val="hybridMultilevel"/>
    <w:tmpl w:val="4524F13E"/>
    <w:lvl w:ilvl="0" w:tplc="82AA57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6"/>
  </w:num>
  <w:num w:numId="7">
    <w:abstractNumId w:val="12"/>
  </w:num>
  <w:num w:numId="8">
    <w:abstractNumId w:val="1"/>
  </w:num>
  <w:num w:numId="9">
    <w:abstractNumId w:val="13"/>
  </w:num>
  <w:num w:numId="10">
    <w:abstractNumId w:val="7"/>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9B74770-B600-4C43-AA1A-4CEDC7316B52"/>
    <w:docVar w:name="LW_COVERPAGE_TYPE" w:val="1"/>
    <w:docVar w:name="LW_CROSSREFERENCE" w:val="&lt;UNUSED&gt;"/>
    <w:docVar w:name="LW_DocType" w:val="NORMAL"/>
    <w:docVar w:name="LW_EMISSION" w:val="9.10.2019"/>
    <w:docVar w:name="LW_EMISSION_ISODATE" w:val="2019-10-0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86?\u1090?\u1085?\u1086?\u1089?\u1085?\u1086? \u1089?\u1087?\u1072?\u1079?\u1074?\u1072?\u1085?\u1077?\u1090?\u1086? \u1086?\u1090? \u1045?\u1074?\u1088?\u1086?\u1087?\u1077?\u1081?\u1089?\u1082?\u1080?\u1103? \u1073?\u1072?\u1085?\u1082?\u1086?\u1074? \u1086?\u1088?\u1075?\u1072?\u1085? \u1085?\u1072? \u1080?\u1079?\u1080?\u1089?\u1082?\u1074?\u1072?\u1085?\u1080?\u1103?\u1090?\u1072? \u1087?\u1086? \u1086?\u1090?\u1085?\u1086?\u1096?\u1077?\u1085?\u1080?\u1077? \u1085?\u1072? \u1084?\u1077?\u1089?\u1090?\u1086?\u1085?\u1072?\u1093?\u1086?\u1078?\u1076?\u1077?\u1085?\u1080?\u1077?\u1090?\u1086? \u1085?\u1072? \u1085?\u1077?\u1075?\u1086?\u1074?\u1086?\u1090?\u1086? \u1089?\u1077?\u1076?\u1072?\u1083?\u1080?\u1097?\u1077?_x000b__x000d__x000d__x000d__x000d_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NER\ENER-2018-00192\ENER-2018-00192-00-00-EN-REV-00.20180305081432175577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HeaderSensitivityRightChar">
    <w:name w:val="Header Sensitivity Right Char"/>
    <w:basedOn w:val="ManualHeading1Char"/>
    <w:link w:val="HeaderSensitivityRight"/>
    <w:rPr>
      <w:rFonts w:ascii="Times New Roman" w:eastAsia="Times New Roman" w:hAnsi="Times New Roman" w:cs="Times New Roman"/>
      <w:b w:val="0"/>
      <w:smallCaps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HeaderSensitivityRightChar">
    <w:name w:val="Header Sensitivity Right Char"/>
    <w:basedOn w:val="ManualHeading1Char"/>
    <w:link w:val="HeaderSensitivityRight"/>
    <w:rPr>
      <w:rFonts w:ascii="Times New Roman" w:eastAsia="Times New Roman" w:hAnsi="Times New Roman" w:cs="Times New Roman"/>
      <w:b w:val="0"/>
      <w:smallCaps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589">
      <w:bodyDiv w:val="1"/>
      <w:marLeft w:val="0"/>
      <w:marRight w:val="0"/>
      <w:marTop w:val="0"/>
      <w:marBottom w:val="0"/>
      <w:divBdr>
        <w:top w:val="none" w:sz="0" w:space="0" w:color="auto"/>
        <w:left w:val="none" w:sz="0" w:space="0" w:color="auto"/>
        <w:bottom w:val="none" w:sz="0" w:space="0" w:color="auto"/>
        <w:right w:val="none" w:sz="0" w:space="0" w:color="auto"/>
      </w:divBdr>
      <w:divsChild>
        <w:div w:id="1855264196">
          <w:marLeft w:val="864"/>
          <w:marRight w:val="0"/>
          <w:marTop w:val="0"/>
          <w:marBottom w:val="120"/>
          <w:divBdr>
            <w:top w:val="none" w:sz="0" w:space="0" w:color="auto"/>
            <w:left w:val="none" w:sz="0" w:space="0" w:color="auto"/>
            <w:bottom w:val="none" w:sz="0" w:space="0" w:color="auto"/>
            <w:right w:val="none" w:sz="0" w:space="0" w:color="auto"/>
          </w:divBdr>
        </w:div>
      </w:divsChild>
    </w:div>
    <w:div w:id="444082417">
      <w:bodyDiv w:val="1"/>
      <w:marLeft w:val="0"/>
      <w:marRight w:val="0"/>
      <w:marTop w:val="0"/>
      <w:marBottom w:val="0"/>
      <w:divBdr>
        <w:top w:val="none" w:sz="0" w:space="0" w:color="auto"/>
        <w:left w:val="none" w:sz="0" w:space="0" w:color="auto"/>
        <w:bottom w:val="none" w:sz="0" w:space="0" w:color="auto"/>
        <w:right w:val="none" w:sz="0" w:space="0" w:color="auto"/>
      </w:divBdr>
    </w:div>
    <w:div w:id="557938735">
      <w:bodyDiv w:val="1"/>
      <w:marLeft w:val="0"/>
      <w:marRight w:val="0"/>
      <w:marTop w:val="0"/>
      <w:marBottom w:val="0"/>
      <w:divBdr>
        <w:top w:val="none" w:sz="0" w:space="0" w:color="auto"/>
        <w:left w:val="none" w:sz="0" w:space="0" w:color="auto"/>
        <w:bottom w:val="none" w:sz="0" w:space="0" w:color="auto"/>
        <w:right w:val="none" w:sz="0" w:space="0" w:color="auto"/>
      </w:divBdr>
    </w:div>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814494072">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 w:id="1599287057">
      <w:bodyDiv w:val="1"/>
      <w:marLeft w:val="0"/>
      <w:marRight w:val="0"/>
      <w:marTop w:val="0"/>
      <w:marBottom w:val="0"/>
      <w:divBdr>
        <w:top w:val="none" w:sz="0" w:space="0" w:color="auto"/>
        <w:left w:val="none" w:sz="0" w:space="0" w:color="auto"/>
        <w:bottom w:val="none" w:sz="0" w:space="0" w:color="auto"/>
        <w:right w:val="none" w:sz="0" w:space="0" w:color="auto"/>
      </w:divBdr>
      <w:divsChild>
        <w:div w:id="1634828086">
          <w:marLeft w:val="1555"/>
          <w:marRight w:val="0"/>
          <w:marTop w:val="0"/>
          <w:marBottom w:val="120"/>
          <w:divBdr>
            <w:top w:val="none" w:sz="0" w:space="0" w:color="auto"/>
            <w:left w:val="none" w:sz="0" w:space="0" w:color="auto"/>
            <w:bottom w:val="none" w:sz="0" w:space="0" w:color="auto"/>
            <w:right w:val="none" w:sz="0" w:space="0" w:color="auto"/>
          </w:divBdr>
        </w:div>
      </w:divsChild>
    </w:div>
    <w:div w:id="1656570617">
      <w:bodyDiv w:val="1"/>
      <w:marLeft w:val="0"/>
      <w:marRight w:val="0"/>
      <w:marTop w:val="0"/>
      <w:marBottom w:val="0"/>
      <w:divBdr>
        <w:top w:val="none" w:sz="0" w:space="0" w:color="auto"/>
        <w:left w:val="none" w:sz="0" w:space="0" w:color="auto"/>
        <w:bottom w:val="none" w:sz="0" w:space="0" w:color="auto"/>
        <w:right w:val="none" w:sz="0" w:space="0" w:color="auto"/>
      </w:divBdr>
      <w:divsChild>
        <w:div w:id="1861242235">
          <w:marLeft w:val="864"/>
          <w:marRight w:val="0"/>
          <w:marTop w:val="0"/>
          <w:marBottom w:val="120"/>
          <w:divBdr>
            <w:top w:val="none" w:sz="0" w:space="0" w:color="auto"/>
            <w:left w:val="none" w:sz="0" w:space="0" w:color="auto"/>
            <w:bottom w:val="none" w:sz="0" w:space="0" w:color="auto"/>
            <w:right w:val="none" w:sz="0" w:space="0" w:color="auto"/>
          </w:divBdr>
        </w:div>
        <w:div w:id="1923370541">
          <w:marLeft w:val="864"/>
          <w:marRight w:val="0"/>
          <w:marTop w:val="0"/>
          <w:marBottom w:val="120"/>
          <w:divBdr>
            <w:top w:val="none" w:sz="0" w:space="0" w:color="auto"/>
            <w:left w:val="none" w:sz="0" w:space="0" w:color="auto"/>
            <w:bottom w:val="none" w:sz="0" w:space="0" w:color="auto"/>
            <w:right w:val="none" w:sz="0" w:space="0" w:color="auto"/>
          </w:divBdr>
        </w:div>
        <w:div w:id="1594584938">
          <w:marLeft w:val="864"/>
          <w:marRight w:val="0"/>
          <w:marTop w:val="0"/>
          <w:marBottom w:val="120"/>
          <w:divBdr>
            <w:top w:val="none" w:sz="0" w:space="0" w:color="auto"/>
            <w:left w:val="none" w:sz="0" w:space="0" w:color="auto"/>
            <w:bottom w:val="none" w:sz="0" w:space="0" w:color="auto"/>
            <w:right w:val="none" w:sz="0" w:space="0" w:color="auto"/>
          </w:divBdr>
        </w:div>
      </w:divsChild>
    </w:div>
    <w:div w:id="17092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bg/press/press-releases/2017/11/20/european-banking-authority-to-be-relocated-to-cit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D050-8910-4BB1-B93D-B3E644C8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1207</Words>
  <Characters>6619</Characters>
  <Application>Microsoft Office Word</Application>
  <DocSecurity>0</DocSecurity>
  <Lines>120</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2019-06-17T17:15:00Z</cp:lastPrinted>
  <dcterms:created xsi:type="dcterms:W3CDTF">2019-09-04T14:36:00Z</dcterms:created>
  <dcterms:modified xsi:type="dcterms:W3CDTF">2019-10-02T09:03:00Z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