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3788E24C-0182-422A-B9C7-F40549910B4D" style="width:450.35pt;height:361.35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ManualHeading1"/>
        <w:rPr>
          <w:noProof/>
        </w:rPr>
      </w:pPr>
      <w:bookmarkStart w:id="1" w:name="_GoBack"/>
      <w:bookmarkEnd w:id="1"/>
      <w:r>
        <w:rPr>
          <w:noProof/>
        </w:rPr>
        <w:lastRenderedPageBreak/>
        <w:t>1.</w:t>
      </w:r>
      <w:r>
        <w:rPr>
          <w:noProof/>
        </w:rPr>
        <w:tab/>
        <w:t>Предговор</w:t>
      </w:r>
    </w:p>
    <w:p>
      <w:pPr>
        <w:pStyle w:val="Text1"/>
        <w:spacing w:before="0" w:after="240"/>
        <w:ind w:left="851"/>
        <w:rPr>
          <w:noProof/>
        </w:rPr>
      </w:pPr>
      <w:r>
        <w:rPr>
          <w:noProof/>
        </w:rPr>
        <w:t>В съответствие с член 7, параграф 1 от Вътрешното споразумение за 11-ия ЕФР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и член 19, параграф 2 от Регламент (ЕС) 2018/1877 на Съвета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относно финансовия регламент, приложим за 11-ия Европейски фонд за развитие (наричан по-нататък „Финансовият регламент за 11-ия ЕФР“), Комисията представя в настоящия документ прогнозите за поетите задължения, за плащанията и за вноските за периода 2019—2021 г., като взема предвид прогнозите на Европейската инвестиционна банка (ЕИБ). </w:t>
      </w:r>
    </w:p>
    <w:p>
      <w:pPr>
        <w:pStyle w:val="Text1"/>
        <w:spacing w:before="0" w:after="240"/>
        <w:rPr>
          <w:noProof/>
        </w:rPr>
      </w:pPr>
      <w:r>
        <w:rPr>
          <w:noProof/>
        </w:rPr>
        <w:t>В настоящия документ е представена прогнозата за финансовото изпълнение на ЕФР (от 8-ия до 11-ия ЕФР) за периода 2019—2021 г. Освен това в него се правят необвързващи прогнози за вноските за ЕФР от държавите членки за 2022 г. и 2023 г.</w:t>
      </w:r>
    </w:p>
    <w:p>
      <w:pPr>
        <w:pStyle w:val="Text1"/>
        <w:spacing w:before="0" w:after="240"/>
        <w:rPr>
          <w:noProof/>
        </w:rPr>
      </w:pPr>
      <w:r>
        <w:rPr>
          <w:noProof/>
        </w:rPr>
        <w:t xml:space="preserve">Вноските за инструментите на 9-ия, 10-ия и 11-ия ЕФР, управлявани от Европейската инвестиционна банка (ЕИБ) (Инвестиционния механизъм и лихвените субсидии), се внасят директно от държавите членки в ЕИБ. 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Въведение</w:t>
      </w:r>
    </w:p>
    <w:p>
      <w:pPr>
        <w:pStyle w:val="Text1"/>
        <w:spacing w:before="0" w:after="240"/>
        <w:rPr>
          <w:noProof/>
        </w:rPr>
      </w:pPr>
      <w:r>
        <w:rPr>
          <w:noProof/>
        </w:rPr>
        <w:t>Комисията и ЕИБ актуализираха прогнозите си за поетите задължения и за плащанията за 2019 г., 2020 г. и 2021 г. за всяка от държавите от АКТБ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и за ОСТ</w:t>
      </w:r>
      <w:r>
        <w:rPr>
          <w:rStyle w:val="FootnoteReference"/>
          <w:noProof/>
        </w:rPr>
        <w:footnoteReference w:id="4"/>
      </w:r>
      <w:r>
        <w:rPr>
          <w:noProof/>
        </w:rPr>
        <w:t>. По-специално прогнозите за плащанията бяха изготвени с цел да се помогне на държавите членки да предвидят възможно най-точно сумите, които трябва да заделят в националните си бюджети, като същевременно се осигурят достатъчно налични финансови ресурси за ЕФР, за да се избегнат проблеми с ликвидността.</w:t>
      </w:r>
    </w:p>
    <w:p>
      <w:pPr>
        <w:pStyle w:val="Text1"/>
        <w:spacing w:before="0" w:after="240"/>
        <w:rPr>
          <w:noProof/>
        </w:rPr>
      </w:pPr>
      <w:r>
        <w:rPr>
          <w:noProof/>
        </w:rPr>
        <w:t>В съответствие с член 7 от Вътрешното споразумение за 11-ия ЕФР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и член 19, параграф 2 от Финансовия регламент за 11-ия ЕФР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прогнозите за поетите задължения и за плащанията бяха актуализирани въз основа на последните прогнози.</w:t>
      </w:r>
    </w:p>
    <w:p>
      <w:pPr>
        <w:pStyle w:val="Text1"/>
        <w:spacing w:before="0" w:after="240"/>
        <w:rPr>
          <w:noProof/>
        </w:rPr>
      </w:pPr>
      <w:r>
        <w:rPr>
          <w:noProof/>
        </w:rPr>
        <w:t>В графиката по-долу е представено общото изменение на брутните поети задължения и плащания от 1999 г. до 2018 г., като са включени и прогнозите за периода 2019—2021 г. (кумулирани суми за Комисията и ЕИБ).</w:t>
      </w:r>
    </w:p>
    <w:p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br w:type="page"/>
      </w:r>
    </w:p>
    <w:p>
      <w:pPr>
        <w:spacing w:after="2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Брутни поети задължения и плащания: движение през периода 1999—2021 г. (в милиони евро)</w:t>
      </w:r>
    </w:p>
    <w:p>
      <w:pPr>
        <w:pStyle w:val="Text1"/>
        <w:spacing w:before="0" w:after="240"/>
        <w:ind w:left="0"/>
        <w:rPr>
          <w:noProof/>
        </w:rPr>
      </w:pPr>
      <w:r>
        <w:rPr>
          <w:noProof/>
          <w:lang w:val="en-GB"/>
        </w:rPr>
        <w:drawing>
          <wp:inline distT="0" distB="0" distL="0" distR="0">
            <wp:extent cx="5761355" cy="26638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1"/>
        <w:spacing w:before="0" w:after="240"/>
        <w:ind w:left="0"/>
        <w:rPr>
          <w:noProof/>
          <w:sz w:val="20"/>
        </w:rPr>
      </w:pPr>
      <w:r>
        <w:rPr>
          <w:noProof/>
          <w:sz w:val="20"/>
        </w:rPr>
        <w:t>* Прогнози за периода 2019—2021 г.</w:t>
      </w:r>
    </w:p>
    <w:p>
      <w:pPr>
        <w:pStyle w:val="Text1"/>
        <w:spacing w:before="0" w:after="240"/>
        <w:ind w:left="0"/>
        <w:rPr>
          <w:noProof/>
          <w:sz w:val="20"/>
        </w:rPr>
      </w:pPr>
      <w:r>
        <w:rPr>
          <w:noProof/>
          <w:sz w:val="20"/>
        </w:rPr>
        <w:t>Бележка: данни за изпълнението на европейските фондове за развитие до 31 декември 2018 г. (поети задължения и плащания) и прогнози за периода 2019—2021 г.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Финансови прогнози за периода 2019—2021 г. (в милиони евро)</w:t>
      </w:r>
    </w:p>
    <w:p>
      <w:pPr>
        <w:pStyle w:val="Text1"/>
        <w:spacing w:before="0" w:after="240"/>
        <w:rPr>
          <w:noProof/>
        </w:rPr>
      </w:pPr>
      <w:r>
        <w:rPr>
          <w:noProof/>
        </w:rPr>
        <w:t>Таблицата по-долу съдържа актуализация на поетите задължения, плащанията и вноските въз основа на последните прогнози на Комисията.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2558"/>
        <w:gridCol w:w="1306"/>
        <w:gridCol w:w="1306"/>
        <w:gridCol w:w="1181"/>
      </w:tblGrid>
      <w:tr>
        <w:trPr>
          <w:trHeight w:val="240"/>
        </w:trPr>
        <w:tc>
          <w:tcPr>
            <w:tcW w:w="29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Прогнози за периода 2019—2021 г.(*)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29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2019 г.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2020 г.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2021 г.**</w:t>
            </w:r>
          </w:p>
        </w:tc>
      </w:tr>
      <w:tr>
        <w:trPr>
          <w:trHeight w:val="240"/>
        </w:trPr>
        <w:tc>
          <w:tcPr>
            <w:tcW w:w="29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Поети задължения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Комисия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4,057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3,372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ЕИБ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956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917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900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Общо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5,012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4,289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900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Плащания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Комисия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4,400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4,400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3,700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ЕИБ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590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590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590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Общо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4,990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4,990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4,290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Вноски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Комисия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4,400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4,400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3,700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ЕИБ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300</w:t>
            </w:r>
          </w:p>
        </w:tc>
      </w:tr>
      <w:tr>
        <w:trPr>
          <w:trHeight w:val="240"/>
        </w:trPr>
        <w:tc>
          <w:tcPr>
            <w:tcW w:w="15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Общо</w:t>
            </w:r>
          </w:p>
        </w:tc>
        <w:tc>
          <w:tcPr>
            <w:tcW w:w="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4,700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4,700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4,000</w:t>
            </w:r>
          </w:p>
        </w:tc>
      </w:tr>
    </w:tbl>
    <w:p>
      <w:pPr>
        <w:pStyle w:val="Text1"/>
        <w:spacing w:before="0" w:after="240"/>
        <w:ind w:left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t>* Брутни суми, т.е. без да са приспаднати отменените бюджетни кредити или събиранията/обратните постъпления. Този подход съответства на подхода, използван за общия бюджет на ЕС.</w:t>
      </w:r>
    </w:p>
    <w:p>
      <w:pPr>
        <w:pStyle w:val="Text1"/>
        <w:spacing w:before="0" w:after="240"/>
        <w:ind w:left="0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t>** Като се има предвид, че Комисията е предложила дейностите за развитие и международно сътрудничество за периода 2021—2027 г. да се осъществяват при нови условия за изпълнение, тя намали прогнозите си за плащанията по линия на ЕФР, а следователно и прогнозата за годишния размер на вноските за 2020 г. и за горната граница на годишния размер на вноските за 2021 г.</w:t>
      </w:r>
    </w:p>
    <w:p>
      <w:pPr>
        <w:pStyle w:val="ManualHeading1"/>
        <w:rPr>
          <w:noProof/>
          <w:szCs w:val="24"/>
        </w:rPr>
      </w:pPr>
      <w:r>
        <w:rPr>
          <w:noProof/>
        </w:rPr>
        <w:br w:type="page"/>
      </w:r>
      <w:r>
        <w:rPr>
          <w:noProof/>
        </w:rPr>
        <w:lastRenderedPageBreak/>
        <w:t>4.</w:t>
      </w:r>
      <w:r>
        <w:rPr>
          <w:noProof/>
        </w:rPr>
        <w:tab/>
        <w:t>Необвързващи прогнози за вноските за периода 2022—2023 г. (в милиони евро)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515"/>
        <w:gridCol w:w="2091"/>
        <w:gridCol w:w="2091"/>
      </w:tblGrid>
      <w:tr>
        <w:trPr>
          <w:trHeight w:val="240"/>
        </w:trPr>
        <w:tc>
          <w:tcPr>
            <w:tcW w:w="13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36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2730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Прогнози за периода 2022—2023 г.(*)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2022 г.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2023 г.</w:t>
            </w:r>
          </w:p>
        </w:tc>
      </w:tr>
      <w:tr>
        <w:trPr>
          <w:trHeight w:val="240"/>
        </w:trPr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1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</w:tr>
      <w:tr>
        <w:trPr>
          <w:trHeight w:val="240"/>
        </w:trPr>
        <w:tc>
          <w:tcPr>
            <w:tcW w:w="1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Вноски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Комисия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2,700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2,000</w:t>
            </w:r>
          </w:p>
        </w:tc>
      </w:tr>
      <w:tr>
        <w:trPr>
          <w:trHeight w:val="240"/>
        </w:trPr>
        <w:tc>
          <w:tcPr>
            <w:tcW w:w="1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ЕИБ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300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100</w:t>
            </w:r>
          </w:p>
        </w:tc>
      </w:tr>
      <w:tr>
        <w:trPr>
          <w:trHeight w:val="240"/>
        </w:trPr>
        <w:tc>
          <w:tcPr>
            <w:tcW w:w="1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Общо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3,000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>2,100</w:t>
            </w:r>
          </w:p>
        </w:tc>
      </w:tr>
    </w:tbl>
    <w:p>
      <w:pPr>
        <w:pStyle w:val="Text1"/>
        <w:spacing w:before="0" w:after="240"/>
        <w:ind w:left="0"/>
        <w:rPr>
          <w:noProof/>
          <w:sz w:val="20"/>
          <w:szCs w:val="20"/>
        </w:rPr>
      </w:pPr>
      <w:r>
        <w:rPr>
          <w:noProof/>
          <w:sz w:val="20"/>
          <w:szCs w:val="20"/>
        </w:rPr>
        <w:t>*Член 19, параграф 2 от Финансовия регламент за 11-ия ЕФР (Регламент (EС) 2018/1877): индикативна необвързваща прогноза, базирана на статистическия подход за очакваните годишни размери на вноските за годините n + 3 и n + 4, прогноза за очакваните годишни размери на вноските за 2022 г. и 2023 г. Като се има предвид, че Комисията е предложила дейностите за развитие и международно сътрудничество за периода 2021—2027 г. да се осъществяват при нови условия за изпълнение, тя намали прогнозите си за плащанията по линия на ЕФР, а следователно и прогнозата за очакваните годишни размери на вноските за 2022 г. и 2023 г.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Прогнози за финансовото изпълнение за 2019 г., 2020 г. и 2021 г.</w:t>
      </w:r>
    </w:p>
    <w:p>
      <w:pPr>
        <w:pStyle w:val="Text1"/>
        <w:spacing w:before="0" w:after="240"/>
        <w:ind w:left="0"/>
        <w:rPr>
          <w:noProof/>
        </w:rPr>
      </w:pPr>
      <w:r>
        <w:rPr>
          <w:noProof/>
        </w:rPr>
        <w:t>Актуализираните прогнози са представени в приложения 1—3.</w:t>
      </w:r>
    </w:p>
    <w:p>
      <w:pPr>
        <w:pStyle w:val="Text1"/>
        <w:spacing w:before="0" w:after="240"/>
        <w:ind w:left="0"/>
        <w:rPr>
          <w:noProof/>
        </w:rPr>
      </w:pPr>
      <w:r>
        <w:rPr>
          <w:noProof/>
        </w:rPr>
        <w:t>За 2019 г. и 2020 г. изготвените от Комисията прогнози за поетите задължения и за плащанията, които бяха посочени в съобщението от юни 2019 г., остават непроменени.</w:t>
      </w:r>
    </w:p>
    <w:p>
      <w:pPr>
        <w:pStyle w:val="Text1"/>
        <w:spacing w:before="0" w:after="240"/>
        <w:ind w:left="0"/>
        <w:rPr>
          <w:noProof/>
        </w:rPr>
      </w:pPr>
      <w:r>
        <w:rPr>
          <w:noProof/>
        </w:rPr>
        <w:t>Приложения 1, 2 и 3 показват съответно прогнозите за поетите задължения, за плащанията и за финансовото състояние, съпоставени с предишни прогнози за периода 2019—2021 г.</w:t>
      </w:r>
    </w:p>
    <w:p>
      <w:pPr>
        <w:pStyle w:val="Text1"/>
        <w:spacing w:before="0" w:after="240"/>
        <w:ind w:left="0"/>
        <w:rPr>
          <w:noProof/>
        </w:rPr>
      </w:pPr>
      <w:r>
        <w:rPr>
          <w:noProof/>
        </w:rPr>
        <w:t>Приложения 4 и 5 показват съответно вноските за 2020 г. и за 2021 г. по части и по държави членки.</w:t>
      </w:r>
    </w:p>
    <w:p>
      <w:pPr>
        <w:pStyle w:val="Text1"/>
        <w:spacing w:before="0" w:after="240"/>
        <w:ind w:left="0"/>
        <w:rPr>
          <w:noProof/>
        </w:rPr>
      </w:pPr>
      <w:r>
        <w:rPr>
          <w:noProof/>
        </w:rPr>
        <w:t>Приложение 6 показва годишните вноски за периода 2019—2023 г. по държави членки.</w:t>
      </w:r>
    </w:p>
    <w:p>
      <w:pPr>
        <w:rPr>
          <w:b/>
          <w:bCs/>
          <w:noProof/>
          <w:szCs w:val="26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1134" w:right="1417" w:bottom="1134" w:left="1417" w:header="709" w:footer="709" w:gutter="0"/>
          <w:pgNumType w:start="1"/>
          <w:cols w:space="720"/>
          <w:docGrid w:linePitch="299"/>
        </w:sectPr>
      </w:pPr>
      <w:r>
        <w:rPr>
          <w:noProof/>
        </w:rPr>
        <w:br w:type="page"/>
      </w:r>
    </w:p>
    <w:p>
      <w:pPr>
        <w:pStyle w:val="ManualHeading2"/>
        <w:rPr>
          <w:noProof/>
        </w:rPr>
      </w:pPr>
      <w:r>
        <w:rPr>
          <w:noProof/>
        </w:rPr>
        <w:t>5.1.</w:t>
      </w:r>
      <w:r>
        <w:rPr>
          <w:noProof/>
        </w:rPr>
        <w:tab/>
        <w:t>Приложение 1: Прогнози за поетите задължения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за 2019 г., 2020 г. и 2021 г. (в милиони евро)</w:t>
      </w:r>
    </w:p>
    <w:p>
      <w:pPr>
        <w:pStyle w:val="Text1"/>
        <w:rPr>
          <w:noProof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9"/>
        <w:gridCol w:w="1495"/>
        <w:gridCol w:w="1495"/>
        <w:gridCol w:w="1495"/>
        <w:gridCol w:w="1495"/>
        <w:gridCol w:w="1495"/>
        <w:gridCol w:w="1688"/>
      </w:tblGrid>
      <w:tr>
        <w:trPr>
          <w:trHeight w:val="255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2019 г.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2020 г.</w:t>
            </w:r>
          </w:p>
        </w:tc>
        <w:tc>
          <w:tcPr>
            <w:tcW w:w="1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2021 г.</w:t>
            </w:r>
          </w:p>
        </w:tc>
      </w:tr>
      <w:tr>
        <w:trPr>
          <w:trHeight w:val="510"/>
        </w:trPr>
        <w:tc>
          <w:tcPr>
            <w:tcW w:w="1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юни 2019 г.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октомври 2019 г.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юни 2019 г.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октомври 2019 г.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юни 2019 г.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октомври 2019 г.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Региони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Източна и Южна Африка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1 609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1 609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Западна и Централна Африка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916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916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Латинска Америка и Карибски басейн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235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235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Тихоокеански регион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131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131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Междинна сума*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2 891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2 891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Други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Права на човека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220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220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ЕС—Африка, Механизъм за подкрепа на мира в Африка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621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621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Планета и благоденствие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131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131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Доверителен фонд на ЕС за Африка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Ресурси, оценка, процес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176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176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ГД ECHO, EACEA, ГД EAC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Междинна сума*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1 166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1 166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Общо Европейска комисия*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4 057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4 057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3 372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3 372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0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Инвестиционен механизъм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800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800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800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800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800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Лихвени субсидии (**)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156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156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117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117</w:t>
            </w:r>
          </w:p>
        </w:tc>
        <w:tc>
          <w:tcPr>
            <w:tcW w:w="6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100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Общо ЕИБ*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956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956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917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917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900</w:t>
            </w:r>
          </w:p>
        </w:tc>
      </w:tr>
      <w:tr>
        <w:trPr>
          <w:trHeight w:val="255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Общо ЕК + ЕИБ*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5 012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5 012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4 289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4 289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900</w:t>
            </w:r>
          </w:p>
        </w:tc>
      </w:tr>
    </w:tbl>
    <w:p>
      <w:pPr>
        <w:spacing w:after="0"/>
        <w:ind w:left="130" w:firstLine="72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* Заради закръглянето сумата на посочените отделни закръглени суми може да се различава малко от съответните общи суми.</w:t>
      </w:r>
    </w:p>
    <w:p>
      <w:pPr>
        <w:spacing w:after="0"/>
        <w:ind w:left="720" w:firstLine="13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** Включително лихвените субсидии, свързани с предишни ЕФР.</w:t>
      </w:r>
    </w:p>
    <w:p>
      <w:pPr>
        <w:pStyle w:val="Text1"/>
        <w:ind w:left="0"/>
        <w:jc w:val="left"/>
        <w:rPr>
          <w:noProof/>
          <w:sz w:val="20"/>
          <w:szCs w:val="20"/>
        </w:rPr>
        <w:sectPr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418" w:right="1418" w:bottom="1418" w:left="1418" w:header="709" w:footer="709" w:gutter="0"/>
          <w:cols w:space="720"/>
          <w:docGrid w:linePitch="360"/>
        </w:sectPr>
      </w:pPr>
    </w:p>
    <w:p>
      <w:pPr>
        <w:pStyle w:val="ManualHeading2"/>
        <w:rPr>
          <w:noProof/>
        </w:rPr>
      </w:pPr>
      <w:r>
        <w:rPr>
          <w:noProof/>
        </w:rPr>
        <w:t>5.2.</w:t>
      </w:r>
      <w:r>
        <w:rPr>
          <w:noProof/>
        </w:rPr>
        <w:tab/>
        <w:t>Приложение 2: Прогнози за плащанията за 2019 г., 2020 г. и 2021 г. (в милиони евро)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9"/>
        <w:gridCol w:w="1715"/>
        <w:gridCol w:w="1715"/>
        <w:gridCol w:w="1715"/>
        <w:gridCol w:w="1643"/>
        <w:gridCol w:w="1643"/>
        <w:gridCol w:w="1640"/>
      </w:tblGrid>
      <w:tr>
        <w:trPr>
          <w:trHeight w:val="255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2019 г.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2020 г.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2021 г.</w:t>
            </w:r>
          </w:p>
        </w:tc>
      </w:tr>
      <w:tr>
        <w:trPr>
          <w:trHeight w:val="510"/>
        </w:trPr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юни 2019 г.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октомври 2019 г.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юни 2019 г.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октомври 2019 г.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юни 2019 г.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Съобщение от октомври 2019 г.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Региони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Източна и Южна Африка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936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936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Западна и Централна Африка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1 893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1 893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Латинска Америка и Карибски басейн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223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223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Тихоокеански регион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96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96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Междинна сума*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3 148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3 148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Други 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Права на човека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240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240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ЕС—Африка, Механизъм за подкрепа на мира в Африка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Планета и благоденствие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375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375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Ресурси, оценка, процес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159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159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ГД ECHO, EACEA, ГД EAC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78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78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Междинна сума*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1 252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1 252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Общо Европейска комисия*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4 400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4 400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4 400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3 700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Инвестиционен механизъм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550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550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550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550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550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Лихвени субсидии (**)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</w:t>
            </w:r>
          </w:p>
        </w:tc>
        <w:tc>
          <w:tcPr>
            <w:tcW w:w="62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</w:t>
            </w: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</w:t>
            </w: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  40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Общо ЕИБ*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590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590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590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590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590</w:t>
            </w:r>
          </w:p>
        </w:tc>
      </w:tr>
      <w:tr>
        <w:trPr>
          <w:trHeight w:val="255"/>
        </w:trPr>
        <w:tc>
          <w:tcPr>
            <w:tcW w:w="13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ОБЩО Европейска комисия + ЕИБ*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4 990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4 990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4 990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4 990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4 290</w:t>
            </w:r>
          </w:p>
        </w:tc>
      </w:tr>
    </w:tbl>
    <w:p>
      <w:pPr>
        <w:spacing w:after="0"/>
        <w:ind w:left="260" w:firstLine="59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* Заради закръглянето сумата на посочените отделни закръглени суми може да се различава малко от съответните общи суми.</w:t>
      </w:r>
    </w:p>
    <w:p>
      <w:pPr>
        <w:spacing w:after="0"/>
        <w:ind w:left="130" w:firstLine="720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** Включително лихвените субсидии, свързани с предишни ЕФР.</w:t>
      </w:r>
    </w:p>
    <w:p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>
      <w:pPr>
        <w:pStyle w:val="Text1"/>
        <w:ind w:left="0"/>
        <w:jc w:val="left"/>
        <w:rPr>
          <w:noProof/>
          <w:sz w:val="20"/>
          <w:szCs w:val="20"/>
        </w:rPr>
        <w:sectPr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425" w:right="964" w:bottom="964" w:left="964" w:header="709" w:footer="709" w:gutter="0"/>
          <w:cols w:space="720"/>
          <w:docGrid w:linePitch="360"/>
        </w:sectPr>
      </w:pPr>
    </w:p>
    <w:p>
      <w:pPr>
        <w:pStyle w:val="ManualHeading2"/>
        <w:rPr>
          <w:noProof/>
        </w:rPr>
      </w:pPr>
      <w:r>
        <w:rPr>
          <w:noProof/>
        </w:rPr>
        <w:t>5.3.</w:t>
      </w:r>
      <w:r>
        <w:rPr>
          <w:noProof/>
        </w:rPr>
        <w:tab/>
        <w:t>Приложение 3: Финансови прогнози за периода 2019—2021 г. и необвързващи прогнози за периода 2022—2023 г. (в милиони евро):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5418"/>
        <w:gridCol w:w="1993"/>
        <w:gridCol w:w="952"/>
        <w:gridCol w:w="1135"/>
        <w:gridCol w:w="2096"/>
        <w:gridCol w:w="999"/>
        <w:gridCol w:w="1194"/>
      </w:tblGrid>
      <w:tr>
        <w:trPr>
          <w:trHeight w:val="199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Съобщение от юни 2019 г.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Съобщение от октомври 2019 г.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1</w:t>
            </w:r>
          </w:p>
        </w:tc>
      </w:tr>
      <w:tr>
        <w:trPr>
          <w:trHeight w:val="199"/>
        </w:trPr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Комисия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ЕИБ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ОБЩО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Комисия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ЕИБ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ОБЩО</w:t>
            </w:r>
          </w:p>
        </w:tc>
      </w:tr>
      <w:tr>
        <w:trPr>
          <w:trHeight w:val="199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Салдо към 31.12.2018 г.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387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228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615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387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228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615</w:t>
            </w:r>
          </w:p>
        </w:tc>
      </w:tr>
      <w:tr>
        <w:trPr>
          <w:trHeight w:val="199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2019 г.</w:t>
            </w: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FF0000"/>
                <w:sz w:val="18"/>
                <w:szCs w:val="18"/>
              </w:rPr>
              <w:t>Вноски на държавите членки за 2019 г.: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4 400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4 700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4 400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4 700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noProof/>
                <w:sz w:val="18"/>
                <w:szCs w:val="18"/>
              </w:rPr>
              <w:t xml:space="preserve">     1-ва част от вноската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2 000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2 100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2 000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2 100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noProof/>
                <w:sz w:val="18"/>
                <w:szCs w:val="18"/>
              </w:rPr>
              <w:t xml:space="preserve">     2-ра част от вноската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1 500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1 600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1 500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1 600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noProof/>
                <w:sz w:val="18"/>
                <w:szCs w:val="18"/>
              </w:rPr>
              <w:t xml:space="preserve">     3-та част от вноската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900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900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1 000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Обратни постъпления</w:t>
            </w:r>
            <w:r>
              <w:rPr>
                <w:rFonts w:ascii="Arial" w:hAnsi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331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331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Вноски и корекции за 2019 г., получени през 2018 г.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Вноски и корекции за 2020 г., получени през 2019 г.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Събирания, лихви и други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Общо плащания</w:t>
            </w:r>
            <w:r>
              <w:rPr>
                <w:rFonts w:ascii="Arial" w:hAnsi="Arial"/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4 400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 590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4 990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4 400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 590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4 990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Салдо към 31.12.2019 г.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442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269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711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442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269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711</w:t>
            </w:r>
          </w:p>
        </w:tc>
      </w:tr>
      <w:tr>
        <w:trPr>
          <w:trHeight w:val="199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2020 г.</w:t>
            </w: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FF0000"/>
                <w:sz w:val="18"/>
                <w:szCs w:val="18"/>
              </w:rPr>
              <w:t>Вноски на държавите членки за 2020 г.: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4 400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4 700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4 400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4 700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noProof/>
                <w:sz w:val="18"/>
                <w:szCs w:val="18"/>
              </w:rPr>
              <w:t xml:space="preserve">     1-ва част от вноската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1 800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1 900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noProof/>
                <w:sz w:val="18"/>
                <w:szCs w:val="18"/>
              </w:rPr>
              <w:t xml:space="preserve">     2-ра част от вноската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1 600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1 700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noProof/>
                <w:sz w:val="18"/>
                <w:szCs w:val="18"/>
              </w:rPr>
              <w:t xml:space="preserve">     3-та част от вноската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1 000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1 100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Обратни постъпления</w:t>
            </w:r>
            <w:r>
              <w:rPr>
                <w:rFonts w:ascii="Arial" w:hAnsi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332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332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332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Вноски и корекции за 2020 г., получени през 2019 г.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Събирания, лихви и други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Общо плащания</w:t>
            </w:r>
            <w:r>
              <w:rPr>
                <w:rFonts w:ascii="Arial" w:hAnsi="Arial"/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4 400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 590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4 990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4 400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 590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4 990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Салдо към 31.12.2020 г.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497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311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808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497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311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808</w:t>
            </w:r>
          </w:p>
        </w:tc>
      </w:tr>
      <w:tr>
        <w:trPr>
          <w:trHeight w:val="199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2021 г.</w:t>
            </w: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FF0000"/>
                <w:sz w:val="18"/>
                <w:szCs w:val="18"/>
              </w:rPr>
              <w:t>Вноски на държавите членки за 2021 г.: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3 700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3 700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4 000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Обратни постъпления</w:t>
            </w:r>
            <w:r>
              <w:rPr>
                <w:rFonts w:ascii="Arial" w:hAnsi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333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333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Събирания, лихви и други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   55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Общо плащания</w:t>
            </w:r>
            <w:r>
              <w:rPr>
                <w:rFonts w:ascii="Arial" w:hAnsi="Arial"/>
                <w:noProof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3 700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 590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-  4 290</w:t>
            </w:r>
          </w:p>
        </w:tc>
      </w:tr>
      <w:tr>
        <w:trPr>
          <w:trHeight w:val="199"/>
        </w:trPr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Салдо към 31.12.2021 г.</w:t>
            </w:r>
            <w:r>
              <w:rPr>
                <w:rFonts w:ascii="Arial" w:hAnsi="Arial"/>
                <w:b/>
                <w:bCs/>
                <w:noProof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552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354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906</w:t>
            </w:r>
          </w:p>
        </w:tc>
      </w:tr>
      <w:tr>
        <w:trPr>
          <w:trHeight w:val="19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2022 г.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FF0000"/>
                <w:sz w:val="18"/>
                <w:szCs w:val="18"/>
              </w:rPr>
              <w:t>Вноски на държавите членки за 2022 г.</w:t>
            </w:r>
            <w:r>
              <w:rPr>
                <w:rFonts w:ascii="Arial" w:hAnsi="Arial"/>
                <w:noProof/>
                <w:color w:val="FF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2 700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400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3 100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2 700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300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3 000</w:t>
            </w:r>
          </w:p>
        </w:tc>
      </w:tr>
      <w:tr>
        <w:trPr>
          <w:trHeight w:val="199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2023 г.</w:t>
            </w:r>
          </w:p>
        </w:tc>
        <w:tc>
          <w:tcPr>
            <w:tcW w:w="1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FF0000"/>
                <w:sz w:val="18"/>
                <w:szCs w:val="18"/>
              </w:rPr>
              <w:t>Вноски на държавите членки за 2023 г.</w:t>
            </w:r>
            <w:r>
              <w:rPr>
                <w:rFonts w:ascii="Arial" w:hAnsi="Arial"/>
                <w:noProof/>
                <w:color w:val="FF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2 000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 100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t xml:space="preserve">  2 100</w:t>
            </w:r>
          </w:p>
        </w:tc>
      </w:tr>
    </w:tbl>
    <w:p>
      <w:pPr>
        <w:spacing w:after="0"/>
        <w:rPr>
          <w:rFonts w:ascii="Times New Roman" w:hAnsi="Times New Roman" w:cs="Times New Roman"/>
          <w:noProof/>
          <w:sz w:val="20"/>
          <w:szCs w:val="20"/>
        </w:rPr>
      </w:pPr>
    </w:p>
    <w:p>
      <w:pPr>
        <w:pStyle w:val="Text1"/>
        <w:spacing w:before="0" w:after="0"/>
        <w:ind w:left="851"/>
        <w:jc w:val="left"/>
        <w:rPr>
          <w:noProof/>
          <w:sz w:val="14"/>
          <w:szCs w:val="14"/>
        </w:rPr>
      </w:pPr>
      <w:r>
        <w:rPr>
          <w:noProof/>
          <w:sz w:val="14"/>
          <w:szCs w:val="14"/>
        </w:rPr>
        <w:t>1</w:t>
      </w:r>
      <w:r>
        <w:rPr>
          <w:noProof/>
          <w:sz w:val="14"/>
          <w:szCs w:val="14"/>
        </w:rPr>
        <w:tab/>
        <w:t>Налични оперативни суми.</w:t>
      </w:r>
      <w:r>
        <w:rPr>
          <w:noProof/>
          <w:sz w:val="14"/>
          <w:szCs w:val="14"/>
        </w:rPr>
        <w:br/>
        <w:t>2</w:t>
      </w:r>
      <w:r>
        <w:rPr>
          <w:noProof/>
          <w:sz w:val="14"/>
          <w:szCs w:val="14"/>
        </w:rPr>
        <w:tab/>
        <w:t>След приспадане на таксите за управление на ЕИБ.</w:t>
      </w:r>
      <w:r>
        <w:rPr>
          <w:noProof/>
          <w:sz w:val="14"/>
          <w:szCs w:val="14"/>
        </w:rPr>
        <w:br/>
        <w:t>3</w:t>
      </w:r>
      <w:r>
        <w:rPr>
          <w:noProof/>
          <w:sz w:val="14"/>
          <w:szCs w:val="14"/>
        </w:rPr>
        <w:tab/>
        <w:t>Включително лихвените субсидии, свързани с предишни ЕФР.</w:t>
      </w:r>
      <w:r>
        <w:rPr>
          <w:noProof/>
          <w:sz w:val="14"/>
          <w:szCs w:val="14"/>
        </w:rPr>
        <w:br/>
        <w:t>4</w:t>
      </w:r>
      <w:r>
        <w:rPr>
          <w:noProof/>
          <w:sz w:val="14"/>
          <w:szCs w:val="14"/>
        </w:rPr>
        <w:tab/>
        <w:t>Салдата не включват: i) полученото съфинансиране, ii) приходите в банки, които все още не са разпределени за конкретен ред на ЕФР.</w:t>
      </w:r>
    </w:p>
    <w:p>
      <w:pPr>
        <w:pStyle w:val="Text1"/>
        <w:spacing w:before="0" w:after="0"/>
        <w:ind w:left="851"/>
        <w:jc w:val="left"/>
        <w:rPr>
          <w:noProof/>
          <w:sz w:val="14"/>
          <w:szCs w:val="14"/>
        </w:rPr>
      </w:pPr>
      <w:r>
        <w:rPr>
          <w:noProof/>
          <w:sz w:val="14"/>
          <w:szCs w:val="14"/>
        </w:rPr>
        <w:t>5</w:t>
      </w:r>
      <w:r>
        <w:rPr>
          <w:noProof/>
          <w:sz w:val="14"/>
          <w:szCs w:val="14"/>
        </w:rPr>
        <w:tab/>
        <w:t>Член 19, параграф 2, буква г) от Финансовия регламент за 11-ия ЕФР: необвързваща прогноза, базирана на статистическия подход за очакваните годишни вноски за годините n + 3 и n + 4.</w:t>
      </w:r>
    </w:p>
    <w:p>
      <w:pPr>
        <w:pStyle w:val="Text1"/>
        <w:spacing w:before="0" w:after="0"/>
        <w:ind w:left="851"/>
        <w:jc w:val="left"/>
        <w:rPr>
          <w:noProof/>
          <w:sz w:val="14"/>
          <w:szCs w:val="14"/>
        </w:rPr>
      </w:pPr>
      <w:r>
        <w:rPr>
          <w:noProof/>
          <w:sz w:val="14"/>
          <w:szCs w:val="14"/>
        </w:rPr>
        <w:t>6</w:t>
      </w:r>
      <w:r>
        <w:rPr>
          <w:noProof/>
          <w:sz w:val="14"/>
          <w:szCs w:val="14"/>
        </w:rPr>
        <w:tab/>
        <w:t>Според член 20, параграф 1 от Финансовия регламент за 11-ия ЕФР за поканите за вноски следва да се използват първо сумите, предвидени за предишни ЕФР, една след друга.</w:t>
      </w:r>
      <w:r>
        <w:rPr>
          <w:noProof/>
          <w:sz w:val="14"/>
          <w:szCs w:val="14"/>
        </w:rPr>
        <w:br/>
      </w:r>
    </w:p>
    <w:p>
      <w:pPr>
        <w:rPr>
          <w:noProof/>
        </w:rPr>
        <w:sectPr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418" w:right="820" w:bottom="1418" w:left="1418" w:header="709" w:footer="709" w:gutter="0"/>
          <w:cols w:space="720"/>
          <w:docGrid w:linePitch="360"/>
        </w:sectPr>
      </w:pPr>
    </w:p>
    <w:p>
      <w:pPr>
        <w:pStyle w:val="ManualHeading2"/>
        <w:rPr>
          <w:noProof/>
        </w:rPr>
      </w:pPr>
      <w:r>
        <w:rPr>
          <w:noProof/>
        </w:rPr>
        <w:t>5.4.</w:t>
      </w:r>
      <w:r>
        <w:rPr>
          <w:noProof/>
        </w:rPr>
        <w:tab/>
        <w:t>Приложение 4: Вноски на държавите членки за 2020 г. (в евро)</w:t>
      </w:r>
    </w:p>
    <w:tbl>
      <w:tblPr>
        <w:tblW w:w="14760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37"/>
        <w:gridCol w:w="1037"/>
        <w:gridCol w:w="1320"/>
        <w:gridCol w:w="1320"/>
        <w:gridCol w:w="1320"/>
        <w:gridCol w:w="1200"/>
        <w:gridCol w:w="1320"/>
        <w:gridCol w:w="1320"/>
        <w:gridCol w:w="1200"/>
        <w:gridCol w:w="1320"/>
        <w:gridCol w:w="1200"/>
      </w:tblGrid>
      <w:tr>
        <w:trPr>
          <w:trHeight w:val="2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ДЪРЖАВИ ЧЛЕНКИ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Коефициент за 10-ия ЕФР (в %)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Коефициент за 11-ия ЕФР (в %)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1-ва част от вноската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2-ра част от вноската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3-та част от вноската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ЕИБ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br/>
              <w:t>Комисия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за 2020 г.</w:t>
            </w:r>
          </w:p>
        </w:tc>
      </w:tr>
      <w:tr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ЕИБ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ЕИБ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ЕИБ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10-и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10-и ЕФР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10-и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БЕЛГИЯ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3,24927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3 530 000,00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58 486 860,00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3 530 000,00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51 988 320,00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3 530 000,00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32 492 700,00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10 590 000,00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142 967 880,00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153 557 880,00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БЪЛГАРИЯ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0,21853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3 933 540,00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3 496 480,00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2 185 300,00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420 000,00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9 615 320,00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10 035 320,00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ЧЕХИЯ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0,79745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14 354 100,00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510 000,00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12 759 200,00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7 974 500,00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1 530 000,00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35 087 800,00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36 617 800,00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ДАНИЯ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1,98045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35 648 100,00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2 000 000,00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31 687 200,00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19 804 500,00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6 000 000,00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87 139 800,00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93 139 800,00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ГЕРМАНИЯ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20,57980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20 500 000,00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370 436 400,00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20 500 000,00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329 276 800,00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20 500 000,00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205 798 000,00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61 500 000,00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905 511 200,00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967 011 200,00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ЕСТОНИЯ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0,08635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1 554 300,00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1 381 600,00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863 500,00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3 799 400,00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3 949 400,00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ИРЛАНДИЯ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0,94006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16 921 080,00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910 000,00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15 040 960,00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9 400 600,00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2 730 000,00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41 362 640,00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44 092 640,00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ГЪРЦИЯ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1,50735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27 132 300,00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1 470 000,00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24 117 600,00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15 073 500,00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4 410 000,00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66 323 400,00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70 733 400,00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ИСПАНИЯ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7,93248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7 850 000,00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142 784 640,00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7 850 000,00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126 919 680,00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7 850 000,00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79 324 800,00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23 550 000,00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349 029 120,00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372 579 120,00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ФРАНЦИЯ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17,81269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19 550 000,00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320 628 420,00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19 550 000,00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285 003 040,00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19 550 000,00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178 126 900,00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58 650 000,00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783 758 360,00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842 408 360,00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ХЪРВАТИЯ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0,22518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4 053 240,00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3 602 880,00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2 251 800,00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9 907 920,00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9 907 920,00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ИТАЛИЯ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12,53009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12 860 000,00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225 541 620,00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12 860 000,00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200 481 440,00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12 860 000,00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125 300 900,00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38 580 000,00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551 323 960,00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589 903 960,00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КИПЪР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0,11162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2 009 160,00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1 785 920,00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1 116 200,00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4 911 280,00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5 181 280,00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ЛАТВИЯ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0,11612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2 090 160,00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1 857 920,00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1 161 200,00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5 109 280,00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5 319 280,00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ЛИТВА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0,18077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3 253 860,00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2 892 320,00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1 807 700,00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360 000,00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7 953 880,00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8 313 880,00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ЛЮКСЕМБУРГ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0,25509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4 591 620,00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4 081 440,00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2 550 900,00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810 000,00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11 223 960,00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12 033 960,00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УНГАРИЯ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0,61456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11 062 080,00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550 000,00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9 832 960,00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6 145 600,00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1 650 000,00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27 040 640,00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28 690 640,00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МАЛТА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0,03801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684 180,00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608 160,00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380 100,00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1 672 440,00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1 762 440,00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НИДЕРЛАНДИЯ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4,77678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4 850 000,00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85 982 040,00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4 850 000,00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76 428 480,00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4 850 000,00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47 767 800,00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14 550 000,00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210 178 320,00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224 728 320,00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АВСТРИЯ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2,39757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2 410 000,00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43 156 260,00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2 410 000,00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38 361 120,00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2 410 000,00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23 975 700,00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7 230 000,00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105 493 080,00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112 723 080,00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ПОЛША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2,00734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36 132 120,00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1 300 000,00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32 117 440,00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20 073 400,00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3 900 000,00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88 322 960,00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92 222 960,00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ПОРТУГАЛИЯ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1,19679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21 542 220,00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1 150 000,00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19 148 640,00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11 967 900,00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3 450 000,00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52 658 760,00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56 108 760,00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РУМЪНИЯ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0,71815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12 926 700,00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370 000,00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11 490 400,00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7 181 500,00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1 110 000,00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31 598 600,00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32 708 600,00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СЛОВЕНИЯ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0,22452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4 041 360,00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3 592 320,00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2 245 200,00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540 000,00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9 878 880,00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10 418 880,00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СЛОВАКИЯ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0,37616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6 770 880,00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6 018 560,00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3 761 600,00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630 000,00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16 551 040,00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17 181 040,00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ФИНЛАНДИЯ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1,50909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27 163 620,00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1 470 000,00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24 145 440,00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1 470 000,00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15 090 900,00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4 410 000,00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66 399 960,00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70 809 960,00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ШВЕЦИЯ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2,93911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2 740 000,00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52 903 980,00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2 740 000,00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47 025 760,00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2 740 000,00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29 391 100,00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8 220 000,00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129 320 840,00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137 540 840,00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ОБЕДИНЕНО КРАЛСТВО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14,67862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14 820 000,00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264 215 160,00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14 820 000,00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234 857 920,00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14 820 000,00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146 786 200,00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44 460 000,00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645 859 280,00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690 319 280,00</w:t>
            </w:r>
          </w:p>
        </w:tc>
      </w:tr>
      <w:tr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ЕС-28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1 800 000 000,00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100 000 000,00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1 600 000 000,00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1 000 000 000,00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4 400 000 000,00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4 700 000 000,00</w:t>
            </w:r>
          </w:p>
        </w:tc>
      </w:tr>
    </w:tbl>
    <w:p>
      <w:pPr>
        <w:rPr>
          <w:rFonts w:ascii="Times New Roman" w:eastAsia="Times New Roman" w:hAnsi="Times New Roman" w:cs="Times New Roman"/>
          <w:noProof/>
          <w:sz w:val="24"/>
          <w:szCs w:val="26"/>
          <w:highlight w:val="lightGray"/>
        </w:rPr>
      </w:pPr>
    </w:p>
    <w:p>
      <w:pPr>
        <w:pStyle w:val="ManualHeading2"/>
        <w:rPr>
          <w:noProof/>
        </w:rPr>
      </w:pPr>
      <w:r>
        <w:rPr>
          <w:noProof/>
        </w:rPr>
        <w:t>5.5.</w:t>
      </w:r>
      <w:r>
        <w:rPr>
          <w:noProof/>
        </w:rPr>
        <w:tab/>
        <w:t>Приложение 5: Вноски на държавите членки за 2021 г. (в евро)</w:t>
      </w:r>
    </w:p>
    <w:tbl>
      <w:tblPr>
        <w:tblW w:w="14760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37"/>
        <w:gridCol w:w="1037"/>
        <w:gridCol w:w="1320"/>
        <w:gridCol w:w="1320"/>
        <w:gridCol w:w="1320"/>
        <w:gridCol w:w="1200"/>
        <w:gridCol w:w="1320"/>
        <w:gridCol w:w="1320"/>
        <w:gridCol w:w="1200"/>
        <w:gridCol w:w="1320"/>
        <w:gridCol w:w="1200"/>
      </w:tblGrid>
      <w:tr>
        <w:trPr>
          <w:trHeight w:val="2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ДЪРЖАВИ ЧЛЕНКИ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Коефициент за 10-ия ЕФР (в %)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Коефициент за 11-ия ЕФР (в %)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1-ва част от вноската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2-ра част от вноската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 xml:space="preserve"> 3-та част от вноската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ЕИБ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</w:t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br/>
              <w:t>Комисия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за 2021 г.</w:t>
            </w:r>
          </w:p>
        </w:tc>
      </w:tr>
      <w:tr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ЕИБ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ЕИБ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ЕИБ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>
        <w:trPr>
          <w:trHeight w:val="2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10-и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 ЕФР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БЕЛГИЯ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3,53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3,24927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2 471 000,00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51 988 320,00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4 224 051,00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38 991 240,00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3 249 270,00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29 243 430,00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9 944 321,00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120 222 990,00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130 167 311,00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БЪЛГАРИЯ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0,21853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98 000,00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3 496 480,00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284 089,00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2 622 360,00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218 530,00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1 966 770,00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600 619,00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8 085 610,00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8 686 229,00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ЧЕХИЯ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0,79745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357 000,00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12 759 200,00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1 036 685,00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9 569 400,00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797 450,00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7 177 050,00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2 191 135,00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29 505 650,00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31 696 785,00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ДАНИЯ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1,98045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1 400 000,00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31 687 200,00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2 574 585,00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23 765 400,00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1 980 450,00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17 824 050,00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5 955 035,00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73 276 650,00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79 231 685,00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ГЕРМАНИЯ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20,57980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14 350 000,00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329 276 800,00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26 753 740,00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246 957 600,00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20 579 800,00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185 218 200,00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61 683 540,00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761 452 600,00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823 136 140,00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ЕСТОНИЯ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0,08635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35 000,00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1 381 600,00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112 255,00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1 036 200,00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86 350,00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777 150,00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233 605,00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3 194 950,00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3 428 555,00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ИРЛАНДИЯ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0,94006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637 000,00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15 040 960,00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1 222 078,00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11 280 720,00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940 060,00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8 460 540,00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2 799 138,00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34 782 220,00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37 581 358,00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ГЪРЦИЯ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1,50735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1 029 000,00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24 117 600,00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1 959 555,00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18 088 200,00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1 507 350,00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13 566 150,00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4 495 905,00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55 771 950,00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60 267 855,00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ИСПАНИЯ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7,93248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5 495 000,00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126 919 680,00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10 312 224,00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95 189 760,00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7 932 480,00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71 392 320,00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23 739 704,00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293 501 760,00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317 241 464,00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ФРАНЦИЯ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17,81269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13 685 000,00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285 003 040,00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23 156 497,00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213 752 280,00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17 812 690,00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160 314 210,00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54 654 187,00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659 069 530,00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713 723 717,00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ХЪРВАТИЯ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0,22518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3 602 880,00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292 734,00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2 702 160,00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225 180,00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2 026 620,00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517 914,00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8 331 660,00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8 849 574,00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ИТАЛИЯ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12,53009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9 002 000,00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200 481 440,00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16 289 117,00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150 361 080,00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12 530 090,00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112 770 810,00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37 821 207,00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463 613 330,00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501 434 537,00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КИПЪР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0,11162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63 000,00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1 785 920,00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145 106,00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1 339 440,00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111 620,00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1 004 580,00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319 726,00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4 129 940,00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4 449 666,00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ЛАТВИЯ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0,11612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49 000,00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1 857 920,00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150 956,00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1 393 440,00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116 120,00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1 045 080,00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316 076,00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4 296 440,00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4 612 516,00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ЛИТВА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0,18077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84 000,00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2 892 320,00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235 001,00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2 169 240,00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180 770,00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1 626 930,00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499 771,00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6 688 490,00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7 188 261,00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ЛЮКСЕМБУРГ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0,25509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189 000,00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4 081 440,00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331 617,00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3 061 080,00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255 090,00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2 295 810,00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775 707,00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9 438 330,00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10 214 037,00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УНГАРИЯ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0,61456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385 000,00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9 832 960,00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798 928,00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7 374 720,00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614 560,00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5 531 040,00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1 798 488,00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22 738 720,00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24 537 208,00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МАЛТА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0,03801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608 160,00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49 413,00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456 120,00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38 010,00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342 090,00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108 423,00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1 406 370,00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1 514 793,00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НИДЕРЛАНДИЯ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4,85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4,77678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3 395 000,00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76 428 480,00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6 209 814,00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57 321 360,00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4 776 780,00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42 991 020,00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14 381 594,00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176 740 860,00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191 122 454,00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АВСТРИЯ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2,39757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1 687 000,00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38 361 120,00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3 116 841,00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28 770 840,00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2 397 570,00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21 578 130,00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7 201 411,00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88 710 090,00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95 911 501,00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ПОЛША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2,00734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910 000,00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32 117 440,00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2 609 542,00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24 088 080,00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2 007 340,00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18 066 060,00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5 526 882,00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74 271 580,00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79 798 462,00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ПОРТУГАЛИЯ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1,19679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805 000,00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19 148 640,00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1 555 827,00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14 361 480,00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1 196 790,00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10 771 110,00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3 557 617,00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44 281 230,00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47 838 847,00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РУМЪНИЯ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0,71815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259 000,00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11 490 400,00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933 595,00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8 617 800,00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718 150,00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6 463 350,00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1 910 745,00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26 571 550,00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28 482 295,00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СЛОВЕНИЯ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0,22452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126 000,00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3 592 320,00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291 876,00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2 694 240,00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224 520,00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2 020 680,00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642 396,00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8 307 240,00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8 949 636,00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СЛОВАКИЯ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0,37616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147 000,00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6 018 560,00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489 008,00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4 513 920,00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376 160,00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3 385 440,00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1 012 168,00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13 917 920,00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14 930 088,00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ФИНЛАНДИЯ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1,50909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1 029 000,00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24 145 440,00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1 961 817,00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18 109 080,00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1 509 090,00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13 581 810,00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4 499 907,00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55 836 330,00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60 336 237,00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ШВЕЦИЯ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2,93911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1 918 000,00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47 025 760,00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3 820 843,00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35 269 320,00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2 939 110,00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26 451 990,00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8 677 953,00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108 747 070,00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117 425 023,00</w:t>
            </w:r>
          </w:p>
        </w:tc>
      </w:tr>
      <w:tr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ОБЕДИНЕНО КРАЛСТВО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14,82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14,67862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10 374 000,00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234 857 920,00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19 082 206,00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176 143 440,00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14 678 620,00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132 107 580,00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44 134 826,00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543 108 940,00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587 243 766,00</w:t>
            </w:r>
          </w:p>
        </w:tc>
      </w:tr>
      <w:tr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ЕС-28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70 000 000,00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1 600 000 000,00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130 000 000,00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1 200 000 000,00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900 000 000,00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300 000 000,00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3 700 000 000,00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4 000 000 000,00</w:t>
            </w:r>
          </w:p>
        </w:tc>
      </w:tr>
    </w:tbl>
    <w:p>
      <w:pPr>
        <w:rPr>
          <w:rFonts w:ascii="Times New Roman" w:eastAsia="Times New Roman" w:hAnsi="Times New Roman" w:cs="Times New Roman"/>
          <w:noProof/>
          <w:sz w:val="24"/>
          <w:szCs w:val="26"/>
          <w:highlight w:val="lightGray"/>
        </w:rPr>
      </w:pPr>
      <w:r>
        <w:rPr>
          <w:noProof/>
        </w:rPr>
        <w:br w:type="page"/>
      </w:r>
    </w:p>
    <w:p>
      <w:pPr>
        <w:pStyle w:val="ManualHeading2"/>
        <w:rPr>
          <w:noProof/>
        </w:rPr>
      </w:pPr>
      <w:r>
        <w:rPr>
          <w:noProof/>
        </w:rPr>
        <w:t>5.6.</w:t>
      </w:r>
      <w:r>
        <w:rPr>
          <w:noProof/>
        </w:rPr>
        <w:tab/>
        <w:t>Приложение 6: Вноски на държавите членки за периода 2019—2023 г. (в евро)</w:t>
      </w:r>
    </w:p>
    <w:tbl>
      <w:tblPr>
        <w:tblW w:w="493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567"/>
        <w:gridCol w:w="709"/>
        <w:gridCol w:w="991"/>
        <w:gridCol w:w="994"/>
        <w:gridCol w:w="994"/>
        <w:gridCol w:w="994"/>
        <w:gridCol w:w="1134"/>
        <w:gridCol w:w="852"/>
        <w:gridCol w:w="994"/>
        <w:gridCol w:w="994"/>
        <w:gridCol w:w="991"/>
        <w:gridCol w:w="1134"/>
        <w:gridCol w:w="1268"/>
      </w:tblGrid>
      <w:tr>
        <w:trPr>
          <w:trHeight w:val="252"/>
        </w:trPr>
        <w:tc>
          <w:tcPr>
            <w:tcW w:w="4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ДЪРЖАВИ ЧЛЕНКИ</w:t>
            </w: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10-и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11-и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2019 г.</w:t>
            </w:r>
          </w:p>
        </w:tc>
        <w:tc>
          <w:tcPr>
            <w:tcW w:w="7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2020 г.</w:t>
            </w:r>
          </w:p>
        </w:tc>
        <w:tc>
          <w:tcPr>
            <w:tcW w:w="106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2021 г.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2022 г.</w:t>
            </w:r>
          </w:p>
        </w:tc>
        <w:tc>
          <w:tcPr>
            <w:tcW w:w="8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2023 г.</w:t>
            </w:r>
          </w:p>
        </w:tc>
      </w:tr>
      <w:tr>
        <w:trPr>
          <w:trHeight w:val="252"/>
        </w:trPr>
        <w:tc>
          <w:tcPr>
            <w:tcW w:w="4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ЕФР</w:t>
            </w:r>
          </w:p>
        </w:tc>
        <w:tc>
          <w:tcPr>
            <w:tcW w:w="254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ЕФР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 11-и ЕФР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EИБ 10-и ЕФР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 11-и ЕФР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EИБ 10-и ЕФР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 11-и ЕФР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EИБ 10-и ЕФР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EИБ 11-и ЕФР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 11-и ЕФР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EИБ 11-и ЕФР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Комисия 11-и ЕФР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EИБ 11-и ЕФР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БЕЛГИЯ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3,53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3,24927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142 967 880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10 590 000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142 967 880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10 590 000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120 222 990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2 471 000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7 473 321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87 730 290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9 747 810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64 985 400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3 249 270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БЪЛГАРИЯ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0,21853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9 615 320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420 000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9 615 320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420 000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8 085 610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98 000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502 619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5 900 310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655 590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4 370 600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218 530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ЧЕХИЯ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0,51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0,79745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35 087 800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1 530 000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35 087 800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1 530 000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29 505 650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357 000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1 834 135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21 531 150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2 392 350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15 949 000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797 450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ДАНИЯ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1,98045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87 139 800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6 000 000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87 139 800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6 000 000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73 276 650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1 400 000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4 555 035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53 472 150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5 941 350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39 609 000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1 980 450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ГЕРМАНИЯ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20,50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20,57980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905 511 200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61 500 000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905 511 200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61 500 000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761 452 600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14 350 000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47 333 540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555 654 600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61 739 400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411 596 000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20 579 800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ЕСТОНИЯ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0,08635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3 799 400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3 799 400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150 000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3 194 950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35 000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198 605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2 331 450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259 050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1 727 000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86 350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ИРЛАНДИЯ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0,91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0,94006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41 362 640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2 730 000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41 362 640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2 730 000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34 782 220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637 000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2 162 138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25 381 620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2 820 180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18 801 200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940 060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ГЪРЦИЯ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1,47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1,50735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66 323 400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4 410 000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66 323 400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4 410 000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55 771 950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1 029 000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3 466 905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40 698 450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4 522 050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30 147 000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1 507 350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ИСПАНИЯ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7,85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7,93248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349 029 120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23 550 000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349 029 120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23 550 000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293 501 760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5 495 000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18 244 704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214 176 960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23 797 440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158 649 600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7 932 480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ФРАНЦИЯ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19,55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17,81269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783 758 360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58 650 000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783 758 360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58 650 000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659 069 530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13 685 000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40 969 187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480 942 630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53 438 070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356 253 800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17 812 690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ХЪРВАТИЯ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0,22518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9 907 920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 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9 907 920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 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8 331 660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 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517 914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6 079 860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675 540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4 503 600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225 180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ИТАЛИЯ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12,86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12,53009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551 323 960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38 580 000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551 323 960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38 580 000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463 613 330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9 002 000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28 819 207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338 312 430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37 590 270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250 601 800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12 530 090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КИПЪР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0,11162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4 911 280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270 000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4 911 280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270 000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4 129 940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63 000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256 726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3 013 740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334 860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2 232 400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111 620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ЛАТВИЯ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0,11612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5 109 280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210 000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5 109 280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210 000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4 296 440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49 000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267 076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3 135 240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348 360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2 322 400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116 120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ЛИТВА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0,18077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7 953 880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360 000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7 953 880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360 000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6 688 490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84 000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415 771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4 880 790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542 310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3 615 400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180 770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ЛЮКСЕМБУРГ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0,25509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11 223 960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810 000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11 223 960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810 000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9 438 330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189 000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586 707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6 887 430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765 270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5 101 800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255 090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УНГАРИЯ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0,55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0,61456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27 040 640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1 650 000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27 040 640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1 650 000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22 738 720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385 000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1 413 488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16 593 120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1 843 680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12 291 200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614 560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МАЛТА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0,03801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1 672 440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90 000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1 672 440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90 000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1 406 370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21 000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87 423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1 026 270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114 030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760 200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38 010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НИДЕРЛАНДИЯ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4,85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4,77678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210 178 320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14 550 000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210 178 320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14 550 000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176 740 860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3 395 000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10 986 594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128 973 060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14 330 340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95 535 600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4 776 780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АВСТРИЯ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2,41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2,39757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105 493 080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7 230 000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105 493 080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7 230 000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88 710 090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1 687 000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5 514 411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64 734 390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7 192 710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47 951 400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2 397 570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ПОЛША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2,00734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88 322 960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3 900 000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88 322 960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3 900 000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74 271 580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910 000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4 616 882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54 198 180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6 022 020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40 146 800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2 007 340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ПОРТУГАЛИЯ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1,19679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52 658 760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3 450 000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52 658 760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3 450 000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44 281 230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805 000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2 752 617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32 313 330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3 590 370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23 935 800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1 196 790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РУМЪНИЯ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0,37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0,71815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31 598 600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1 110 000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31 598 600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1 110 000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26 571 550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259 000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1 651 745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19 390 050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2 154 450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14 363 000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718 150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СЛОВЕНИЯ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0,18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0,22452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9 878 880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540 000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9 878 880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540 000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8 307 240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126 000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516 396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6 062 040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673 560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4 490 400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224 520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СЛОВАКИЯ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0,37616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16 551 040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630 000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16 551 040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630 000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13 917 920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147 000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865 168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10 156 320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1 128 480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7 523 200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 376 160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ФИНЛАНДИЯ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1,47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1,50909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66 399 960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4 410 000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66 399 960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4 410 000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55 836 330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1 029 000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3 470 907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40 745 430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4 527 270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30 181 800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1 509 090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ШВЕЦИЯ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2,74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2,93911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129 320 840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8 220 000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129 320 840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8 220 000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108 747 070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1 918 000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6 759 953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79 355 970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8 817 330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58 782 200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2 939 110</w:t>
            </w:r>
          </w:p>
        </w:tc>
      </w:tr>
      <w:tr>
        <w:trPr>
          <w:trHeight w:val="240"/>
        </w:trPr>
        <w:tc>
          <w:tcPr>
            <w:tcW w:w="4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ОБЕДИНЕНО КРАЛСТВО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14,82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>14,67862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645 859 280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44 460 000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645 859 280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44 460 000</w:t>
            </w:r>
          </w:p>
        </w:tc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543 108 940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10 374 000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33 760 826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396 322 740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44 035 860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293 572 400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noProof/>
                <w:sz w:val="14"/>
                <w:szCs w:val="14"/>
              </w:rPr>
              <w:t xml:space="preserve"> 14 678 620</w:t>
            </w:r>
          </w:p>
        </w:tc>
      </w:tr>
      <w:tr>
        <w:trPr>
          <w:trHeight w:val="252"/>
        </w:trPr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ОБЩО ЕС-28</w:t>
            </w: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100,00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100,00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4 400 000 000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 xml:space="preserve"> 300 000 000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4 400 000 000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 xml:space="preserve"> 300 000 000</w:t>
            </w:r>
          </w:p>
        </w:tc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3 700 000 000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 xml:space="preserve"> 70 000 000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 xml:space="preserve"> 230 000 000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2 700 000 000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 xml:space="preserve"> 300 000 000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2 000 000 000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 xml:space="preserve"> 100 000 000</w:t>
            </w:r>
          </w:p>
        </w:tc>
      </w:tr>
      <w:tr>
        <w:trPr>
          <w:trHeight w:val="252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 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4 700 000 000</w:t>
            </w:r>
          </w:p>
        </w:tc>
        <w:tc>
          <w:tcPr>
            <w:tcW w:w="7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4 700 000 000</w:t>
            </w:r>
          </w:p>
        </w:tc>
        <w:tc>
          <w:tcPr>
            <w:tcW w:w="106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4 000 000 000</w:t>
            </w:r>
          </w:p>
        </w:tc>
        <w:tc>
          <w:tcPr>
            <w:tcW w:w="7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3 000 000 000</w:t>
            </w:r>
          </w:p>
        </w:tc>
        <w:tc>
          <w:tcPr>
            <w:tcW w:w="8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noProof/>
                <w:sz w:val="14"/>
                <w:szCs w:val="14"/>
              </w:rPr>
              <w:t>2 100 000 000</w:t>
            </w:r>
          </w:p>
        </w:tc>
      </w:tr>
    </w:tbl>
    <w:p>
      <w:pPr>
        <w:rPr>
          <w:noProof/>
        </w:rPr>
      </w:pPr>
    </w:p>
    <w:sectPr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6838" w:h="11906" w:orient="landscape"/>
      <w:pgMar w:top="1418" w:right="1418" w:bottom="1418" w:left="1418" w:header="709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4063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227295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67081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>
    <w:pPr>
      <w:pStyle w:val="Footer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35020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FooterCoverPage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72791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Вътрешно споразумение между представителите на правителствата на държавите — членки на Европейския съюз, заседаващи в рамките на Съвета, относно финансирането на помощта от Европейския съюз съгласно многогодишната финансова рамка за периода 2014—2020 г. в съответствие със Споразумението за партньорство АКТБ—ЕС и за разпределението на финансовата помощ за отвъдморските страни и територии, за които се прилага част четвърта от Договора за функционирането на Европейския съюз (ОВ L 210, 6.8.2013 г., стр. 1—14).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ab/>
        <w:t>Регламент (ЕС) 2018/1877 на Съвета от 26 ноември 2018 г. относно финансовия регламент, приложим за 11-ия Европейски фонд за развитие (ОВ L 307, 3.12.2018 г., стр. 1—21).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Държави от Африка, Карибите и Тихоокеанския басейн.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Отвъдморски страни и територии.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ОВ L 210, 6.8.2013 г.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ab/>
        <w:t>ОВ L 307, 3.12.2018 г.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Брутни поети задължения, т.е. без да са приспаднати отменените бюджетни кредити.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022DF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A0623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68AEF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EE1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5509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2803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66AF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674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5F4C408B"/>
    <w:multiLevelType w:val="hybridMultilevel"/>
    <w:tmpl w:val="EDF20430"/>
    <w:lvl w:ilvl="0" w:tplc="A22C06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8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2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3788E24C-0182-422A-B9C7-F40549910B4D"/>
    <w:docVar w:name="LW_COVERPAGE_TYPE" w:val="1"/>
    <w:docVar w:name="LW_CROSSREFERENCE" w:val="&lt;UNUSED&gt;"/>
    <w:docVar w:name="LW_DocType" w:val="NORMAL"/>
    <w:docVar w:name="LW_EMISSION" w:val="10.10.2019"/>
    <w:docVar w:name="LW_EMISSION_ISODATE" w:val="2019-10-10"/>
    <w:docVar w:name="LW_EMISSION_LOCATION" w:val="BRX"/>
    <w:docVar w:name="LW_EMISSION_PREFIX" w:val="Брюксел, "/>
    <w:docVar w:name="LW_EMISSION_SUFFIX" w:val=" \u1075?."/>
    <w:docVar w:name="LW_ID_DOCTYPE_NONLW" w:val="CP-010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9) 47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\u1060?\u1080?\u1085?\u1072?\u1085?\u1089?\u1086?\u1074?\u1072? \u1080?\u1085?\u1092?\u1086?\u1088?\u1084?\u1072?\u1094?\u1080?\u1103? \u1079?\u1072? \u1045?\u1074?\u1088?\u1086?\u1087?\u1077?\u1081?\u1089?\u1082?\u1080?\u1103? \u1092?\u1086?\u1085?\u1076? \u1079?\u1072? \u1088?\u1072?\u1079?\u1074?\u1080?\u1090?\u1080?\u1077?_x000d__x000d__x000d__x000b__x000d__x000d__x000d__x000b_\u1045?\u1074?\u1088?\u1086?\u1087?\u1077?\u1081?\u1089?\u1082?\u1080? \u1092?\u1086?\u1085?\u1076? \u1079?\u1072? \u1088?\u1072?\u1079?\u1074?\u1080?\u1090?\u1080?\u1077? (\u1045?\u1060?\u1056?): \u1087?\u1088?\u1086?\u1075?\u1085?\u1086?\u1079?\u1080? \u1079?\u1072? \u1087?\u1086?\u1077?\u1090?\u1080?\u1090?\u1077? \u1079?\u1072?\u1076?\u1098?\u1083?\u1078?\u1077?\u1085?\u1080?\u1103?, \u1087?\u1083?\u1072?\u1097?\u1072?\u1085?\u1080?\u1103?\u1090?\u1072? \u1080? \u1074?\u1085?\u1086?\u1089?\u1082?\u1080?\u1090?\u1077? \u1085?\u1072? \u1076?\u1098?\u1088?\u1078?\u1072?\u1074?\u1080?\u1090?\u1077? \u1095?\u1083?\u1077?\u1085?\u1082?\u1080? \u1079?\u1072? 2019 \u1075?., 2020 \u1075?. \u1080? 2021 \u1075?. \u1080? \u1085?\u1077?\u1086?\u1073?\u1074?\u1098?\u1088?\u1079?\u1074?\u1072?\u1097?\u1072? \u1087?\u1088?\u1086?\u1075?\u1085?\u1086?\u1079?\u1072? \u1079?\u1072? 2022 \u1075?. \u1080? 2023 \u1075?._x000d__x000d__x000d__x000b_"/>
    <w:docVar w:name="LW_TYPE.DOC.CP" w:val="\u1057?\u1066?\u1054?\u1041?\u1065?\u1045?\u1053?\u1048?\u1045? \u1053?\u1040? \u1050?\u1054?\u1052?\u1048?\u1057?\u1048?\u1071?\u1058?\u1040? \u1044?\u1054? \u1057?\u1066?\u1042?\u1045?\u1058?\u1040?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lang w:eastAsia="en-GB"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="Times New Roman" w:hAnsi="Times New Roman" w:cs="Times New Roman"/>
      <w:bCs/>
      <w:i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="Times New Roman" w:hAnsi="Times New Roman" w:cs="Times New Roman"/>
      <w:bCs/>
      <w:iCs/>
      <w:sz w:val="24"/>
      <w:lang w:eastAsia="en-GB"/>
    </w:rPr>
  </w:style>
  <w:style w:type="paragraph" w:customStyle="1" w:styleId="Text1">
    <w:name w:val="Text 1"/>
    <w:basedOn w:val="Normal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ypedudocument">
    <w:name w:val="Type du document"/>
    <w:basedOn w:val="Normal"/>
    <w:next w:val="Normal"/>
    <w:link w:val="TypedudocumentChar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TypedudocumentChar">
    <w:name w:val="Type du document Char"/>
    <w:basedOn w:val="DefaultParagraphFont"/>
    <w:link w:val="Typedudocument"/>
    <w:rPr>
      <w:rFonts w:ascii="Times New Roman" w:hAnsi="Times New Roman" w:cs="Times New Roman"/>
      <w:b/>
      <w:sz w:val="24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unhideWhenUsed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semiHidden/>
    <w:unhideWhenUsed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1">
    <w:name w:val="Endnote Text Char1"/>
    <w:basedOn w:val="DefaultParagraphFon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Text2">
    <w:name w:val="Text 2"/>
    <w:basedOn w:val="Normal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xt3">
    <w:name w:val="Text 3"/>
    <w:basedOn w:val="Normal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xt4">
    <w:name w:val="Text 4"/>
    <w:basedOn w:val="Normal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Centered">
    <w:name w:val="Normal Centered"/>
    <w:basedOn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Right">
    <w:name w:val="Normal Right"/>
    <w:basedOn w:val="Normal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QuotedText">
    <w:name w:val="Quoted Text"/>
    <w:basedOn w:val="Normal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0">
    <w:name w:val="Point 0"/>
    <w:basedOn w:val="Normal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">
    <w:name w:val="Point 1"/>
    <w:basedOn w:val="Normal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">
    <w:name w:val="Point 2"/>
    <w:basedOn w:val="Normal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">
    <w:name w:val="Point 3"/>
    <w:basedOn w:val="Normal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4">
    <w:name w:val="Point 4"/>
    <w:basedOn w:val="Normal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1">
    <w:name w:val="PointDouble 1"/>
    <w:basedOn w:val="Normal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2">
    <w:name w:val="PointDouble 2"/>
    <w:basedOn w:val="Normal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3">
    <w:name w:val="PointDouble 3"/>
    <w:basedOn w:val="Normal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4">
    <w:name w:val="PointDouble 4"/>
    <w:basedOn w:val="Normal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1">
    <w:name w:val="Manual NumPar 1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2">
    <w:name w:val="Manual NumPar 2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3">
    <w:name w:val="Manual NumPar 3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4">
    <w:name w:val="Manual NumPar 4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QuotedNumPar">
    <w:name w:val="Quoted NumPar"/>
    <w:basedOn w:val="Normal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lang w:eastAsia="en-GB"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al"/>
    <w:next w:val="ChapterTitle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paragraph" w:customStyle="1" w:styleId="TableTitle">
    <w:name w:val="Table Titl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Point0number">
    <w:name w:val="Point 0 (number)"/>
    <w:basedOn w:val="Normal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number">
    <w:name w:val="Point 1 (number)"/>
    <w:basedOn w:val="Normal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number">
    <w:name w:val="Point 2 (number)"/>
    <w:basedOn w:val="Normal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number">
    <w:name w:val="Point 3 (number)"/>
    <w:basedOn w:val="Normal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0letter">
    <w:name w:val="Point 0 (letter)"/>
    <w:basedOn w:val="Normal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letter">
    <w:name w:val="Point 1 (letter)"/>
    <w:basedOn w:val="Normal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letter">
    <w:name w:val="Point 2 (letter)"/>
    <w:basedOn w:val="Normal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letter">
    <w:name w:val="Point 3 (letter)"/>
    <w:basedOn w:val="Normal"/>
    <w:pPr>
      <w:numPr>
        <w:ilvl w:val="7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4letter">
    <w:name w:val="Point 4 (letter)"/>
    <w:basedOn w:val="Normal"/>
    <w:pPr>
      <w:numPr>
        <w:ilvl w:val="8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0">
    <w:name w:val="Bullet 0"/>
    <w:basedOn w:val="Normal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1">
    <w:name w:val="Bullet 1"/>
    <w:basedOn w:val="Normal"/>
    <w:pPr>
      <w:numPr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2">
    <w:name w:val="Bullet 2"/>
    <w:basedOn w:val="Normal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3">
    <w:name w:val="Bullet 3"/>
    <w:basedOn w:val="Normal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4">
    <w:name w:val="Bullet 4"/>
    <w:basedOn w:val="Normal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Annexetitreexpos">
    <w:name w:val="Annexe titre (exposé)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Annexetitre">
    <w:name w:val="Annexe titr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Annexetitrefichefinancire">
    <w:name w:val="Annexe titre (fiche financière)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Fait">
    <w:name w:val="Fait à"/>
    <w:basedOn w:val="Normal"/>
    <w:next w:val="Institutionquisigne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Applicationdirecte">
    <w:name w:val="Application directe"/>
    <w:basedOn w:val="Normal"/>
    <w:next w:val="Fait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Avertissementtitre">
    <w:name w:val="Avertissement titre"/>
    <w:basedOn w:val="Normal"/>
    <w:next w:val="Normal"/>
    <w:pPr>
      <w:keepNext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u w:val="single"/>
      <w:lang w:eastAsia="en-GB"/>
    </w:rPr>
  </w:style>
  <w:style w:type="paragraph" w:customStyle="1" w:styleId="Confidence">
    <w:name w:val="Confidence"/>
    <w:basedOn w:val="Normal"/>
    <w:next w:val="Normal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ypedudocumentPagedecouverture">
    <w:name w:val="Type du document (Page de couverture)"/>
    <w:basedOn w:val="Typedudocument"/>
    <w:next w:val="TitreobjetPagedecouverture"/>
    <w:rPr>
      <w:rFonts w:eastAsia="Times New Roman"/>
      <w:lang w:eastAsia="en-GB"/>
    </w:rPr>
  </w:style>
  <w:style w:type="paragraph" w:customStyle="1" w:styleId="TitreobjetPagedecouverture">
    <w:name w:val="Titre objet (Page de couverture)"/>
    <w:basedOn w:val="Titreobjet"/>
    <w:next w:val="Sous-titreobjetPagedecouverture"/>
    <w:rPr>
      <w:rFonts w:eastAsia="Times New Roman"/>
      <w:lang w:eastAsia="en-GB"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ous-titreobjet">
    <w:name w:val="Sous-titre objet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Confidentialit">
    <w:name w:val="Confidentialité"/>
    <w:basedOn w:val="Normal"/>
    <w:next w:val="TypedudocumentPagedecouverture"/>
    <w:pPr>
      <w:spacing w:before="240" w:after="240" w:line="240" w:lineRule="auto"/>
      <w:ind w:left="5103"/>
    </w:pPr>
    <w:rPr>
      <w:rFonts w:ascii="Times New Roman" w:eastAsia="Times New Roman" w:hAnsi="Times New Roman" w:cs="Times New Roman"/>
      <w:i/>
      <w:sz w:val="32"/>
      <w:lang w:eastAsia="en-GB"/>
    </w:rPr>
  </w:style>
  <w:style w:type="paragraph" w:customStyle="1" w:styleId="Considrant">
    <w:name w:val="Considérant"/>
    <w:basedOn w:val="Normal"/>
    <w:pPr>
      <w:numPr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orrigendum">
    <w:name w:val="Corrigendum"/>
    <w:basedOn w:val="Normal"/>
    <w:next w:val="Normal"/>
    <w:pPr>
      <w:spacing w:after="24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Datedadoption">
    <w:name w:val="Date d'adoption"/>
    <w:basedOn w:val="Normal"/>
    <w:next w:val="Titreobjet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Rfrenceinstitutionnelle">
    <w:name w:val="Référence institutionnelle"/>
    <w:basedOn w:val="Normal"/>
    <w:next w:val="Confidentialit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Emission">
    <w:name w:val="Emission"/>
    <w:basedOn w:val="Normal"/>
    <w:next w:val="Rfrenceinstitutionnelle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Exposdesmotifstitre">
    <w:name w:val="Exposé des motifs titr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Formuledadoption">
    <w:name w:val="Formule d'adoption"/>
    <w:basedOn w:val="Normal"/>
    <w:next w:val="Titrearticle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Institutionquiagit">
    <w:name w:val="Institution qui agit"/>
    <w:basedOn w:val="Normal"/>
    <w:next w:val="Normal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Rfrenceinterne">
    <w:name w:val="Référence interne"/>
    <w:basedOn w:val="Normal"/>
    <w:next w:val="Rfrenceinterinstitutionnelle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Rfrenceinterinstitutionnelle">
    <w:name w:val="Référence interinstitutionnelle"/>
    <w:basedOn w:val="Normal"/>
    <w:next w:val="Statut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Statut">
    <w:name w:val="Statut"/>
    <w:basedOn w:val="Normal"/>
    <w:next w:val="Typedudocument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lang w:eastAsia="en-GB"/>
    </w:rPr>
  </w:style>
  <w:style w:type="paragraph" w:customStyle="1" w:styleId="ManualConsidrant">
    <w:name w:val="Manual Considérant"/>
    <w:basedOn w:val="Normal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mdelinstitution">
    <w:name w:val="Nom de l'institution"/>
    <w:basedOn w:val="Normal"/>
    <w:next w:val="Emission"/>
    <w:pPr>
      <w:spacing w:after="0" w:line="240" w:lineRule="auto"/>
    </w:pPr>
    <w:rPr>
      <w:rFonts w:ascii="Arial" w:eastAsia="Times New Roman" w:hAnsi="Arial" w:cs="Arial"/>
      <w:sz w:val="24"/>
      <w:lang w:eastAsia="en-GB"/>
    </w:rPr>
  </w:style>
  <w:style w:type="paragraph" w:customStyle="1" w:styleId="Address">
    <w:name w:val="Address"/>
    <w:basedOn w:val="Normal"/>
    <w:next w:val="Normal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Objetexterne">
    <w:name w:val="Objet externe"/>
    <w:basedOn w:val="Normal"/>
    <w:next w:val="Normal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lang w:eastAsia="en-GB"/>
    </w:rPr>
  </w:style>
  <w:style w:type="paragraph" w:customStyle="1" w:styleId="Supertitre">
    <w:name w:val="Supertitre"/>
    <w:basedOn w:val="Normal"/>
    <w:next w:val="Normal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Languesfaisantfoi">
    <w:name w:val="Langues faisant foi"/>
    <w:basedOn w:val="Normal"/>
    <w:next w:val="Normal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Rfrencecroise">
    <w:name w:val="Référence croisé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Fichefinanciretitre">
    <w:name w:val="Fiche financière titr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Volume">
    <w:name w:val="Volume"/>
    <w:basedOn w:val="Normal"/>
    <w:next w:val="Confidentialit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Typeacteprincipal">
    <w:name w:val="Type acte principal"/>
    <w:basedOn w:val="Normal"/>
    <w:next w:val="Objetacteprincip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Objetacteprincipal">
    <w:name w:val="Objet acte principal"/>
    <w:basedOn w:val="Normal"/>
    <w:next w:val="Titrearticle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Accompagnant">
    <w:name w:val="Accompagnant"/>
    <w:basedOn w:val="Normal"/>
    <w:next w:val="Typeacteprincip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lang w:eastAsia="en-GB"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Marker1">
    <w:name w:val="Marker1"/>
    <w:rPr>
      <w:color w:val="008000"/>
    </w:rPr>
  </w:style>
  <w:style w:type="character" w:customStyle="1" w:styleId="Marker2">
    <w:name w:val="Marker2"/>
    <w:rPr>
      <w:color w:val="FF0000"/>
    </w:rPr>
  </w:style>
  <w:style w:type="character" w:customStyle="1" w:styleId="Added">
    <w:name w:val="Added"/>
    <w:rPr>
      <w:b/>
      <w:bCs w:val="0"/>
      <w:u w:val="single"/>
    </w:rPr>
  </w:style>
  <w:style w:type="character" w:customStyle="1" w:styleId="Deleted">
    <w:name w:val="Deleted"/>
    <w:rPr>
      <w:strike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i/>
      <w:sz w:val="24"/>
      <w:lang w:eastAsia="en-GB"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="Times New Roman" w:hAnsi="Times New Roman" w:cs="Times New Roman"/>
      <w:bCs/>
      <w:i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="Times New Roman" w:hAnsi="Times New Roman" w:cs="Times New Roman"/>
      <w:bCs/>
      <w:iCs/>
      <w:sz w:val="24"/>
      <w:lang w:eastAsia="en-GB"/>
    </w:rPr>
  </w:style>
  <w:style w:type="paragraph" w:customStyle="1" w:styleId="Text1">
    <w:name w:val="Text 1"/>
    <w:basedOn w:val="Normal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ypedudocument">
    <w:name w:val="Type du document"/>
    <w:basedOn w:val="Normal"/>
    <w:next w:val="Normal"/>
    <w:link w:val="TypedudocumentChar"/>
    <w:pPr>
      <w:spacing w:before="360" w:after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TypedudocumentChar">
    <w:name w:val="Type du document Char"/>
    <w:basedOn w:val="DefaultParagraphFont"/>
    <w:link w:val="Typedudocument"/>
    <w:rPr>
      <w:rFonts w:ascii="Times New Roman" w:hAnsi="Times New Roman" w:cs="Times New Roman"/>
      <w:b/>
      <w:sz w:val="24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unhideWhenUsed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semiHidden/>
    <w:unhideWhenUsed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EndnoteTextChar1">
    <w:name w:val="Endnote Text Char1"/>
    <w:basedOn w:val="DefaultParagraphFon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hAnsi="Times New Roman" w:cs="Times New Roman"/>
      <w:sz w:val="24"/>
    </w:rPr>
  </w:style>
  <w:style w:type="paragraph" w:customStyle="1" w:styleId="Text2">
    <w:name w:val="Text 2"/>
    <w:basedOn w:val="Normal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xt3">
    <w:name w:val="Text 3"/>
    <w:basedOn w:val="Normal"/>
    <w:pPr>
      <w:spacing w:before="120" w:after="120" w:line="240" w:lineRule="auto"/>
      <w:ind w:left="198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ext4">
    <w:name w:val="Text 4"/>
    <w:basedOn w:val="Normal"/>
    <w:pPr>
      <w:spacing w:before="120" w:after="120" w:line="240" w:lineRule="auto"/>
      <w:ind w:left="255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Centered">
    <w:name w:val="Normal Centered"/>
    <w:basedOn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Left">
    <w:name w:val="Normal Left"/>
    <w:basedOn w:val="Normal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rmalRight">
    <w:name w:val="Normal Right"/>
    <w:basedOn w:val="Normal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QuotedText">
    <w:name w:val="Quoted Text"/>
    <w:basedOn w:val="Normal"/>
    <w:pPr>
      <w:spacing w:before="120" w:after="120" w:line="240" w:lineRule="auto"/>
      <w:ind w:left="141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0">
    <w:name w:val="Point 0"/>
    <w:basedOn w:val="Normal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">
    <w:name w:val="Point 1"/>
    <w:basedOn w:val="Normal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">
    <w:name w:val="Point 2"/>
    <w:basedOn w:val="Normal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">
    <w:name w:val="Point 3"/>
    <w:basedOn w:val="Normal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4">
    <w:name w:val="Point 4"/>
    <w:basedOn w:val="Normal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spacing w:before="120" w:after="120" w:line="240" w:lineRule="auto"/>
      <w:ind w:left="1417" w:hanging="141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1">
    <w:name w:val="PointDouble 1"/>
    <w:basedOn w:val="Normal"/>
    <w:pPr>
      <w:tabs>
        <w:tab w:val="left" w:pos="1417"/>
      </w:tabs>
      <w:spacing w:before="120" w:after="120" w:line="240" w:lineRule="auto"/>
      <w:ind w:left="1984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2">
    <w:name w:val="PointDouble 2"/>
    <w:basedOn w:val="Normal"/>
    <w:pPr>
      <w:tabs>
        <w:tab w:val="left" w:pos="1984"/>
      </w:tabs>
      <w:spacing w:before="120" w:after="120" w:line="240" w:lineRule="auto"/>
      <w:ind w:left="2551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3">
    <w:name w:val="PointDouble 3"/>
    <w:basedOn w:val="Normal"/>
    <w:pPr>
      <w:tabs>
        <w:tab w:val="left" w:pos="2551"/>
      </w:tabs>
      <w:spacing w:before="120" w:after="120" w:line="240" w:lineRule="auto"/>
      <w:ind w:left="3118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Double4">
    <w:name w:val="PointDouble 4"/>
    <w:basedOn w:val="Normal"/>
    <w:pPr>
      <w:tabs>
        <w:tab w:val="left" w:pos="3118"/>
      </w:tabs>
      <w:spacing w:before="120" w:after="120" w:line="240" w:lineRule="auto"/>
      <w:ind w:left="3685" w:hanging="113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1">
    <w:name w:val="NumPar 1"/>
    <w:basedOn w:val="Normal"/>
    <w:next w:val="Text1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Text1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1">
    <w:name w:val="Manual NumPar 1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2">
    <w:name w:val="Manual NumPar 2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3">
    <w:name w:val="Manual NumPar 3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NumPar4">
    <w:name w:val="Manual NumPar 4"/>
    <w:basedOn w:val="Normal"/>
    <w:next w:val="Text1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QuotedNumPar">
    <w:name w:val="Quoted NumPar"/>
    <w:basedOn w:val="Normal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lang w:eastAsia="en-GB"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hapterTitle">
    <w:name w:val="ChapterTitle"/>
    <w:basedOn w:val="Normal"/>
    <w:next w:val="Normal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en-GB"/>
    </w:rPr>
  </w:style>
  <w:style w:type="paragraph" w:customStyle="1" w:styleId="PartTitle">
    <w:name w:val="PartTitle"/>
    <w:basedOn w:val="Normal"/>
    <w:next w:val="ChapterTitle"/>
    <w:pPr>
      <w:keepNext/>
      <w:pageBreakBefore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en-GB"/>
    </w:rPr>
  </w:style>
  <w:style w:type="paragraph" w:customStyle="1" w:styleId="TableTitle">
    <w:name w:val="Table Titl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Point0number">
    <w:name w:val="Point 0 (number)"/>
    <w:basedOn w:val="Normal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number">
    <w:name w:val="Point 1 (number)"/>
    <w:basedOn w:val="Normal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number">
    <w:name w:val="Point 2 (number)"/>
    <w:basedOn w:val="Normal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number">
    <w:name w:val="Point 3 (number)"/>
    <w:basedOn w:val="Normal"/>
    <w:p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0letter">
    <w:name w:val="Point 0 (letter)"/>
    <w:basedOn w:val="Normal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1letter">
    <w:name w:val="Point 1 (letter)"/>
    <w:basedOn w:val="Normal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2letter">
    <w:name w:val="Point 2 (letter)"/>
    <w:basedOn w:val="Normal"/>
    <w:p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3letter">
    <w:name w:val="Point 3 (letter)"/>
    <w:basedOn w:val="Normal"/>
    <w:pPr>
      <w:numPr>
        <w:ilvl w:val="7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Point4letter">
    <w:name w:val="Point 4 (letter)"/>
    <w:basedOn w:val="Normal"/>
    <w:pPr>
      <w:numPr>
        <w:ilvl w:val="8"/>
        <w:numId w:val="1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0">
    <w:name w:val="Bullet 0"/>
    <w:basedOn w:val="Normal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1">
    <w:name w:val="Bullet 1"/>
    <w:basedOn w:val="Normal"/>
    <w:pPr>
      <w:numPr>
        <w:numId w:val="1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2">
    <w:name w:val="Bullet 2"/>
    <w:basedOn w:val="Normal"/>
    <w:pPr>
      <w:numPr>
        <w:numId w:val="1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3">
    <w:name w:val="Bullet 3"/>
    <w:basedOn w:val="Normal"/>
    <w:pPr>
      <w:numPr>
        <w:numId w:val="2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Bullet4">
    <w:name w:val="Bullet 4"/>
    <w:basedOn w:val="Normal"/>
    <w:pPr>
      <w:numPr>
        <w:numId w:val="2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Annexetitreexpos">
    <w:name w:val="Annexe titre (exposé)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Annexetitre">
    <w:name w:val="Annexe titr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Annexetitrefichefinancire">
    <w:name w:val="Annexe titre (fiche financière)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Fait">
    <w:name w:val="Fait à"/>
    <w:basedOn w:val="Normal"/>
    <w:next w:val="Institutionquisigne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 w:line="240" w:lineRule="auto"/>
      <w:jc w:val="both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after="0" w:line="240" w:lineRule="auto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Applicationdirecte">
    <w:name w:val="Application directe"/>
    <w:basedOn w:val="Normal"/>
    <w:next w:val="Fait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Avertissementtitre">
    <w:name w:val="Avertissement titre"/>
    <w:basedOn w:val="Normal"/>
    <w:next w:val="Normal"/>
    <w:pPr>
      <w:keepNext/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u w:val="single"/>
      <w:lang w:eastAsia="en-GB"/>
    </w:rPr>
  </w:style>
  <w:style w:type="paragraph" w:customStyle="1" w:styleId="Confidence">
    <w:name w:val="Confidence"/>
    <w:basedOn w:val="Normal"/>
    <w:next w:val="Normal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TypedudocumentPagedecouverture">
    <w:name w:val="Type du document (Page de couverture)"/>
    <w:basedOn w:val="Typedudocument"/>
    <w:next w:val="TitreobjetPagedecouverture"/>
    <w:rPr>
      <w:rFonts w:eastAsia="Times New Roman"/>
      <w:lang w:eastAsia="en-GB"/>
    </w:rPr>
  </w:style>
  <w:style w:type="paragraph" w:customStyle="1" w:styleId="TitreobjetPagedecouverture">
    <w:name w:val="Titre objet (Page de couverture)"/>
    <w:basedOn w:val="Titreobjet"/>
    <w:next w:val="Sous-titreobjetPagedecouverture"/>
    <w:rPr>
      <w:rFonts w:eastAsia="Times New Roman"/>
      <w:lang w:eastAsia="en-GB"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ous-titreobjet">
    <w:name w:val="Sous-titre objet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Confidentialit">
    <w:name w:val="Confidentialité"/>
    <w:basedOn w:val="Normal"/>
    <w:next w:val="TypedudocumentPagedecouverture"/>
    <w:pPr>
      <w:spacing w:before="240" w:after="240" w:line="240" w:lineRule="auto"/>
      <w:ind w:left="5103"/>
    </w:pPr>
    <w:rPr>
      <w:rFonts w:ascii="Times New Roman" w:eastAsia="Times New Roman" w:hAnsi="Times New Roman" w:cs="Times New Roman"/>
      <w:i/>
      <w:sz w:val="32"/>
      <w:lang w:eastAsia="en-GB"/>
    </w:rPr>
  </w:style>
  <w:style w:type="paragraph" w:customStyle="1" w:styleId="Considrant">
    <w:name w:val="Considérant"/>
    <w:basedOn w:val="Normal"/>
    <w:pPr>
      <w:numPr>
        <w:numId w:val="2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Corrigendum">
    <w:name w:val="Corrigendum"/>
    <w:basedOn w:val="Normal"/>
    <w:next w:val="Normal"/>
    <w:pPr>
      <w:spacing w:after="240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Datedadoption">
    <w:name w:val="Date d'adoption"/>
    <w:basedOn w:val="Normal"/>
    <w:next w:val="Titreobjet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Rfrenceinstitutionnelle">
    <w:name w:val="Référence institutionnelle"/>
    <w:basedOn w:val="Normal"/>
    <w:next w:val="Confidentialit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Emission">
    <w:name w:val="Emission"/>
    <w:basedOn w:val="Normal"/>
    <w:next w:val="Rfrenceinstitutionnelle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Exposdesmotifstitre">
    <w:name w:val="Exposé des motifs titr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lang w:eastAsia="en-GB"/>
    </w:rPr>
  </w:style>
  <w:style w:type="paragraph" w:customStyle="1" w:styleId="Formuledadoption">
    <w:name w:val="Formule d'adoption"/>
    <w:basedOn w:val="Normal"/>
    <w:next w:val="Titrearticle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Institutionquiagit">
    <w:name w:val="Institution qui agit"/>
    <w:basedOn w:val="Normal"/>
    <w:next w:val="Normal"/>
    <w:pPr>
      <w:keepNext/>
      <w:spacing w:before="600" w:after="120" w:line="240" w:lineRule="auto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Rfrenceinterne">
    <w:name w:val="Référence interne"/>
    <w:basedOn w:val="Normal"/>
    <w:next w:val="Rfrenceinterinstitutionnelle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Rfrenceinterinstitutionnelle">
    <w:name w:val="Référence interinstitutionnelle"/>
    <w:basedOn w:val="Normal"/>
    <w:next w:val="Statut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Statut">
    <w:name w:val="Statut"/>
    <w:basedOn w:val="Normal"/>
    <w:next w:val="Typedudocument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after="600" w:line="240" w:lineRule="auto"/>
      <w:jc w:val="center"/>
    </w:pPr>
    <w:rPr>
      <w:rFonts w:ascii="Times New Roman" w:eastAsia="Times New Roman" w:hAnsi="Times New Roman" w:cs="Times New Roman"/>
      <w:b/>
      <w:caps/>
      <w:sz w:val="24"/>
      <w:lang w:eastAsia="en-GB"/>
    </w:rPr>
  </w:style>
  <w:style w:type="paragraph" w:customStyle="1" w:styleId="ManualConsidrant">
    <w:name w:val="Manual Considérant"/>
    <w:basedOn w:val="Normal"/>
    <w:pPr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Nomdelinstitution">
    <w:name w:val="Nom de l'institution"/>
    <w:basedOn w:val="Normal"/>
    <w:next w:val="Emission"/>
    <w:pPr>
      <w:spacing w:after="0" w:line="240" w:lineRule="auto"/>
    </w:pPr>
    <w:rPr>
      <w:rFonts w:ascii="Arial" w:eastAsia="Times New Roman" w:hAnsi="Arial" w:cs="Arial"/>
      <w:sz w:val="24"/>
      <w:lang w:eastAsia="en-GB"/>
    </w:rPr>
  </w:style>
  <w:style w:type="paragraph" w:customStyle="1" w:styleId="Address">
    <w:name w:val="Address"/>
    <w:basedOn w:val="Normal"/>
    <w:next w:val="Normal"/>
    <w:pPr>
      <w:keepLines/>
      <w:spacing w:before="120" w:after="120" w:line="360" w:lineRule="auto"/>
      <w:ind w:left="3402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Objetexterne">
    <w:name w:val="Objet externe"/>
    <w:basedOn w:val="Normal"/>
    <w:next w:val="Normal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caps/>
      <w:sz w:val="24"/>
      <w:lang w:eastAsia="en-GB"/>
    </w:rPr>
  </w:style>
  <w:style w:type="paragraph" w:customStyle="1" w:styleId="Supertitre">
    <w:name w:val="Supertitre"/>
    <w:basedOn w:val="Normal"/>
    <w:next w:val="Normal"/>
    <w:pPr>
      <w:spacing w:after="60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Languesfaisantfoi">
    <w:name w:val="Langues faisant foi"/>
    <w:basedOn w:val="Normal"/>
    <w:next w:val="Normal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Rfrencecroise">
    <w:name w:val="Référence croisé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Fichefinanciretitre">
    <w:name w:val="Fiche financière titre"/>
    <w:basedOn w:val="Normal"/>
    <w:next w:val="Normal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en-GB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Volume">
    <w:name w:val="Volume"/>
    <w:basedOn w:val="Normal"/>
    <w:next w:val="Confidentialit"/>
    <w:pPr>
      <w:spacing w:after="240" w:line="240" w:lineRule="auto"/>
      <w:ind w:left="5103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Typeacteprincipal">
    <w:name w:val="Type acte principal"/>
    <w:basedOn w:val="Normal"/>
    <w:next w:val="Objetacteprincip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Objetacteprincipal">
    <w:name w:val="Objet acte principal"/>
    <w:basedOn w:val="Normal"/>
    <w:next w:val="Titrearticle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Accompagnant">
    <w:name w:val="Accompagnant"/>
    <w:basedOn w:val="Normal"/>
    <w:next w:val="Typeacteprincip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lang w:eastAsia="en-GB"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 w:line="240" w:lineRule="auto"/>
      <w:jc w:val="center"/>
    </w:pPr>
    <w:rPr>
      <w:rFonts w:ascii="Times New Roman" w:eastAsia="Times New Roman" w:hAnsi="Times New Roman" w:cs="Times New Roman"/>
      <w:sz w:val="24"/>
      <w:lang w:eastAsia="en-GB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Marker1">
    <w:name w:val="Marker1"/>
    <w:rPr>
      <w:color w:val="008000"/>
    </w:rPr>
  </w:style>
  <w:style w:type="character" w:customStyle="1" w:styleId="Marker2">
    <w:name w:val="Marker2"/>
    <w:rPr>
      <w:color w:val="FF0000"/>
    </w:rPr>
  </w:style>
  <w:style w:type="character" w:customStyle="1" w:styleId="Added">
    <w:name w:val="Added"/>
    <w:rPr>
      <w:b/>
      <w:bCs w:val="0"/>
      <w:u w:val="single"/>
    </w:rPr>
  </w:style>
  <w:style w:type="character" w:customStyle="1" w:styleId="Deleted">
    <w:name w:val="Deleted"/>
    <w:rPr>
      <w:strike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ADE4-EF3E-4D31-A571-E2F7B8E9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4781</Words>
  <Characters>18885</Characters>
  <Application>Microsoft Office Word</Application>
  <DocSecurity>0</DocSecurity>
  <Lines>2360</Lines>
  <Paragraphs>1972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WES PDFC Administrator</cp:lastModifiedBy>
  <cp:revision>18</cp:revision>
  <dcterms:created xsi:type="dcterms:W3CDTF">2019-09-06T14:19:00Z</dcterms:created>
  <dcterms:modified xsi:type="dcterms:W3CDTF">2019-10-08T08:29:00Z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CP-010</vt:lpwstr>
  </property>
  <property fmtid="{D5CDD505-2E9C-101B-9397-08002B2CF9AE}" pid="7" name="Last edited using">
    <vt:lpwstr>LW 7.0, Build 20190717</vt:lpwstr>
  </property>
  <property fmtid="{D5CDD505-2E9C-101B-9397-08002B2CF9AE}" pid="8" name="Created using">
    <vt:lpwstr>LW 7.0, Build 20190717</vt:lpwstr>
  </property>
</Properties>
</file>