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A9633D-EC1C-406E-AFB8-70593BAED4AC" style="width:450.75pt;height:40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La proposition inclut:</w:t>
      </w:r>
    </w:p>
    <w:p>
      <w:pPr>
        <w:spacing w:before="0"/>
        <w:rPr>
          <w:rFonts w:eastAsia="Arial Unicode MS"/>
          <w:noProof/>
        </w:rPr>
      </w:pPr>
      <w:r>
        <w:rPr>
          <w:noProof/>
        </w:rPr>
        <w:t>–</w:t>
      </w:r>
      <w:r>
        <w:rPr>
          <w:noProof/>
        </w:rPr>
        <w:tab/>
        <w:t>le plafond annuel des contributions pour l’exercice 2021;</w:t>
      </w:r>
    </w:p>
    <w:p>
      <w:pPr>
        <w:spacing w:before="0"/>
        <w:rPr>
          <w:rFonts w:eastAsia="Arial Unicode MS"/>
          <w:noProof/>
        </w:rPr>
      </w:pPr>
      <w:r>
        <w:rPr>
          <w:noProof/>
        </w:rPr>
        <w:t>–</w:t>
      </w:r>
      <w:r>
        <w:rPr>
          <w:noProof/>
        </w:rPr>
        <w:tab/>
        <w:t>le plafond annuel des contributions pour l’exercice 2020;</w:t>
      </w:r>
    </w:p>
    <w:p>
      <w:pPr>
        <w:spacing w:before="0"/>
        <w:rPr>
          <w:rFonts w:eastAsia="Arial Unicode MS"/>
          <w:noProof/>
        </w:rPr>
      </w:pPr>
      <w:r>
        <w:rPr>
          <w:noProof/>
        </w:rPr>
        <w:t>–</w:t>
      </w:r>
      <w:r>
        <w:rPr>
          <w:noProof/>
        </w:rPr>
        <w:tab/>
        <w:t>le montant de la première tranche des contributions pour l’exercice 2020;</w:t>
      </w:r>
    </w:p>
    <w:p>
      <w:pPr>
        <w:spacing w:before="0"/>
        <w:rPr>
          <w:rFonts w:eastAsia="Arial Unicode MS"/>
          <w:noProof/>
        </w:rPr>
      </w:pPr>
      <w:r>
        <w:rPr>
          <w:noProof/>
        </w:rPr>
        <w:t>–</w:t>
      </w:r>
      <w:r>
        <w:rPr>
          <w:noProof/>
        </w:rPr>
        <w:tab/>
        <w:t>des prévisions non contraignantes concernant le montant annuel des contributions escompté pour les exercices 2022 et 2023.</w:t>
      </w:r>
    </w:p>
    <w:p>
      <w:pPr>
        <w:spacing w:before="0" w:after="240"/>
        <w:rPr>
          <w:rFonts w:eastAsia="Arial Unicode MS"/>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spacing w:before="0" w:after="240"/>
        <w:rPr>
          <w:rFonts w:eastAsia="Arial Unicode MS"/>
          <w:noProof/>
        </w:rPr>
      </w:pPr>
      <w:r>
        <w:rPr>
          <w:noProof/>
        </w:rPr>
        <w:t>l'accord de partenariat actuel entre les membres du groupe des États d'Afrique, des Caraïbes et du Pacifique, d'une part, et la Communauté européenne et ses États membres, d'autre part (ci-après l'«accord de partenariat ACP-UE»), tel que modifié en dernier lieu</w:t>
      </w:r>
      <w:r>
        <w:rPr>
          <w:rStyle w:val="FootnoteReference"/>
          <w:noProof/>
        </w:rPr>
        <w:footnoteReference w:id="1"/>
      </w:r>
      <w:r>
        <w:rPr>
          <w:noProof/>
        </w:rPr>
        <w:t>;</w:t>
      </w:r>
    </w:p>
    <w:p>
      <w:pP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(ci-après l'«accord interne relatif au 11</w:t>
      </w:r>
      <w:r>
        <w:rPr>
          <w:noProof/>
          <w:vertAlign w:val="superscript"/>
        </w:rPr>
        <w:t>e</w:t>
      </w:r>
      <w:r>
        <w:rPr>
          <w:noProof/>
        </w:rPr>
        <w:t> FED»);</w:t>
      </w:r>
    </w:p>
    <w:p>
      <w:pPr>
        <w:spacing w:before="0" w:after="240"/>
        <w:rPr>
          <w:rFonts w:eastAsia="Arial Unicode MS"/>
          <w:noProof/>
        </w:rPr>
      </w:pPr>
      <w:r>
        <w:rPr>
          <w:noProof/>
        </w:rPr>
        <w:t>le règlement (UE) 2018/1877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(ci-après le «règlement financier applicable au 11</w:t>
      </w:r>
      <w:r>
        <w:rPr>
          <w:noProof/>
          <w:vertAlign w:val="superscript"/>
        </w:rPr>
        <w:t>e</w:t>
      </w:r>
      <w:r>
        <w:rPr>
          <w:noProof/>
        </w:rPr>
        <w:t xml:space="preserve"> FED»);</w:t>
      </w:r>
    </w:p>
    <w:p>
      <w:pP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du conseil technique qui reflètent la mise en œuvre des engagements financiers décidés au préalable. </w:t>
      </w:r>
    </w:p>
    <w:p>
      <w:pP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spacing w:before="0" w:after="240"/>
        <w:rPr>
          <w:rFonts w:eastAsia="Arial Unicode MS"/>
          <w:noProof/>
        </w:rPr>
      </w:pPr>
      <w:r>
        <w:rPr>
          <w:noProof/>
        </w:rPr>
        <w:t>Conformément à l’article 19, paragraphe 7, du règlement financier applicable au 11</w:t>
      </w:r>
      <w:r>
        <w:rPr>
          <w:noProof/>
          <w:vertAlign w:val="superscript"/>
        </w:rPr>
        <w:t xml:space="preserve">e </w:t>
      </w:r>
      <w:r>
        <w:rPr>
          <w:noProof/>
        </w:rPr>
        <w:t>FED, le montant dont la Commission européenne assure la gestion et celui dont la Banque européenne d'investissement (BEI) assure la gestion sont précisés séparément.</w:t>
      </w:r>
    </w:p>
    <w:p>
      <w:pPr>
        <w:spacing w:before="0" w:after="240"/>
        <w:rPr>
          <w:rFonts w:eastAsia="Arial Unicode MS"/>
          <w:noProof/>
        </w:rPr>
      </w:pPr>
      <w:r>
        <w:rPr>
          <w:noProof/>
        </w:rPr>
        <w:lastRenderedPageBreak/>
        <w:t>Conformément à l'article 46 du règlement financier applicable au 11</w:t>
      </w:r>
      <w:r>
        <w:rPr>
          <w:noProof/>
          <w:vertAlign w:val="superscript"/>
        </w:rPr>
        <w:t>e</w:t>
      </w:r>
      <w:r>
        <w:rPr>
          <w:noProof/>
        </w:rPr>
        <w:t xml:space="preserve"> FED, la BEI a communiqué à la Commission européenne ses prévisions actualisées des engagements et des paiements pour les instruments dont elle assure la gestion.</w:t>
      </w:r>
    </w:p>
    <w:p>
      <w:pPr>
        <w:spacing w:before="0" w:after="240"/>
        <w:rPr>
          <w:rFonts w:eastAsia="Arial Unicode MS"/>
          <w:noProof/>
        </w:rPr>
      </w:pPr>
      <w:r>
        <w:rPr>
          <w:noProof/>
        </w:rPr>
        <w:t>Conformément à l’article 20, paragraphe 1, du règlement financier applicable au 11</w:t>
      </w:r>
      <w:r>
        <w:rPr>
          <w:noProof/>
          <w:vertAlign w:val="superscript"/>
        </w:rPr>
        <w:t>e</w:t>
      </w:r>
      <w:r>
        <w:rPr>
          <w:noProof/>
        </w:rPr>
        <w:t> FED, les appels à contributions utilisent d'abord les montants prévus dans les FED antérieurs, l’un après l’autre. Les appels à contributions qui font l’objet de la présente proposition concernent donc les montants au titre du 10</w:t>
      </w:r>
      <w:r>
        <w:rPr>
          <w:noProof/>
          <w:vertAlign w:val="superscript"/>
        </w:rPr>
        <w:t>e</w:t>
      </w:r>
      <w:r>
        <w:rPr>
          <w:noProof/>
        </w:rPr>
        <w:t xml:space="preserve"> FED pour la BEI et les montants du 11</w:t>
      </w:r>
      <w:r>
        <w:rPr>
          <w:noProof/>
          <w:vertAlign w:val="superscript"/>
        </w:rPr>
        <w:t>e</w:t>
      </w:r>
      <w:r>
        <w:rPr>
          <w:noProof/>
        </w:rPr>
        <w:t> FED pour la Commission européenne.</w:t>
      </w:r>
    </w:p>
    <w:p>
      <w:pPr>
        <w:spacing w:before="0" w:after="240"/>
        <w:rPr>
          <w:rFonts w:eastAsia="Arial Unicode MS"/>
          <w:noProof/>
        </w:rPr>
      </w:pPr>
      <w:r>
        <w:rPr>
          <w:noProof/>
        </w:rPr>
        <w:t>Conformément à l’article 19, paragraphe 2, du règlement financier applicable au 11</w:t>
      </w:r>
      <w:r>
        <w:rPr>
          <w:noProof/>
          <w:vertAlign w:val="superscript"/>
        </w:rPr>
        <w:t>e</w:t>
      </w:r>
      <w:r>
        <w:rPr>
          <w:noProof/>
        </w:rPr>
        <w:t> FED, le Conseil doit se prononcer sur la présente proposition au plus tard le 15 novembre.</w:t>
      </w:r>
    </w:p>
    <w:p>
      <w:pPr>
        <w:spacing w:before="0" w:after="240"/>
        <w:rPr>
          <w:rFonts w:eastAsia="Arial Unicode MS"/>
          <w:noProof/>
        </w:rPr>
      </w:pPr>
      <w:r>
        <w:rPr>
          <w:noProof/>
        </w:rPr>
        <w:t>L’article 21,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versée, selon les modalités définies dans le même article.</w:t>
      </w:r>
    </w:p>
    <w:p>
      <w:pP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le plafond pour l'exercice 2021, le montant annuel pour l'exercice 2020, la première tranche pour l'exercice 2020 et des prévisions indicatives et non contraignantes concernant le montant annuel des contributions escompté pour les exercices 2022 et 2023</w:t>
      </w:r>
      <w:r>
        <w:rPr>
          <w:noProof/>
        </w:rPr>
        <w:br/>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4"/>
      </w:r>
      <w:r>
        <w:rPr>
          <w:noProof/>
        </w:rPr>
        <w:t xml:space="preserve"> (ci‑après l'«accord interne»), et notamment son article 7,</w:t>
      </w:r>
    </w:p>
    <w:p>
      <w:pPr>
        <w:rPr>
          <w:noProof/>
        </w:rPr>
      </w:pPr>
      <w:r>
        <w:rPr>
          <w:noProof/>
        </w:rPr>
        <w:t>vu le règlement (UE) 2018/1877 du Conseil du 26 novembre 2018 portant règlement financier applicable au 11</w:t>
      </w:r>
      <w:r>
        <w:rPr>
          <w:noProof/>
          <w:vertAlign w:val="superscript"/>
        </w:rPr>
        <w:t>e</w:t>
      </w:r>
      <w:r>
        <w:rPr>
          <w:noProof/>
        </w:rPr>
        <w:t xml:space="preserve"> Fonds européen de développement (ci-après le «règlement financier applicable au 11</w:t>
      </w:r>
      <w:r>
        <w:rPr>
          <w:noProof/>
          <w:vertAlign w:val="superscript"/>
        </w:rPr>
        <w:t>e</w:t>
      </w:r>
      <w:r>
        <w:rPr>
          <w:noProof/>
        </w:rPr>
        <w:t xml:space="preserve"> FED»)</w:t>
      </w:r>
      <w:r>
        <w:rPr>
          <w:rStyle w:val="FootnoteReference"/>
          <w:noProof/>
        </w:rPr>
        <w:footnoteReference w:id="5"/>
      </w:r>
      <w:r>
        <w:rPr>
          <w:noProof/>
        </w:rPr>
        <w:t>, et notamment son article 19, paragraphe 2,</w:t>
      </w:r>
    </w:p>
    <w:p>
      <w:pPr>
        <w:rPr>
          <w:noProof/>
        </w:rPr>
      </w:pPr>
      <w:r>
        <w:rPr>
          <w:noProof/>
        </w:rPr>
        <w:t>vu la proposition de la Commission européenne,</w:t>
      </w:r>
    </w:p>
    <w:p>
      <w:pPr>
        <w:rPr>
          <w:noProof/>
        </w:rPr>
      </w:pPr>
      <w:r>
        <w:rPr>
          <w:noProof/>
        </w:rPr>
        <w:t>considérant ce qui suit:</w:t>
      </w:r>
    </w:p>
    <w:p>
      <w:pPr>
        <w:pStyle w:val="ManualConsidrant"/>
        <w:rPr>
          <w:rFonts w:eastAsia="Calibri"/>
          <w:noProof/>
        </w:rPr>
      </w:pPr>
      <w:r>
        <w:t>(1)</w:t>
      </w:r>
      <w:r>
        <w:tab/>
      </w:r>
      <w:r>
        <w:rPr>
          <w:noProof/>
        </w:rPr>
        <w:t>Conformément à la procédure visée aux articles 19 à 22 du règlement financier applicable au 11</w:t>
      </w:r>
      <w:r>
        <w:rPr>
          <w:noProof/>
          <w:vertAlign w:val="superscript"/>
        </w:rPr>
        <w:t>e</w:t>
      </w:r>
      <w:r>
        <w:rPr>
          <w:noProof/>
        </w:rPr>
        <w:t> FED, et compte tenu de la proposition de budgétisation du FED selon la proposition de la Commission pour l’instrument de financement extérieur post-2020, la Commission européenne doit présenter, d'ici au 15 octobre 2019, une proposition précisant: a) le plafond de la contribution pour l’exercice 2021; b) le montant annuel de la contribution pour l’exercice 2020; c) le montant de la première tranche des contributions pour l’exercice 2020; et d) des prévisions indicatives et non contraignantes concernant le montant annuel des contributions escompté pour les exercices 2022 et 2023.</w:t>
      </w:r>
    </w:p>
    <w:p>
      <w:pPr>
        <w:pStyle w:val="ManualConsidrant"/>
        <w:rPr>
          <w:noProof/>
        </w:rPr>
      </w:pPr>
      <w:r>
        <w:t>(2)</w:t>
      </w:r>
      <w:r>
        <w:tab/>
      </w:r>
      <w:r>
        <w:rPr>
          <w:noProof/>
        </w:rPr>
        <w:t>Conformément à l'article 46 du règlement financier applicable au 11</w:t>
      </w:r>
      <w:r>
        <w:rPr>
          <w:noProof/>
          <w:vertAlign w:val="superscript"/>
        </w:rPr>
        <w:t>e</w:t>
      </w:r>
      <w:r>
        <w:rPr>
          <w:noProof/>
        </w:rPr>
        <w:t> FED, la Banque européenne d'investissement (BEI) a communiqué à la Commission européenne ses prévisions actualisées des engagements et des paiements pour les instruments dont elle assure la gestion.</w:t>
      </w:r>
    </w:p>
    <w:p>
      <w:pPr>
        <w:pStyle w:val="ManualConsidrant"/>
        <w:rPr>
          <w:noProof/>
        </w:rPr>
      </w:pPr>
      <w:r>
        <w:t>(3)</w:t>
      </w:r>
      <w:r>
        <w:tab/>
      </w:r>
      <w:r>
        <w:rPr>
          <w:noProof/>
        </w:rPr>
        <w:t>L'article 20, paragraphe 1, du règlement financier applicable au 11</w:t>
      </w:r>
      <w:r>
        <w:rPr>
          <w:noProof/>
          <w:vertAlign w:val="superscript"/>
        </w:rPr>
        <w:t>e</w:t>
      </w:r>
      <w:r>
        <w:rPr>
          <w:noProof/>
        </w:rPr>
        <w:t xml:space="preserve"> FED dispose que les appels à contributions utilisent d'abord les montants prévus dans les FED </w:t>
      </w:r>
      <w:r>
        <w:rPr>
          <w:noProof/>
        </w:rPr>
        <w:lastRenderedPageBreak/>
        <w:t>antérieurs. Il convient, par conséquent, de lancer un appel de fonds au titre du 10</w:t>
      </w:r>
      <w:r>
        <w:rPr>
          <w:noProof/>
          <w:vertAlign w:val="superscript"/>
        </w:rPr>
        <w:t>e</w:t>
      </w:r>
      <w:r>
        <w:rPr>
          <w:noProof/>
        </w:rPr>
        <w:t> FED pour la BEI et du 11</w:t>
      </w:r>
      <w:r>
        <w:rPr>
          <w:noProof/>
          <w:vertAlign w:val="superscript"/>
        </w:rPr>
        <w:t>e</w:t>
      </w:r>
      <w:r>
        <w:rPr>
          <w:noProof/>
        </w:rPr>
        <w:t> FED pour la Commission.</w:t>
      </w:r>
    </w:p>
    <w:p>
      <w:pPr>
        <w:pStyle w:val="ManualConsidrant"/>
        <w:rPr>
          <w:noProof/>
        </w:rPr>
      </w:pPr>
      <w:r>
        <w:t>(4)</w:t>
      </w:r>
      <w:r>
        <w:tab/>
      </w:r>
      <w:r>
        <w:rPr>
          <w:noProof/>
        </w:rPr>
        <w:t>Par la décision (UE) 2019/1093</w:t>
      </w:r>
      <w:r>
        <w:rPr>
          <w:rStyle w:val="FootnoteReference"/>
          <w:noProof/>
        </w:rPr>
        <w:footnoteReference w:id="6"/>
      </w:r>
      <w:r>
        <w:rPr>
          <w:noProof/>
        </w:rPr>
        <w:t>, le Conseil a adopté, le 26 juin 2019, sur proposition de la Commission européenne, la décision de fixer le montant annuel des contributions des États membres au FED pour l’exercice 2020 à 4 400 000 000 EUR pour la Commission européenne, et à 300 000 000 EUR pour la Banque européenne d’investissement,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plafond du montant annuel des contributions des États membres au FED pour l’exercice 2021 est fixé à 4 000 000 000 EUR. Il est réparti entre la Commission, à hauteur de 3 700 000 000 EUR, et la BEI, à hauteur de 300 000 000 EUR.</w:t>
      </w:r>
    </w:p>
    <w:p>
      <w:pPr>
        <w:spacing w:before="360"/>
        <w:jc w:val="center"/>
        <w:rPr>
          <w:rFonts w:eastAsia="Calibri"/>
          <w:i/>
          <w:noProof/>
        </w:rPr>
      </w:pPr>
      <w:r>
        <w:rPr>
          <w:i/>
          <w:noProof/>
        </w:rPr>
        <w:t>Article 2</w:t>
      </w:r>
    </w:p>
    <w:p>
      <w:pPr>
        <w:keepLines/>
        <w:rPr>
          <w:rFonts w:eastAsia="Calibri"/>
          <w:noProof/>
        </w:rPr>
      </w:pPr>
      <w:r>
        <w:rPr>
          <w:noProof/>
        </w:rPr>
        <w:t>Le montant annuel des contributions des États membres au FED pour l’exercice 2020 est fixé à 4 700 000 000 EUR. Il est réparti entre la Commission à hauteur de 4 400 000 000 EUR et la BEI à hauteur de 300 000 000 EUR.</w:t>
      </w:r>
    </w:p>
    <w:p>
      <w:pPr>
        <w:spacing w:before="360"/>
        <w:jc w:val="center"/>
        <w:rPr>
          <w:rFonts w:eastAsia="Calibri"/>
          <w:i/>
          <w:noProof/>
        </w:rPr>
      </w:pPr>
      <w:r>
        <w:rPr>
          <w:i/>
          <w:noProof/>
        </w:rPr>
        <w:t>Article 3</w:t>
      </w:r>
    </w:p>
    <w:p>
      <w:pPr>
        <w:keepNext/>
        <w:keepLines/>
        <w:rPr>
          <w:rFonts w:eastAsia="Calibri"/>
          <w:noProof/>
        </w:rPr>
      </w:pPr>
      <w:r>
        <w:rPr>
          <w:noProof/>
        </w:rPr>
        <w:t>Les contributions individuelles au Fonds européen de développement à verser par les États membres à la Commission européenne et à la Banque européenne d'investissement au titre de la première tranche pour l’exercice 2020 sont indiquées dans le tableau figurant à l'annexe de la présente décision.</w:t>
      </w:r>
    </w:p>
    <w:p>
      <w:pPr>
        <w:spacing w:before="360"/>
        <w:jc w:val="center"/>
        <w:rPr>
          <w:rFonts w:eastAsia="Calibri"/>
          <w:i/>
          <w:noProof/>
        </w:rPr>
      </w:pPr>
      <w:r>
        <w:rPr>
          <w:i/>
          <w:noProof/>
        </w:rPr>
        <w:t>Article 4</w:t>
      </w:r>
    </w:p>
    <w:p>
      <w:pPr>
        <w:keepNext/>
        <w:keepLines/>
        <w:rPr>
          <w:rFonts w:eastAsia="Calibri"/>
          <w:noProof/>
        </w:rPr>
      </w:pPr>
      <w:r>
        <w:rPr>
          <w:noProof/>
        </w:rPr>
        <w:t>Les prévisions indicatives non contraignantes concernant le montant annuel des contributions escompté pour l’exercice 2022 sont fixées à 2 700 000 000 EUR pour la Commission et à 300 000 000 EUR pour la BEI, et, pour l’exercice 2023, à 2 000 000 000 EUR pour la Commission et à 100 000 000 EUR pour la BEI.</w:t>
      </w:r>
    </w:p>
    <w:p>
      <w:pPr>
        <w:pStyle w:val="Titrearticle"/>
        <w:keepNext w:val="0"/>
        <w:rPr>
          <w:noProof/>
        </w:rPr>
      </w:pPr>
      <w:r>
        <w:rPr>
          <w:noProof/>
        </w:rPr>
        <w:t>Article 5</w:t>
      </w:r>
    </w:p>
    <w:p>
      <w:pPr>
        <w:keepLines/>
        <w:rPr>
          <w:noProof/>
        </w:rPr>
      </w:pPr>
      <w:r>
        <w:rPr>
          <w:noProof/>
        </w:rPr>
        <w:t>La présente décision entre en vigueur le jour de son adoption.</w:t>
      </w:r>
    </w:p>
    <w:p>
      <w:pPr>
        <w:pStyle w:val="Titrearticle"/>
        <w:rPr>
          <w:noProof/>
        </w:rPr>
      </w:pPr>
      <w:r>
        <w:rPr>
          <w:noProof/>
        </w:rPr>
        <w:t>Article 6</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317 du 15.12.2000, p. 3.</w:t>
      </w:r>
    </w:p>
  </w:footnote>
  <w:footnote w:id="2">
    <w:p>
      <w:pPr>
        <w:pStyle w:val="FootnoteText"/>
        <w:rPr>
          <w:lang w:val="fr-BE"/>
        </w:rPr>
      </w:pPr>
      <w:r>
        <w:rPr>
          <w:rStyle w:val="FootnoteReference"/>
        </w:rPr>
        <w:footnoteRef/>
      </w:r>
      <w:r>
        <w:rPr>
          <w:lang w:val="fr-BE"/>
        </w:rPr>
        <w:tab/>
        <w:t>JO L 210 du 6.8.2013, p. 1.</w:t>
      </w:r>
    </w:p>
  </w:footnote>
  <w:footnote w:id="3">
    <w:p>
      <w:pPr>
        <w:pStyle w:val="FootnoteText"/>
        <w:rPr>
          <w:lang w:val="fr-BE"/>
        </w:rPr>
      </w:pPr>
      <w:r>
        <w:rPr>
          <w:rStyle w:val="FootnoteReference"/>
        </w:rPr>
        <w:footnoteRef/>
      </w:r>
      <w:r>
        <w:rPr>
          <w:lang w:val="fr-BE"/>
        </w:rPr>
        <w:tab/>
        <w:t>JO 307 du 3.12.2018, p. 1.</w:t>
      </w:r>
    </w:p>
  </w:footnote>
  <w:footnote w:id="4">
    <w:p>
      <w:pPr>
        <w:pStyle w:val="FootnoteText"/>
        <w:rPr>
          <w:lang w:val="fr-BE"/>
        </w:rPr>
      </w:pPr>
      <w:r>
        <w:rPr>
          <w:rStyle w:val="FootnoteReference"/>
        </w:rPr>
        <w:footnoteRef/>
      </w:r>
      <w:r>
        <w:rPr>
          <w:lang w:val="fr-BE"/>
        </w:rPr>
        <w:tab/>
        <w:t>JO L 210 du 6.8.2013, p. 1.</w:t>
      </w:r>
    </w:p>
  </w:footnote>
  <w:footnote w:id="5">
    <w:p>
      <w:pPr>
        <w:pStyle w:val="FootnoteText"/>
        <w:rPr>
          <w:lang w:val="fr-BE"/>
        </w:rPr>
      </w:pPr>
      <w:r>
        <w:rPr>
          <w:rStyle w:val="FootnoteReference"/>
        </w:rPr>
        <w:footnoteRef/>
      </w:r>
      <w:r>
        <w:rPr>
          <w:lang w:val="fr-BE"/>
        </w:rPr>
        <w:tab/>
        <w:t>JO L 307 du 3.12.2018, p. 7.</w:t>
      </w:r>
    </w:p>
  </w:footnote>
  <w:footnote w:id="6">
    <w:p>
      <w:pPr>
        <w:pStyle w:val="FootnoteText"/>
        <w:rPr>
          <w:lang w:val="fr-BE"/>
        </w:rPr>
      </w:pPr>
      <w:r>
        <w:rPr>
          <w:rStyle w:val="FootnoteReference"/>
        </w:rPr>
        <w:footnoteRef/>
      </w:r>
      <w:r>
        <w:rPr>
          <w:lang w:val="fr-BE"/>
        </w:rPr>
        <w:tab/>
        <w:t>JO 173 du 27.6.2019, p.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CA9F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B2C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AB69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6679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12D3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2411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928A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A7631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8 12:46: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A9633D-EC1C-406E-AFB8-70593BAED4AC"/>
    <w:docVar w:name="LW_COVERPAGE_TYPE" w:val="1"/>
    <w:docVar w:name="LW_CROSSREFERENCE" w:val="&lt;UNUSED&gt;"/>
    <w:docVar w:name="LW_DocType" w:val="COM"/>
    <w:docVar w:name="LW_EMISSION" w:val="10.10.2019"/>
    <w:docVar w:name="LW_EMISSION_ISODATE" w:val="2019-10-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0"/>
    <w:docVar w:name="LW_REF.II.NEW.CP_YEAR" w:val="2019"/>
    <w:docVar w:name="LW_REF.INST.NEW" w:val="COM"/>
    <w:docVar w:name="LW_REF.INST.NEW_ADOPTED" w:val="final"/>
    <w:docVar w:name="LW_REF.INST.NEW_TEXT" w:val="(2019)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e plafond pour l'exercice 2021, le montant annuel pour l'exercice 2020, la première tranche pour l'exercice 2020 et des prévisions indicatives et non contraignantes concernant le montant annuel des contributions escompté pour les exercices 2022 et 2023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1242</Words>
  <Characters>6749</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2019-09-18T15:26:00Z</dcterms:created>
  <dcterms:modified xsi:type="dcterms:W3CDTF">2019-10-08T10:46:00Z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