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3B0DF7C-3C24-47EC-996A-BD0C5BB9A8B4" style="width:450.75pt;height:393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u w:color="000000"/>
          <w:bdr w:val="nil"/>
        </w:rPr>
        <w:t>•</w:t>
      </w:r>
      <w:r>
        <w:rPr>
          <w:noProof/>
          <w:u w:color="000000"/>
          <w:bdr w:val="nil"/>
        </w:rPr>
        <w:tab/>
      </w:r>
      <w:r>
        <w:rPr>
          <w:noProof/>
        </w:rPr>
        <w:t>Основания за предложението и негови цели</w:t>
      </w:r>
    </w:p>
    <w:p>
      <w:pPr>
        <w:pBdr>
          <w:top w:val="nil"/>
          <w:left w:val="nil"/>
          <w:bottom w:val="nil"/>
          <w:right w:val="nil"/>
          <w:between w:val="nil"/>
          <w:bar w:val="nil"/>
        </w:pBdr>
        <w:spacing w:before="0" w:after="240"/>
        <w:rPr>
          <w:noProof/>
        </w:rPr>
      </w:pPr>
      <w:r>
        <w:rPr>
          <w:noProof/>
        </w:rPr>
        <w:t>Предложението се отнася до:</w:t>
      </w:r>
    </w:p>
    <w:p>
      <w:pPr>
        <w:spacing w:before="0"/>
        <w:rPr>
          <w:rFonts w:eastAsia="Arial Unicode MS"/>
          <w:noProof/>
        </w:rPr>
      </w:pPr>
      <w:r>
        <w:rPr>
          <w:noProof/>
        </w:rPr>
        <w:t>–</w:t>
      </w:r>
      <w:r>
        <w:rPr>
          <w:noProof/>
        </w:rPr>
        <w:tab/>
        <w:t>горната граница на вноските за 2021 г.;</w:t>
      </w:r>
    </w:p>
    <w:p>
      <w:pPr>
        <w:spacing w:before="0"/>
        <w:rPr>
          <w:rFonts w:eastAsia="Arial Unicode MS"/>
          <w:noProof/>
        </w:rPr>
      </w:pPr>
      <w:r>
        <w:rPr>
          <w:noProof/>
        </w:rPr>
        <w:t>–</w:t>
      </w:r>
      <w:r>
        <w:rPr>
          <w:noProof/>
        </w:rPr>
        <w:tab/>
        <w:t>годишния размер на вноските за 2020 г.;</w:t>
      </w:r>
    </w:p>
    <w:p>
      <w:pPr>
        <w:spacing w:before="0"/>
        <w:rPr>
          <w:rFonts w:eastAsia="Arial Unicode MS"/>
          <w:noProof/>
        </w:rPr>
      </w:pPr>
      <w:r>
        <w:rPr>
          <w:noProof/>
        </w:rPr>
        <w:t>–</w:t>
      </w:r>
      <w:r>
        <w:rPr>
          <w:noProof/>
        </w:rPr>
        <w:tab/>
        <w:t>размерa на първата част от вноската за 2020 г.;</w:t>
      </w:r>
    </w:p>
    <w:p>
      <w:pPr>
        <w:spacing w:before="0"/>
        <w:rPr>
          <w:rFonts w:eastAsia="Arial Unicode MS"/>
          <w:noProof/>
        </w:rPr>
      </w:pPr>
      <w:r>
        <w:rPr>
          <w:noProof/>
        </w:rPr>
        <w:t>–</w:t>
      </w:r>
      <w:r>
        <w:rPr>
          <w:noProof/>
        </w:rPr>
        <w:tab/>
        <w:t>необвързваща прогноза за очакваните годишни суми за годините 2022 и 2023.</w:t>
      </w:r>
    </w:p>
    <w:p>
      <w:pPr>
        <w:spacing w:before="0" w:after="240"/>
        <w:rPr>
          <w:rFonts w:eastAsia="Arial Unicode MS"/>
          <w:noProof/>
        </w:rPr>
      </w:pPr>
      <w:r>
        <w:rPr>
          <w:noProof/>
        </w:rPr>
        <w:t xml:space="preserve">11-ият ЕФР и другите ЕФР фондове, които все още функционират (т.е. 8-ият, 9-ият и 10-ият ЕФР), се управляват съгласно следните правила: </w:t>
      </w:r>
    </w:p>
    <w:p>
      <w:pPr>
        <w:spacing w:before="0" w:after="240"/>
        <w:rPr>
          <w:rFonts w:eastAsia="Arial Unicode MS"/>
          <w:noProof/>
        </w:rPr>
      </w:pPr>
      <w:r>
        <w:rPr>
          <w:noProof/>
        </w:rPr>
        <w:t>Действащото Споразумение за партньорство между членовете на групата държави от Африка, Карибите и Тихоокеанския басейн, от една страна, и Европейската общност и нейните държави членки, от друга страна („Споразумението за партньорство АКТБ—ЕС“), с последните му изменения</w:t>
      </w:r>
      <w:r>
        <w:rPr>
          <w:rStyle w:val="FootnoteReference"/>
          <w:noProof/>
        </w:rPr>
        <w:footnoteReference w:id="1"/>
      </w:r>
      <w:r>
        <w:rPr>
          <w:noProof/>
        </w:rPr>
        <w:t>,</w:t>
      </w:r>
    </w:p>
    <w:p>
      <w:pPr>
        <w:spacing w:before="0" w:after="240"/>
        <w:rPr>
          <w:rFonts w:eastAsia="Arial Unicode MS"/>
          <w:noProof/>
        </w:rPr>
      </w:pPr>
      <w:r>
        <w:rPr>
          <w:noProof/>
        </w:rPr>
        <w:t>Вътрешното споразумение между представителите на правителствата на държавите — членки на Европейския съюз, заседаващи в рамките на Съвета, относно финансирането на помощта от Европейския съюз съгласно многогодишната финансова рамка за периода 2014—2020 г. в съответствие със Споразумението за партньорство АКТБ—ЕС и за разпределението на финансовата помощ за отвъдморските страни и територии, за които се прилага част четвърта от Договора за функционирането на Европейския съюз</w:t>
      </w:r>
      <w:r>
        <w:rPr>
          <w:rStyle w:val="FootnoteReference"/>
          <w:noProof/>
        </w:rPr>
        <w:footnoteReference w:id="2"/>
      </w:r>
      <w:r>
        <w:rPr>
          <w:noProof/>
        </w:rPr>
        <w:t xml:space="preserve"> („Вътрешното споразумение за 11-ия ЕФР“);</w:t>
      </w:r>
    </w:p>
    <w:p>
      <w:pPr>
        <w:spacing w:before="0" w:after="240"/>
        <w:rPr>
          <w:rFonts w:eastAsia="Arial Unicode MS"/>
          <w:noProof/>
        </w:rPr>
      </w:pPr>
      <w:r>
        <w:rPr>
          <w:noProof/>
        </w:rPr>
        <w:t>Регламент (ЕС) 2018/1877 на Съвета относно финансовия регламент, приложим за 11-ия Европейски фонд за развитие</w:t>
      </w:r>
      <w:r>
        <w:rPr>
          <w:rStyle w:val="FootnoteReference"/>
          <w:noProof/>
        </w:rPr>
        <w:footnoteReference w:id="3"/>
      </w:r>
      <w:r>
        <w:rPr>
          <w:noProof/>
        </w:rPr>
        <w:t xml:space="preserve"> („Финансовият регламент за 11-ия ЕФР“).</w:t>
      </w:r>
    </w:p>
    <w:p>
      <w:pPr>
        <w:spacing w:before="0" w:after="240"/>
        <w:rPr>
          <w:rFonts w:eastAsia="Arial Unicode MS"/>
          <w:noProof/>
        </w:rPr>
      </w:pPr>
      <w:r>
        <w:rPr>
          <w:noProof/>
        </w:rPr>
        <w:t xml:space="preserve">Горепосочените документи съдържат многогодишните поети задължения от страна на държавите членки за финансова подкрепа на ЕФР. Във Финансовия регламент за 11-ия ЕФР се предвиждат редовни вноски на държавите членки за ЕФР по предварително определени финансови задължения. Редовните вноски се задействат с технически решения на Съвета, които отразяват изпълнението на поетите финансови задължения, за които вече е взето решение. </w:t>
      </w:r>
    </w:p>
    <w:p>
      <w:pPr>
        <w:spacing w:before="0" w:after="240"/>
        <w:rPr>
          <w:rFonts w:eastAsia="Arial Unicode MS"/>
          <w:noProof/>
        </w:rPr>
      </w:pPr>
      <w:r>
        <w:rPr>
          <w:noProof/>
        </w:rPr>
        <w:t>Поради това някои от позициите в обяснителния меморандум не се прилагат за поканите за редовни вноски като настоящата.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spacing w:before="0" w:after="240"/>
        <w:rPr>
          <w:rFonts w:eastAsia="Arial Unicode MS"/>
          <w:noProof/>
        </w:rPr>
      </w:pPr>
      <w:r>
        <w:rPr>
          <w:noProof/>
        </w:rPr>
        <w:t>Съгласно член 19, параграф 7 от Финансовия регламент за 11-ия ЕФР сумата, управлявана от Европейската комисия, и сумата, управлявана от Европейската инвестиционна банка (ЕИБ), се определят поотделно.</w:t>
      </w:r>
    </w:p>
    <w:p>
      <w:pPr>
        <w:spacing w:before="0" w:after="240"/>
        <w:rPr>
          <w:rFonts w:eastAsia="Arial Unicode MS"/>
          <w:noProof/>
        </w:rPr>
      </w:pPr>
      <w:r>
        <w:rPr>
          <w:noProof/>
        </w:rPr>
        <w:lastRenderedPageBreak/>
        <w:t>В съответствие с член 46 от Финансовия регламент за 11-ия ЕФР ЕИБ е изпратила на Европейската комисия актуализираните си прогнози за поетите задължения и за плащанията по инструментите, които управлява.</w:t>
      </w:r>
    </w:p>
    <w:p>
      <w:pPr>
        <w:spacing w:before="0" w:after="240"/>
        <w:rPr>
          <w:rFonts w:eastAsia="Arial Unicode MS"/>
          <w:noProof/>
        </w:rPr>
      </w:pPr>
      <w:r>
        <w:rPr>
          <w:noProof/>
        </w:rPr>
        <w:t>Съгласно член 20, параграф 1 от Финансовия регламент за 11-ия ЕФР поканите за вноски първо усвояват една след друга сумите, налични по линия на предходните ЕФР. Поради това поканите за вноски в настоящото предложение се отнасят до суми по 10-ия ЕФР за ЕИБ и суми по 11-ия ЕФР за Европейската комисия.</w:t>
      </w:r>
    </w:p>
    <w:p>
      <w:pPr>
        <w:spacing w:before="0" w:after="240"/>
        <w:rPr>
          <w:rFonts w:eastAsia="Arial Unicode MS"/>
          <w:noProof/>
        </w:rPr>
      </w:pPr>
      <w:r>
        <w:rPr>
          <w:noProof/>
        </w:rPr>
        <w:t>В съответствие с член 19, параграф 2 от Финансовия регламент за 11-ия ЕФР Съветът трябва да вземе решение по настоящото предложение до 15 ноември.</w:t>
      </w:r>
    </w:p>
    <w:p>
      <w:pPr>
        <w:spacing w:before="0" w:after="240"/>
        <w:rPr>
          <w:rFonts w:eastAsia="Arial Unicode MS"/>
          <w:noProof/>
        </w:rPr>
      </w:pPr>
      <w:r>
        <w:rPr>
          <w:noProof/>
        </w:rPr>
        <w:t>В член 21, параграф 1 от Финансовия регламент за 11-ия ЕФР се предвижда, когато държава членка не плати дължимата част от вноската до определения краен срок, от нея да бъде изискано да плати лихва върху неплатената сума. Условията за плащане на лихвата са посочени в същия член.</w:t>
      </w:r>
    </w:p>
    <w:p>
      <w:pPr>
        <w:spacing w:before="0" w:after="240"/>
        <w:rPr>
          <w:rFonts w:eastAsia="Arial Unicode MS"/>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2019/0230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финансовите вноски, които трябва да бъдат платени от държавите членки за финансиране на Европейския фонд за развитие, включително горната граница за 2021 г., годишната сума за 2020 г., първата част от вноската за 2020 г. и индикативна необвързваща прогноза за очакваните годишни размери на вноските за годините 2022 и 2023</w:t>
      </w:r>
    </w:p>
    <w:p>
      <w:pPr>
        <w:pStyle w:val="Institutionquiagit"/>
        <w:rPr>
          <w:noProof/>
        </w:rPr>
      </w:pPr>
      <w:r>
        <w:rPr>
          <w:noProof/>
        </w:rPr>
        <w:t>СЪВЕТЪТ НА ЕВРОПЕЙСКИЯ СЪЮЗ,</w:t>
      </w:r>
    </w:p>
    <w:p>
      <w:pPr>
        <w:rPr>
          <w:noProof/>
        </w:rPr>
      </w:pPr>
      <w:r>
        <w:rPr>
          <w:noProof/>
        </w:rPr>
        <w:t>като взе предвид Договора за Европейския съюз и Договора за функционирането на Европейския съюз,</w:t>
      </w:r>
    </w:p>
    <w:p>
      <w:pPr>
        <w:rPr>
          <w:noProof/>
        </w:rPr>
      </w:pPr>
      <w:r>
        <w:rPr>
          <w:noProof/>
        </w:rPr>
        <w:t>като взе предвид Вътрешното споразумение между представителите на правителствата на държавите — членки на Европейския съюз, заседаващи в рамките на Съвета, относно финансирането на помощта от Европейския съюз съгласно многогодишната финансова рамка за периода 2014—2020 г. в съответствие със Споразумението за партньорство АКТБ—ЕС и за разпределението на финансовата помощ за отвъдморските страни и територии, за които се прилага част четвърта от Договора за функционирането на Европейския съюз</w:t>
      </w:r>
      <w:r>
        <w:rPr>
          <w:rStyle w:val="FootnoteReference"/>
          <w:noProof/>
        </w:rPr>
        <w:footnoteReference w:id="4"/>
      </w:r>
      <w:r>
        <w:rPr>
          <w:noProof/>
        </w:rPr>
        <w:t xml:space="preserve"> („Вътрешното споразумение“), и по-специално член 7 от него,</w:t>
      </w:r>
    </w:p>
    <w:p>
      <w:pPr>
        <w:rPr>
          <w:noProof/>
        </w:rPr>
      </w:pPr>
      <w:r>
        <w:rPr>
          <w:noProof/>
        </w:rPr>
        <w:t>като взе предвид Регламент (ЕС) 2018/1877 на Съвета от 26 ноември 2018 г. относно финансовия регламент, приложим за 11-ия Европейски фонд за развитие („Финансовият регламент за 11-ия ЕФР“)</w:t>
      </w:r>
      <w:r>
        <w:rPr>
          <w:rStyle w:val="FootnoteReference"/>
          <w:noProof/>
        </w:rPr>
        <w:footnoteReference w:id="5"/>
      </w:r>
      <w:r>
        <w:rPr>
          <w:noProof/>
        </w:rPr>
        <w:t>, и по-специално член 19, параграф 2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rFonts w:eastAsia="Calibri"/>
          <w:noProof/>
        </w:rPr>
      </w:pPr>
      <w:r>
        <w:t>(1)</w:t>
      </w:r>
      <w:r>
        <w:tab/>
      </w:r>
      <w:r>
        <w:rPr>
          <w:noProof/>
        </w:rPr>
        <w:t>В съответствие с процедурата, предвидена в членове 19—22 от Финансовия регламент за 11-ия ЕФР, и като се вземе предвид предложение за включването на ЕФР в бюджета съгласно предложението на Комисията за инструмента за външно финансиране за периода след 2020 г. Европейската комисия трябва да представи до 15 октомври 2019 г. предложение, в което се посочват: а) горната граница на вноската за 2021 г.; б) годишният размер на вноската за 2020 г.; в) размерът на първата част от вноската за 2020 г.; и г) индикативна необвързваща прогноза за очакваните годишни размери на вноските за годините 2022—2023.</w:t>
      </w:r>
    </w:p>
    <w:p>
      <w:pPr>
        <w:pStyle w:val="ManualConsidrant"/>
        <w:rPr>
          <w:noProof/>
        </w:rPr>
      </w:pPr>
      <w:r>
        <w:t>(2)</w:t>
      </w:r>
      <w:r>
        <w:tab/>
      </w:r>
      <w:r>
        <w:rPr>
          <w:noProof/>
        </w:rPr>
        <w:t>В съответствие с член 46 от Финансовия регламент за 11-ия ЕФР Европейската инвестиционна банка (ЕИБ) изпрати на Европейската комисия актуализираните си прогнози за поетите задължения и за плащанията по инструментите, които управлява.</w:t>
      </w:r>
    </w:p>
    <w:p>
      <w:pPr>
        <w:pStyle w:val="ManualConsidrant"/>
        <w:rPr>
          <w:noProof/>
        </w:rPr>
      </w:pPr>
      <w:r>
        <w:t>(3)</w:t>
      </w:r>
      <w:r>
        <w:tab/>
      </w:r>
      <w:r>
        <w:rPr>
          <w:noProof/>
        </w:rPr>
        <w:t xml:space="preserve">В член 20, параграф 1 от Финансовия регламент за 11-ия ЕФР се предвижда, че поканите за вноски първо усвояват сумите, предвидени за предходни ЕФР. </w:t>
      </w:r>
      <w:r>
        <w:rPr>
          <w:noProof/>
        </w:rPr>
        <w:lastRenderedPageBreak/>
        <w:t>Поради това следва да се отправи покана за внасяне на средства по 10-ия ЕФР за ЕИБ и по 11-ия ЕФР за Комисията.</w:t>
      </w:r>
    </w:p>
    <w:p>
      <w:pPr>
        <w:pStyle w:val="ManualConsidrant"/>
        <w:rPr>
          <w:noProof/>
        </w:rPr>
      </w:pPr>
      <w:r>
        <w:t>(4)</w:t>
      </w:r>
      <w:r>
        <w:tab/>
      </w:r>
      <w:r>
        <w:rPr>
          <w:noProof/>
        </w:rPr>
        <w:t>По предложение на Европейската комисия Съветът прие на 26 юни 2019 г. Решение (ЕС) 2019/1093</w:t>
      </w:r>
      <w:r>
        <w:rPr>
          <w:rStyle w:val="FootnoteReference"/>
          <w:noProof/>
        </w:rPr>
        <w:footnoteReference w:id="6"/>
      </w:r>
      <w:r>
        <w:rPr>
          <w:noProof/>
        </w:rPr>
        <w:t>, с което определи годишния размер на вноските на държавите членки за ЕФР за 2020 г. на 4 400 000 000 EUR за Европейската комисия и на 300 000 000 EUR за Европейската инвестиционна банка,</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Горната граница на годишния размер на вноските на държавите членки за ЕФР за 2021 г. възлиза на 4 000 000 000 EUR. Тя се разделя на 3 700 000 000 EUR за Комисията и на 300 000 000 EUR за ЕИБ.</w:t>
      </w:r>
    </w:p>
    <w:p>
      <w:pPr>
        <w:spacing w:before="360"/>
        <w:jc w:val="center"/>
        <w:rPr>
          <w:rFonts w:eastAsia="Calibri"/>
          <w:i/>
          <w:noProof/>
        </w:rPr>
      </w:pPr>
      <w:r>
        <w:rPr>
          <w:i/>
          <w:noProof/>
        </w:rPr>
        <w:t>Член 2</w:t>
      </w:r>
    </w:p>
    <w:p>
      <w:pPr>
        <w:keepLines/>
        <w:rPr>
          <w:rFonts w:eastAsia="Calibri"/>
          <w:noProof/>
        </w:rPr>
      </w:pPr>
      <w:r>
        <w:rPr>
          <w:noProof/>
        </w:rPr>
        <w:t>Годишният размер на вноските на държавите членки за ЕФР за 2020 г. възлиза на 4 700 000 000 EUR. Той се разделя на 4 400 000 000 EUR за Комисията и 300 000 000 EUR за ЕИБ.</w:t>
      </w:r>
    </w:p>
    <w:p>
      <w:pPr>
        <w:spacing w:before="360"/>
        <w:jc w:val="center"/>
        <w:rPr>
          <w:rFonts w:eastAsia="Calibri"/>
          <w:i/>
          <w:noProof/>
        </w:rPr>
      </w:pPr>
      <w:r>
        <w:rPr>
          <w:i/>
          <w:noProof/>
        </w:rPr>
        <w:t>Член 3</w:t>
      </w:r>
    </w:p>
    <w:p>
      <w:pPr>
        <w:keepNext/>
        <w:keepLines/>
        <w:rPr>
          <w:rFonts w:eastAsia="Calibri"/>
          <w:noProof/>
        </w:rPr>
      </w:pPr>
      <w:r>
        <w:rPr>
          <w:noProof/>
        </w:rPr>
        <w:t>Отделните вноски за Европейския фонд за развитие, които държавите членки трябва да платят на Европейската комисия и на Европейската инвестиционна банка като първа част от вноската за 2020 г., са посочени в таблицата в приложението към настоящото решение.</w:t>
      </w:r>
    </w:p>
    <w:p>
      <w:pPr>
        <w:spacing w:before="360"/>
        <w:jc w:val="center"/>
        <w:rPr>
          <w:rFonts w:eastAsia="Calibri"/>
          <w:i/>
          <w:noProof/>
        </w:rPr>
      </w:pPr>
      <w:r>
        <w:rPr>
          <w:i/>
          <w:noProof/>
        </w:rPr>
        <w:t>Член 4</w:t>
      </w:r>
    </w:p>
    <w:p>
      <w:pPr>
        <w:keepNext/>
        <w:keepLines/>
        <w:rPr>
          <w:rFonts w:eastAsia="Calibri"/>
          <w:noProof/>
        </w:rPr>
      </w:pPr>
      <w:r>
        <w:rPr>
          <w:noProof/>
        </w:rPr>
        <w:t>Индикативната необвързваща прогноза за очаквания годишен размер на вноските за 2022 г. възлиза на 2 700 000 000 EUR за Комисията и на 300 000 000 EUR за ЕИБ, а тази за 2023 г. възлиза на 2 000 000 000 EUR за Комисията и на 100 000 000 EUR за ЕИБ.</w:t>
      </w:r>
    </w:p>
    <w:p>
      <w:pPr>
        <w:pStyle w:val="Titrearticle"/>
        <w:keepNext w:val="0"/>
        <w:rPr>
          <w:noProof/>
        </w:rPr>
      </w:pPr>
      <w:r>
        <w:rPr>
          <w:noProof/>
        </w:rPr>
        <w:t>Член 5</w:t>
      </w:r>
    </w:p>
    <w:p>
      <w:pPr>
        <w:keepLines/>
        <w:rPr>
          <w:noProof/>
        </w:rPr>
      </w:pPr>
      <w:r>
        <w:rPr>
          <w:noProof/>
        </w:rPr>
        <w:t>Настоящото решение влиза в сила в деня на приемането му.</w:t>
      </w:r>
    </w:p>
    <w:p>
      <w:pPr>
        <w:pStyle w:val="Titrearticle"/>
        <w:rPr>
          <w:noProof/>
        </w:rPr>
      </w:pPr>
      <w:r>
        <w:rPr>
          <w:noProof/>
        </w:rPr>
        <w:t>Член 6</w:t>
      </w:r>
    </w:p>
    <w:p>
      <w:pPr>
        <w:rPr>
          <w:noProof/>
        </w:rPr>
      </w:pPr>
      <w:r>
        <w:rPr>
          <w:noProof/>
        </w:rPr>
        <w:t>Адресати на настоящото решение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317, 15.12.2000 г., стр. 3.</w:t>
      </w:r>
    </w:p>
  </w:footnote>
  <w:footnote w:id="2">
    <w:p>
      <w:pPr>
        <w:pStyle w:val="FootnoteText"/>
      </w:pPr>
      <w:r>
        <w:rPr>
          <w:rStyle w:val="FootnoteReference"/>
        </w:rPr>
        <w:footnoteRef/>
      </w:r>
      <w:r>
        <w:tab/>
        <w:t>ОВ L 210, 6.8.2013 г., стр. 1.</w:t>
      </w:r>
    </w:p>
  </w:footnote>
  <w:footnote w:id="3">
    <w:p>
      <w:pPr>
        <w:pStyle w:val="FootnoteText"/>
      </w:pPr>
      <w:r>
        <w:rPr>
          <w:rStyle w:val="FootnoteReference"/>
        </w:rPr>
        <w:footnoteRef/>
      </w:r>
      <w:r>
        <w:tab/>
        <w:t>ОВ L 307, 3.12.2018 г., стр. 1—21.</w:t>
      </w:r>
    </w:p>
  </w:footnote>
  <w:footnote w:id="4">
    <w:p>
      <w:pPr>
        <w:pStyle w:val="FootnoteText"/>
      </w:pPr>
      <w:r>
        <w:rPr>
          <w:rStyle w:val="FootnoteReference"/>
        </w:rPr>
        <w:footnoteRef/>
      </w:r>
      <w:r>
        <w:tab/>
        <w:t>ОВ L 210, 6.8.2013 г., стр. 1.</w:t>
      </w:r>
    </w:p>
  </w:footnote>
  <w:footnote w:id="5">
    <w:p>
      <w:pPr>
        <w:pStyle w:val="FootnoteText"/>
      </w:pPr>
      <w:r>
        <w:rPr>
          <w:rStyle w:val="FootnoteReference"/>
        </w:rPr>
        <w:footnoteRef/>
      </w:r>
      <w:r>
        <w:tab/>
        <w:t>ОВ L 307, 3.12.2018 г., стр. 7—9.</w:t>
      </w:r>
    </w:p>
  </w:footnote>
  <w:footnote w:id="6">
    <w:p>
      <w:pPr>
        <w:pStyle w:val="FootnoteText"/>
      </w:pPr>
      <w:r>
        <w:rPr>
          <w:rStyle w:val="FootnoteReference"/>
        </w:rPr>
        <w:footnoteRef/>
      </w:r>
      <w:r>
        <w:tab/>
        <w:t>ОВ L 173, 27.6.2019 г., стр. 49—51.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9CA9F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BB2CB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AB692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2366798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B12D3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B24112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B928A0C"/>
    <w:lvl w:ilvl="0">
      <w:start w:val="1"/>
      <w:numFmt w:val="decimal"/>
      <w:pStyle w:val="ListNumber"/>
      <w:lvlText w:val="%1."/>
      <w:lvlJc w:val="left"/>
      <w:pPr>
        <w:tabs>
          <w:tab w:val="num" w:pos="360"/>
        </w:tabs>
        <w:ind w:left="360" w:hanging="360"/>
      </w:pPr>
    </w:lvl>
  </w:abstractNum>
  <w:abstractNum w:abstractNumId="7">
    <w:nsid w:val="FFFFFF89"/>
    <w:multiLevelType w:val="singleLevel"/>
    <w:tmpl w:val="FA7631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
  </w:num>
  <w:num w:numId="3">
    <w:abstractNumId w:val="7"/>
  </w:num>
  <w:num w:numId="4">
    <w:abstractNumId w:val="5"/>
  </w:num>
  <w:num w:numId="5">
    <w:abstractNumId w:val="4"/>
  </w:num>
  <w:num w:numId="6">
    <w:abstractNumId w:val="3"/>
  </w:num>
  <w:num w:numId="7">
    <w:abstractNumId w:val="6"/>
  </w:num>
  <w:num w:numId="8">
    <w:abstractNumId w:val="2"/>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0-08 12:46:5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3B0DF7C-3C24-47EC-996A-BD0C5BB9A8B4"/>
    <w:docVar w:name="LW_COVERPAGE_TYPE" w:val="1"/>
    <w:docVar w:name="LW_CROSSREFERENCE" w:val="&lt;UNUSED&gt;"/>
    <w:docVar w:name="LW_DocType" w:val="COM"/>
    <w:docVar w:name="LW_EMISSION" w:val="10.10.2019"/>
    <w:docVar w:name="LW_EMISSION_ISODATE" w:val="2019-10-10"/>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30"/>
    <w:docVar w:name="LW_REF.II.NEW.CP_YEAR" w:val="2019"/>
    <w:docVar w:name="LW_REF.INST.NEW" w:val="COM"/>
    <w:docVar w:name="LW_REF.INST.NEW_ADOPTED" w:val="final"/>
    <w:docVar w:name="LW_REF.INST.NEW_TEXT" w:val="(2019) 4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92?\u1080?\u1085?\u1072?\u1085?\u1089?\u1086?\u1074?\u1080?\u1090?\u1077? \u1074?\u1085?\u1086?\u1089?\u1082?\u1080?, \u1082?\u1086?\u1080?\u1090?\u1086? \u1090?\u1088?\u1103?\u1073?\u1074?\u1072? \u1076?\u1072? \u1073?\u1098?\u1076?\u1072?\u1090? \u1087?\u1083?\u1072?\u1090?\u1077?\u1085?\u1080? \u1086?\u1090? \u1076?\u1098?\u1088?\u1078?\u1072?\u1074?\u1080?\u1090?\u1077? \u1095?\u1083?\u1077?\u1085?\u1082?\u1080? \u1079?\u1072? \u1092?\u1080?\u1085?\u1072?\u1085?\u1089?\u1080?\u1088?\u1072?\u1085?\u1077? \u1085?\u1072? \u1045?\u1074?\u1088?\u1086?\u1087?\u1077?\u1081?\u1089?\u1082?\u1080?\u1103? \u1092?\u1086?\u1085?\u1076? \u1079?\u1072? \u1088?\u1072?\u1079?\u1074?\u1080?\u1090?\u1080?\u1077?, \u1074?\u1082?\u1083?\u1102?\u1095?\u1080?\u1090?\u1077?\u1083?\u1085?\u1086? \u1075?\u1086?\u1088?\u1085?\u1072?\u1090?\u1072? \u1075?\u1088?\u1072?\u1085?\u1080?\u1094?\u1072? \u1079?\u1072? 2021 \u1075?., \u1075?\u1086?\u1076?\u1080?\u1096?\u1085?\u1072?\u1090?\u1072? \u1089?\u1091?\u1084?\u1072? \u1079?\u1072? 2020 \u1075?., \u1087?\u1098?\u1088?\u1074?\u1072?\u1090?\u1072? \u1095?\u1072?\u1089?\u1090? \u1086?\u1090? \u1074?\u1085?\u1086?\u1089?\u1082?\u1072?\u1090?\u1072? \u1079?\u1072? 2020 \u1075?. \u1080? \u1080?\u1085?\u1076?\u1080?\u1082?\u1072?\u1090?\u1080?\u1074?\u1085?\u1072? \u1085?\u1077?\u1086?\u1073?\u1074?\u1098?\u1088?\u1079?\u1074?\u1072?\u1097?\u1072? \u1087?\u1088?\u1086?\u1075?\u1085?\u1086?\u1079?\u1072? \u1079?\u1072? \u1086?\u1095?\u1072?\u1082?\u1074?\u1072?\u1085?\u1080?\u1090?\u1077? \u1075?\u1086?\u1076?\u1080?\u1096?\u1085?\u1080? \u1088?\u1072?\u1079?\u1084?\u1077?\u1088?\u1080? \u1085?\u1072? \u1074?\u1085?\u1086?\u1089?\u1082?\u1080?\u1090?\u1077? \u1079?\u1072? \u1075?\u1086?\u1076?\u1080?\u1085?\u1080?\u1090?\u1077? 2022 \u1080? 202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1101</Words>
  <Characters>5935</Characters>
  <Application>Microsoft Office Word</Application>
  <DocSecurity>0</DocSecurity>
  <Lines>121</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2019-09-24T07:53:00Z</dcterms:created>
  <dcterms:modified xsi:type="dcterms:W3CDTF">2019-10-08T10:46:00Z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