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4E8439F-768A-4AFD-917A-D5D6C3E3BCEE" style="width:450.25pt;height:438.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tbl>
      <w:tblPr>
        <w:tblW w:w="7820" w:type="dxa"/>
        <w:tblInd w:w="75" w:type="dxa"/>
        <w:tblCellMar>
          <w:left w:w="70" w:type="dxa"/>
          <w:right w:w="70" w:type="dxa"/>
        </w:tblCellMar>
        <w:tblLook w:val="04A0" w:firstRow="1" w:lastRow="0" w:firstColumn="1" w:lastColumn="0" w:noHBand="0" w:noVBand="1"/>
      </w:tblPr>
      <w:tblGrid>
        <w:gridCol w:w="1780"/>
        <w:gridCol w:w="980"/>
        <w:gridCol w:w="980"/>
        <w:gridCol w:w="1403"/>
        <w:gridCol w:w="1257"/>
        <w:gridCol w:w="1420"/>
      </w:tblGrid>
      <w:tr>
        <w:trPr>
          <w:trHeight w:val="282"/>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before="0" w:after="0"/>
              <w:jc w:val="left"/>
              <w:rPr>
                <w:rFonts w:eastAsia="Times New Roman"/>
                <w:b/>
                <w:bCs/>
                <w:noProof/>
                <w:sz w:val="16"/>
                <w:szCs w:val="16"/>
              </w:rPr>
            </w:pPr>
            <w:r>
              <w:rPr>
                <w:b/>
                <w:bCs/>
                <w:noProof/>
                <w:sz w:val="16"/>
                <w:szCs w:val="16"/>
              </w:rPr>
              <w:t>ÉTATS MEMBRES</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rPr>
            </w:pPr>
            <w:r>
              <w:rPr>
                <w:b/>
                <w:bCs/>
                <w:noProof/>
                <w:sz w:val="16"/>
                <w:szCs w:val="16"/>
              </w:rPr>
              <w:t>Clé 10</w:t>
            </w:r>
            <w:r>
              <w:rPr>
                <w:b/>
                <w:bCs/>
                <w:noProof/>
                <w:sz w:val="16"/>
                <w:szCs w:val="16"/>
                <w:vertAlign w:val="superscript"/>
              </w:rPr>
              <w:t>e</w:t>
            </w:r>
            <w:r>
              <w:rPr>
                <w:b/>
                <w:bCs/>
                <w:noProof/>
                <w:sz w:val="16"/>
                <w:szCs w:val="16"/>
              </w:rPr>
              <w:t xml:space="preserve"> FED %</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before="0" w:after="0"/>
              <w:jc w:val="center"/>
              <w:rPr>
                <w:rFonts w:eastAsia="Times New Roman"/>
                <w:b/>
                <w:bCs/>
                <w:noProof/>
                <w:sz w:val="16"/>
                <w:szCs w:val="16"/>
              </w:rPr>
            </w:pPr>
            <w:r>
              <w:rPr>
                <w:b/>
                <w:bCs/>
                <w:noProof/>
                <w:sz w:val="16"/>
                <w:szCs w:val="16"/>
              </w:rPr>
              <w:t>Clé 11</w:t>
            </w:r>
            <w:r>
              <w:rPr>
                <w:b/>
                <w:bCs/>
                <w:noProof/>
                <w:sz w:val="16"/>
                <w:szCs w:val="16"/>
                <w:vertAlign w:val="superscript"/>
              </w:rPr>
              <w:t>e</w:t>
            </w:r>
            <w:r>
              <w:rPr>
                <w:b/>
                <w:bCs/>
                <w:noProof/>
                <w:sz w:val="16"/>
                <w:szCs w:val="16"/>
              </w:rPr>
              <w:t> FED (en %)</w:t>
            </w:r>
          </w:p>
        </w:tc>
        <w:tc>
          <w:tcPr>
            <w:tcW w:w="2660" w:type="dxa"/>
            <w:gridSpan w:val="2"/>
            <w:tcBorders>
              <w:top w:val="single" w:sz="4" w:space="0" w:color="auto"/>
              <w:left w:val="nil"/>
              <w:bottom w:val="single" w:sz="4" w:space="0" w:color="auto"/>
              <w:right w:val="single" w:sz="4" w:space="0" w:color="000000"/>
            </w:tcBorders>
            <w:shd w:val="clear" w:color="auto" w:fill="auto"/>
            <w:vAlign w:val="center"/>
            <w:hideMark/>
          </w:tcPr>
          <w:p>
            <w:pPr>
              <w:spacing w:before="0" w:after="0"/>
              <w:jc w:val="center"/>
              <w:rPr>
                <w:rFonts w:eastAsia="Times New Roman"/>
                <w:b/>
                <w:bCs/>
                <w:noProof/>
                <w:sz w:val="16"/>
                <w:szCs w:val="16"/>
              </w:rPr>
            </w:pPr>
            <w:r>
              <w:rPr>
                <w:b/>
                <w:bCs/>
                <w:noProof/>
                <w:sz w:val="16"/>
                <w:szCs w:val="16"/>
              </w:rPr>
              <w:t>1</w:t>
            </w:r>
            <w:r>
              <w:rPr>
                <w:b/>
                <w:bCs/>
                <w:noProof/>
                <w:sz w:val="16"/>
                <w:szCs w:val="16"/>
                <w:vertAlign w:val="superscript"/>
              </w:rPr>
              <w:t>ère</w:t>
            </w:r>
            <w:r>
              <w:rPr>
                <w:b/>
                <w:bCs/>
                <w:noProof/>
                <w:sz w:val="16"/>
                <w:szCs w:val="16"/>
              </w:rPr>
              <w:t xml:space="preserve"> tranche 2020 (EUR)</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before="0" w:after="0"/>
              <w:jc w:val="center"/>
              <w:rPr>
                <w:rFonts w:eastAsia="Times New Roman"/>
                <w:b/>
                <w:bCs/>
                <w:noProof/>
                <w:sz w:val="16"/>
                <w:szCs w:val="16"/>
              </w:rPr>
            </w:pPr>
            <w:r>
              <w:rPr>
                <w:b/>
                <w:bCs/>
                <w:noProof/>
                <w:sz w:val="16"/>
                <w:szCs w:val="16"/>
              </w:rPr>
              <w:t>Total</w:t>
            </w:r>
          </w:p>
        </w:tc>
      </w:tr>
      <w:tr>
        <w:trPr>
          <w:trHeight w:val="225"/>
        </w:trPr>
        <w:tc>
          <w:tcPr>
            <w:tcW w:w="17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1403" w:type="dxa"/>
            <w:tcBorders>
              <w:top w:val="nil"/>
              <w:left w:val="nil"/>
              <w:bottom w:val="nil"/>
              <w:right w:val="single" w:sz="4" w:space="0" w:color="auto"/>
            </w:tcBorders>
            <w:shd w:val="clear" w:color="auto" w:fill="auto"/>
            <w:noWrap/>
            <w:vAlign w:val="bottom"/>
            <w:hideMark/>
          </w:tcPr>
          <w:p>
            <w:pPr>
              <w:spacing w:before="0" w:after="0"/>
              <w:jc w:val="center"/>
              <w:rPr>
                <w:rFonts w:eastAsia="Times New Roman"/>
                <w:b/>
                <w:bCs/>
                <w:noProof/>
                <w:sz w:val="16"/>
                <w:szCs w:val="16"/>
              </w:rPr>
            </w:pPr>
            <w:r>
              <w:rPr>
                <w:b/>
                <w:bCs/>
                <w:noProof/>
                <w:sz w:val="16"/>
                <w:szCs w:val="16"/>
              </w:rPr>
              <w:t>Commission</w:t>
            </w:r>
          </w:p>
        </w:tc>
        <w:tc>
          <w:tcPr>
            <w:tcW w:w="1257" w:type="dxa"/>
            <w:tcBorders>
              <w:top w:val="nil"/>
              <w:left w:val="nil"/>
              <w:bottom w:val="nil"/>
              <w:right w:val="single" w:sz="4" w:space="0" w:color="auto"/>
            </w:tcBorders>
            <w:shd w:val="clear" w:color="auto" w:fill="auto"/>
            <w:noWrap/>
            <w:vAlign w:val="bottom"/>
            <w:hideMark/>
          </w:tcPr>
          <w:p>
            <w:pPr>
              <w:spacing w:before="0" w:after="0"/>
              <w:jc w:val="center"/>
              <w:rPr>
                <w:rFonts w:eastAsia="Times New Roman"/>
                <w:b/>
                <w:bCs/>
                <w:noProof/>
                <w:sz w:val="16"/>
                <w:szCs w:val="16"/>
              </w:rPr>
            </w:pPr>
            <w:r>
              <w:rPr>
                <w:b/>
                <w:bCs/>
                <w:noProof/>
                <w:sz w:val="16"/>
                <w:szCs w:val="16"/>
              </w:rPr>
              <w:t>BEI</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r>
      <w:tr>
        <w:trPr>
          <w:trHeight w:val="225"/>
        </w:trPr>
        <w:tc>
          <w:tcPr>
            <w:tcW w:w="17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c>
          <w:tcPr>
            <w:tcW w:w="140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sz w:val="16"/>
                <w:szCs w:val="16"/>
              </w:rPr>
            </w:pPr>
            <w:r>
              <w:rPr>
                <w:b/>
                <w:bCs/>
                <w:noProof/>
                <w:sz w:val="16"/>
                <w:szCs w:val="16"/>
              </w:rPr>
              <w:t>11</w:t>
            </w:r>
            <w:r>
              <w:rPr>
                <w:b/>
                <w:bCs/>
                <w:noProof/>
                <w:sz w:val="16"/>
                <w:szCs w:val="16"/>
                <w:vertAlign w:val="superscript"/>
              </w:rPr>
              <w:t>e</w:t>
            </w:r>
            <w:r>
              <w:rPr>
                <w:b/>
                <w:bCs/>
                <w:noProof/>
                <w:sz w:val="16"/>
                <w:szCs w:val="16"/>
              </w:rPr>
              <w:t xml:space="preserve"> FED</w:t>
            </w:r>
          </w:p>
        </w:tc>
        <w:tc>
          <w:tcPr>
            <w:tcW w:w="12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sz w:val="16"/>
                <w:szCs w:val="16"/>
              </w:rPr>
            </w:pPr>
            <w:r>
              <w:rPr>
                <w:b/>
                <w:bCs/>
                <w:noProof/>
                <w:sz w:val="16"/>
                <w:szCs w:val="16"/>
              </w:rPr>
              <w:t>10</w:t>
            </w:r>
            <w:r>
              <w:rPr>
                <w:b/>
                <w:bCs/>
                <w:noProof/>
                <w:sz w:val="16"/>
                <w:szCs w:val="16"/>
                <w:vertAlign w:val="superscript"/>
              </w:rPr>
              <w:t>e</w:t>
            </w:r>
            <w:r>
              <w:rPr>
                <w:b/>
                <w:bCs/>
                <w:noProof/>
                <w:sz w:val="16"/>
                <w:szCs w:val="16"/>
              </w:rPr>
              <w:t xml:space="preserve"> FED</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eastAsia="Times New Roman"/>
                <w:b/>
                <w:bCs/>
                <w:noProof/>
                <w:sz w:val="16"/>
                <w:szCs w:val="16"/>
              </w:rPr>
            </w:pP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BELGIQUE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3,53</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3,24927</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58 486 860,00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3 530 000,00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62 016 860,00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BULGARIE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0,14</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0,21853</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3 933 540,00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140 000,00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4 073 540,00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TCHÉQUIE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0,51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0,79745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14 354 100,00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510 000,00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14 864 100,00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DANEMARK</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2,00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1,98045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35 648 100,00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2 000 000,00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37 648 100,00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ALLEMAGNE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20,50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20,57980</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370 436 400,00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20 500 000,00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390 936 400,00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ESTONIE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0,05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0,08635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1 554 300,00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1 604 300,00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IRLANDE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0,91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0,94006</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16 921 080,00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910 000,00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17 831 080,00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GRÈCE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1,47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1,50735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27 132 300,00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1 470 000,00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28 602 300,00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ESPAGNE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7,85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7,93248</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142 784 640,00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7 850 000,00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150 634 640,00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FRANCE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19,55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17,81269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320 628 420,00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19 550 000,00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340 178 420,00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CROATIE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0,00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0,22518</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4 053 240,00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4 053 240,00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ITALIE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12,86</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12,53009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225 541 620,00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12 860 000,00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238 401 620,00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CHYPRE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0,09</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0,11162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2 009 160,00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90 000,00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2 099 160,00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LETTONIE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0,07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0,11612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2 090 160,00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2 160 160,00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LITUANIE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0,12</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0,18077</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3 253 860,00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120 000,00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3 373 860,00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LUXEMBOURG</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0,27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0,25509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4 591 620,00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4 861 620,00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HONGRIE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0,55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0,61456</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11 062 080,00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550 000,00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11 612 080,00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MALTE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0,03</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0,03801</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684 180,00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714 180,00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PAYS-BAS</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4,85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4,77678</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85 982 040,00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4 850 000,00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90 832 040,00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AUTRICHE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2,41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2,39757</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43 156 260,00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2 410 000,00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45 566 260,00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POLOGNE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1,30</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2,00734</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36 132 120,00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1 300 000,00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37 432 120,00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PORTUGAL</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1,15</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1,19679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21 542 220,00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1 150 000,00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22 692 220,00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ROUMANIE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0,37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0,71815</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12 926 700,00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370 000,00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13 296 700,00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SLOVÉNIE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0,18</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0,22452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4 041 360,00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180 000,00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4 221 360,00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SLOVAQUIE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0,21</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0,37616</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6 770 880,00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210 000,00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6 980 880,00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FINLANDE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1,47</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1,50909</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27 163 620,00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1 470 000,00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28 633 620,00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SUÈDE</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2,74</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2,93911</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52 903 980,00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2 740 000,00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55 643 980,00</w:t>
            </w:r>
          </w:p>
        </w:tc>
      </w:tr>
      <w:tr>
        <w:trPr>
          <w:trHeight w:val="259"/>
        </w:trPr>
        <w:tc>
          <w:tcPr>
            <w:tcW w:w="1780" w:type="dxa"/>
            <w:tcBorders>
              <w:top w:val="nil"/>
              <w:left w:val="single" w:sz="4" w:space="0" w:color="auto"/>
              <w:bottom w:val="nil"/>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ROYAUME-UNI</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14,82</w:t>
            </w:r>
          </w:p>
        </w:tc>
        <w:tc>
          <w:tcPr>
            <w:tcW w:w="980" w:type="dxa"/>
            <w:tcBorders>
              <w:top w:val="nil"/>
              <w:left w:val="nil"/>
              <w:bottom w:val="nil"/>
              <w:right w:val="single" w:sz="4" w:space="0" w:color="auto"/>
            </w:tcBorders>
            <w:shd w:val="clear" w:color="000000" w:fill="C0C0C0"/>
            <w:noWrap/>
            <w:vAlign w:val="center"/>
            <w:hideMark/>
          </w:tcPr>
          <w:p>
            <w:pPr>
              <w:spacing w:before="0" w:after="0"/>
              <w:ind w:firstLineChars="100" w:firstLine="140"/>
              <w:jc w:val="right"/>
              <w:rPr>
                <w:rFonts w:eastAsia="Times New Roman"/>
                <w:noProof/>
                <w:sz w:val="14"/>
                <w:szCs w:val="14"/>
              </w:rPr>
            </w:pPr>
            <w:r>
              <w:rPr>
                <w:noProof/>
                <w:sz w:val="14"/>
                <w:szCs w:val="14"/>
              </w:rPr>
              <w:t>14,67862</w:t>
            </w:r>
          </w:p>
        </w:tc>
        <w:tc>
          <w:tcPr>
            <w:tcW w:w="1403"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264 215 160,00</w:t>
            </w:r>
          </w:p>
        </w:tc>
        <w:tc>
          <w:tcPr>
            <w:tcW w:w="1257"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noProof/>
                <w:sz w:val="14"/>
                <w:szCs w:val="14"/>
              </w:rPr>
            </w:pPr>
            <w:r>
              <w:rPr>
                <w:noProof/>
                <w:sz w:val="14"/>
                <w:szCs w:val="14"/>
              </w:rPr>
              <w:t>14 820 000,00</w:t>
            </w:r>
          </w:p>
        </w:tc>
        <w:tc>
          <w:tcPr>
            <w:tcW w:w="1420" w:type="dxa"/>
            <w:tcBorders>
              <w:top w:val="nil"/>
              <w:left w:val="nil"/>
              <w:bottom w:val="nil"/>
              <w:right w:val="single" w:sz="4" w:space="0" w:color="auto"/>
            </w:tcBorders>
            <w:shd w:val="clear" w:color="auto" w:fill="auto"/>
            <w:noWrap/>
            <w:vAlign w:val="bottom"/>
            <w:hideMark/>
          </w:tcPr>
          <w:p>
            <w:pPr>
              <w:spacing w:before="0" w:after="0"/>
              <w:jc w:val="right"/>
              <w:rPr>
                <w:rFonts w:eastAsia="Times New Roman"/>
                <w:b/>
                <w:bCs/>
                <w:noProof/>
                <w:sz w:val="14"/>
                <w:szCs w:val="14"/>
              </w:rPr>
            </w:pPr>
            <w:r>
              <w:rPr>
                <w:b/>
                <w:bCs/>
                <w:noProof/>
                <w:sz w:val="14"/>
                <w:szCs w:val="14"/>
              </w:rPr>
              <w:t>279 035 160,00</w:t>
            </w:r>
          </w:p>
        </w:tc>
      </w:tr>
      <w:tr>
        <w:trPr>
          <w:trHeight w:val="282"/>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b/>
                <w:bCs/>
                <w:noProof/>
                <w:sz w:val="16"/>
                <w:szCs w:val="16"/>
              </w:rPr>
            </w:pPr>
            <w:r>
              <w:rPr>
                <w:b/>
                <w:bCs/>
                <w:noProof/>
                <w:sz w:val="16"/>
                <w:szCs w:val="16"/>
              </w:rPr>
              <w:t>Total EU-28</w:t>
            </w:r>
          </w:p>
        </w:tc>
        <w:tc>
          <w:tcPr>
            <w:tcW w:w="980"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rPr>
            </w:pPr>
            <w:r>
              <w:rPr>
                <w:b/>
                <w:bCs/>
                <w:noProof/>
                <w:sz w:val="14"/>
                <w:szCs w:val="14"/>
              </w:rPr>
              <w:t>100,00</w:t>
            </w:r>
          </w:p>
        </w:tc>
        <w:tc>
          <w:tcPr>
            <w:tcW w:w="980" w:type="dxa"/>
            <w:tcBorders>
              <w:top w:val="single" w:sz="4" w:space="0" w:color="auto"/>
              <w:left w:val="nil"/>
              <w:bottom w:val="single" w:sz="4" w:space="0" w:color="auto"/>
              <w:right w:val="single" w:sz="4" w:space="0" w:color="auto"/>
            </w:tcBorders>
            <w:shd w:val="clear" w:color="000000" w:fill="C0C0C0"/>
            <w:noWrap/>
            <w:vAlign w:val="center"/>
            <w:hideMark/>
          </w:tcPr>
          <w:p>
            <w:pPr>
              <w:spacing w:before="0" w:after="0"/>
              <w:jc w:val="center"/>
              <w:rPr>
                <w:rFonts w:eastAsia="Times New Roman"/>
                <w:b/>
                <w:bCs/>
                <w:noProof/>
                <w:sz w:val="14"/>
                <w:szCs w:val="14"/>
              </w:rPr>
            </w:pPr>
            <w:r>
              <w:rPr>
                <w:b/>
                <w:bCs/>
                <w:noProof/>
                <w:sz w:val="14"/>
                <w:szCs w:val="14"/>
              </w:rPr>
              <w:t>100,00</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rPr>
            </w:pPr>
            <w:r>
              <w:rPr>
                <w:b/>
                <w:bCs/>
                <w:noProof/>
                <w:sz w:val="14"/>
                <w:szCs w:val="14"/>
              </w:rPr>
              <w:t>1 800 000 000,00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rPr>
            </w:pPr>
            <w:r>
              <w:rPr>
                <w:b/>
                <w:bCs/>
                <w:noProof/>
                <w:sz w:val="14"/>
                <w:szCs w:val="14"/>
              </w:rPr>
              <w:t>100 000 000,00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right"/>
              <w:rPr>
                <w:rFonts w:eastAsia="Times New Roman"/>
                <w:b/>
                <w:bCs/>
                <w:noProof/>
                <w:sz w:val="14"/>
                <w:szCs w:val="14"/>
              </w:rPr>
            </w:pPr>
            <w:r>
              <w:rPr>
                <w:b/>
                <w:bCs/>
                <w:noProof/>
                <w:sz w:val="14"/>
                <w:szCs w:val="14"/>
              </w:rPr>
              <w:t>1 900 000 000,00</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5A38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4409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30FC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C247E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6A8E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865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8EE5BE"/>
    <w:lvl w:ilvl="0">
      <w:start w:val="1"/>
      <w:numFmt w:val="decimal"/>
      <w:pStyle w:val="ListNumber"/>
      <w:lvlText w:val="%1."/>
      <w:lvlJc w:val="left"/>
      <w:pPr>
        <w:tabs>
          <w:tab w:val="num" w:pos="360"/>
        </w:tabs>
        <w:ind w:left="360" w:hanging="360"/>
      </w:pPr>
    </w:lvl>
  </w:abstractNum>
  <w:abstractNum w:abstractNumId="7">
    <w:nsid w:val="FFFFFF89"/>
    <w:multiLevelType w:val="singleLevel"/>
    <w:tmpl w:val="119AB0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7"/>
  </w:num>
  <w:num w:numId="30">
    <w:abstractNumId w:val="5"/>
  </w:num>
  <w:num w:numId="31">
    <w:abstractNumId w:val="4"/>
  </w:num>
  <w:num w:numId="32">
    <w:abstractNumId w:val="3"/>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08 12:48: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F4E8439F-768A-4AFD-917A-D5D6C3E3BCEE"/>
    <w:docVar w:name="LW_COVERPAGE_TYPE" w:val="1"/>
    <w:docVar w:name="LW_CROSSREFERENCE" w:val="&lt;UNUSED&gt;"/>
    <w:docVar w:name="LW_DocType" w:val="ANNEX"/>
    <w:docVar w:name="LW_EMISSION" w:val="10.10.2019"/>
    <w:docVar w:name="LW_EMISSION_ISODATE" w:val="2019-10-10"/>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aux contributions financières à verser par les États membres pour financer le Fonds européen de développement, notamment le plafond pour l'exercice 2021, le montant annuel pour l'exercice 2020, la première tranche pour l'exercice 2020 et des prévisions indicatives et non contraignantes concernant le montant annuel des contributions escompté pour les exercices 2022 et 2023"/>
    <w:docVar w:name="LW_OBJETACTEPRINCIPAL.CP" w:val="relative aux contributions financières à verser par les États membres pour financer le Fonds européen de développement, notamment le plafond pour l'exercice 2021, le montant annuel pour l'exercice 2020, la première tranche pour l'exercice 2020 et des prévisions indicatives et non contraignantes concernant le montant annuel des contributions escompté pour les exercices 2022 et 2023"/>
    <w:docVar w:name="LW_PART_NBR" w:val="1"/>
    <w:docVar w:name="LW_PART_NBR_TOTAL" w:val="1"/>
    <w:docVar w:name="LW_REF.INST.NEW" w:val="COM"/>
    <w:docVar w:name="LW_REF.INST.NEW_ADOPTED" w:val="final"/>
    <w:docVar w:name="LW_REF.INST.NEW_TEXT" w:val="(2019)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_x000b_DÉCISION DU CONSEIL"/>
    <w:docVar w:name="LW_TYPEACTEPRINCIPAL.CP" w:val="proposition de 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Pages>
  <Words>365</Words>
  <Characters>1580</Characters>
  <Application>Microsoft Office Word</Application>
  <DocSecurity>0</DocSecurity>
  <Lines>225</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STUKAITE Daniele (DEVCO)</dc:creator>
  <cp:keywords/>
  <dc:description/>
  <cp:lastModifiedBy>WES PDFC Administrator</cp:lastModifiedBy>
  <cp:revision>9</cp:revision>
  <dcterms:created xsi:type="dcterms:W3CDTF">2019-09-18T15:59:00Z</dcterms:created>
  <dcterms:modified xsi:type="dcterms:W3CDTF">2019-10-08T10:48:00Z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