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4E4D87D9-C0B0-427E-9CD2-2CE9C9456E9A" style="width:450.8pt;height:397.0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</w:t>
      </w:r>
    </w:p>
    <w:tbl>
      <w:tblPr>
        <w:tblW w:w="78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980"/>
        <w:gridCol w:w="980"/>
        <w:gridCol w:w="1350"/>
        <w:gridCol w:w="1350"/>
        <w:gridCol w:w="1420"/>
      </w:tblGrid>
      <w:tr>
        <w:trPr>
          <w:trHeight w:val="282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ÉTATS MEMBRES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Clé 10</w:t>
            </w:r>
            <w:r>
              <w:rPr>
                <w:b/>
                <w:bCs/>
                <w:noProof/>
                <w:sz w:val="16"/>
                <w:szCs w:val="16"/>
                <w:vertAlign w:val="superscript"/>
              </w:rPr>
              <w:t>e</w:t>
            </w:r>
            <w:r>
              <w:rPr>
                <w:b/>
                <w:bCs/>
                <w:noProof/>
                <w:sz w:val="16"/>
                <w:szCs w:val="16"/>
              </w:rPr>
              <w:t xml:space="preserve"> FED (en %)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Clé 11</w:t>
            </w:r>
            <w:r>
              <w:rPr>
                <w:b/>
                <w:bCs/>
                <w:noProof/>
                <w:sz w:val="16"/>
                <w:szCs w:val="16"/>
                <w:vertAlign w:val="superscript"/>
              </w:rPr>
              <w:t>e</w:t>
            </w:r>
            <w:r>
              <w:rPr>
                <w:b/>
                <w:bCs/>
                <w:noProof/>
                <w:sz w:val="16"/>
                <w:szCs w:val="16"/>
              </w:rPr>
              <w:t> FED (en %)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3</w:t>
            </w:r>
            <w:r>
              <w:rPr>
                <w:b/>
                <w:bCs/>
                <w:noProof/>
                <w:sz w:val="16"/>
                <w:szCs w:val="16"/>
                <w:vertAlign w:val="superscript"/>
              </w:rPr>
              <w:t>e</w:t>
            </w:r>
            <w:r>
              <w:rPr>
                <w:b/>
                <w:bCs/>
                <w:noProof/>
                <w:sz w:val="16"/>
                <w:szCs w:val="16"/>
              </w:rPr>
              <w:t> tranche 2019 (EUR)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Total</w:t>
            </w:r>
          </w:p>
        </w:tc>
      </w:tr>
      <w:tr>
        <w:trPr>
          <w:trHeight w:val="22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La Commission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BEI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</w:tr>
      <w:tr>
        <w:trPr>
          <w:trHeight w:val="22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11</w:t>
            </w:r>
            <w:r>
              <w:rPr>
                <w:b/>
                <w:bCs/>
                <w:noProof/>
                <w:sz w:val="16"/>
                <w:szCs w:val="16"/>
                <w:vertAlign w:val="superscript"/>
              </w:rPr>
              <w:t>e</w:t>
            </w:r>
            <w:r>
              <w:rPr>
                <w:b/>
                <w:bCs/>
                <w:noProof/>
                <w:sz w:val="16"/>
                <w:szCs w:val="16"/>
              </w:rPr>
              <w:t> FED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10</w:t>
            </w:r>
            <w:r>
              <w:rPr>
                <w:b/>
                <w:bCs/>
                <w:noProof/>
                <w:sz w:val="16"/>
                <w:szCs w:val="16"/>
                <w:vertAlign w:val="superscript"/>
              </w:rPr>
              <w:t>e</w:t>
            </w:r>
            <w:r>
              <w:rPr>
                <w:b/>
                <w:bCs/>
                <w:noProof/>
                <w:sz w:val="16"/>
                <w:szCs w:val="16"/>
              </w:rPr>
              <w:t> FED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BELGIQUE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3,53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3,24927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29 243 430,00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3 530 000,00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32 773 430,00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BULGARIE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0,21853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1 966 770,00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2 106 770,0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TCHÉQUIE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0,79745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7 177 050,00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510 000,00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7 687 050,00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DANEMARK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1,98045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17 824 050,00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2 000 000,00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19 824 050,00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ALLEMAGNE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20,50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20,57980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185 218 200,00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20 500 000,00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205 718 200,00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ESTONIE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0,08635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777 150,0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50 000,0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827 150,0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IRLANDE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0,94006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8 460 540,00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910 000,00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9 370 540,00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GRÈCE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1,50735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13 566 150,00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1 470 000,00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15 036 150,00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ESPAGNE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7,85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7,93248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71 392 320,00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7 850 000,00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79 242 320,00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FRANCE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19,55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17,81269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160 314 210,00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19 550 000,00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179 864 210,00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CROATIE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0,22518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2 026 620,00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2 026 620,00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ITALIE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12,86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12,53009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112 770 810,00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12 860 000,00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125 630 810,00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CHYPRE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0,11162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1 004 580,00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90 000,00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1 094 580,00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LETTONIE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0,11612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1 045 080,00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1 115 080,00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LITUANIE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0,18077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1 626 930,00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1 746 930,00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LUXEMBOURG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0,25509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2 295 810,00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270 000,00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2 565 810,00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HONGRIE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0,61456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5 531 040,00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550 000,00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6 081 040,00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MALTE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0,03801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342 090,00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372 090,00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PAYS-BAS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4,85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4,77678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42 991 020,00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4 850 000,00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47 841 020,00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AUTRICHE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2,39757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21 578 130,00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2 410 000,00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23 988 130,00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POLOGNE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2,00734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18 066 060,00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1 300 000,00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19 366 060,00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PORTUGAL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1,19679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10 771 110,00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1 150 000,00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11 921 110,00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ROUMANIE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0,71815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6 463 350,00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370 000,00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6 833 350,00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SLOVÉNIE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0,22452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2 020 680,00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180 000,00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2 200 680,00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SLOVAQUIE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0,37616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3 385 440,00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210 000,00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3 595 440,00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FINLANDE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1,50909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13 581 810,00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1 470 000,00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15 051 810,00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SUÈDE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2,93911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26 451 990,00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2 740 000,00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29 191 990,00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ROYAUME-UNI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14,82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14,67862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132 107 580,00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14 820 000,00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146 927 580,00</w:t>
            </w:r>
          </w:p>
        </w:tc>
      </w:tr>
      <w:tr>
        <w:trPr>
          <w:trHeight w:val="282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Total EU-28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900 000 000,00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100 000 000,00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1 000 000 000,00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ED0A50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0E803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B1413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39A3EA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9126D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EA8E2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99C6B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71E6D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10-04 16:00:1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à la "/>
    <w:docVar w:name="LW_ACCOMPAGNANT.CP" w:val="à la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4E4D87D9-C0B0-427E-9CD2-2CE9C9456E9A"/>
    <w:docVar w:name="LW_COVERPAGE_TYPE" w:val="1"/>
    <w:docVar w:name="LW_CROSSREFERENCE" w:val="&lt;UNUSED&gt;"/>
    <w:docVar w:name="LW_DocType" w:val="ANNEX"/>
    <w:docVar w:name="LW_EMISSION" w:val="10.10.2019"/>
    <w:docVar w:name="LW_EMISSION_ISODATE" w:val="2019-10-10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relative aux contributions financières à verser par les États membres pour financer le Fonds européen de développement, notamment la troisième tranche pour 2019"/>
    <w:docVar w:name="LW_OBJETACTEPRINCIPAL.CP" w:val="relative aux contributions financières à verser par les États membres pour financer le Fonds européen de développement, notamment la troisième tranche pour 2019"/>
    <w:docVar w:name="LW_PART_NBR" w:val="1"/>
    <w:docVar w:name="LW_PART_NBR_TOTAL" w:val="1"/>
    <w:docVar w:name="LW_REF.INST.NEW" w:val="COM"/>
    <w:docVar w:name="LW_REF.INST.NEW_ADOPTED" w:val="final"/>
    <w:docVar w:name="LW_REF.INST.NEW_TEXT" w:val="(2019) 46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_x000b_DÉCISION DU CONSEIL"/>
    <w:docVar w:name="LW_TYPEACTEPRINCIPAL.CP" w:val="proposition de_x000b_DÉCISION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377</Words>
  <Characters>1621</Characters>
  <Application>Microsoft Office Word</Application>
  <DocSecurity>0</DocSecurity>
  <Lines>231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STUKAITE Daniele (DEVCO)</dc:creator>
  <cp:keywords/>
  <dc:description/>
  <cp:lastModifiedBy>DIGIT/C6</cp:lastModifiedBy>
  <cp:revision>9</cp:revision>
  <dcterms:created xsi:type="dcterms:W3CDTF">2019-09-12T14:51:00Z</dcterms:created>
  <dcterms:modified xsi:type="dcterms:W3CDTF">2019-10-04T14:00:00Z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