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8CD797-F041-41E2-8FAB-803F885B6F92" style="width:450.75pt;height:351.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rFonts w:eastAsia="Arial Unicode MS"/>
          <w:noProof/>
        </w:rPr>
      </w:pPr>
      <w:r>
        <w:rPr>
          <w:rFonts w:eastAsia="Arial Unicode MS"/>
          <w:noProof/>
        </w:rPr>
        <w:t>The proposal concerns a draft Council Decision on the third instalment of the financial contributions to the European Development Fund (EDF) to be paid by Member States in 2019.</w:t>
      </w:r>
    </w:p>
    <w:p>
      <w:pP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 Ninth and 10</w:t>
      </w:r>
      <w:r>
        <w:rPr>
          <w:rFonts w:eastAsia="Arial Unicode MS"/>
          <w:noProof/>
          <w:vertAlign w:val="superscript"/>
        </w:rPr>
        <w:t>th</w:t>
      </w:r>
      <w:r>
        <w:rPr>
          <w:rFonts w:eastAsia="Arial Unicode MS"/>
          <w:noProof/>
        </w:rPr>
        <w:t xml:space="preserve"> EDF) are managed under the following set of rules: </w:t>
      </w:r>
    </w:p>
    <w:p>
      <w:pP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spacing w:before="0" w:after="240"/>
        <w:rPr>
          <w:rFonts w:eastAsia="Arial Unicode MS"/>
          <w:noProof/>
        </w:rPr>
      </w:pPr>
      <w:r>
        <w:rPr>
          <w:rFonts w:eastAsia="Arial Unicode MS"/>
          <w:noProof/>
        </w:rPr>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 xml:space="preserve">EDF Financial Regulation calls for contributions shall first use up the amounts available from previous EDFs, one after the other. The calls for </w:t>
      </w:r>
      <w:r>
        <w:rPr>
          <w:rFonts w:eastAsia="Arial Unicode MS"/>
          <w:noProof/>
        </w:rPr>
        <w:lastRenderedPageBreak/>
        <w:t>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spacing w:before="0" w:after="240"/>
        <w:rPr>
          <w:rFonts w:eastAsia="Arial Unicode MS"/>
          <w:noProof/>
        </w:rPr>
      </w:pPr>
      <w:r>
        <w:rPr>
          <w:rFonts w:eastAsia="Arial Unicode MS"/>
          <w:noProof/>
        </w:rPr>
        <w:t>In accordance with Article 19(5)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European Commission acting on behalf of the European Union, of this proposal.</w:t>
      </w:r>
    </w:p>
    <w:p>
      <w:pP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third instalment for 2019</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5"/>
      </w:r>
      <w:r>
        <w:rPr>
          <w:noProof/>
        </w:rPr>
        <w:t>, and in particular Article 19(5)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19 of the 11</w:t>
      </w:r>
      <w:r>
        <w:rPr>
          <w:noProof/>
          <w:vertAlign w:val="superscript"/>
        </w:rPr>
        <w:t>th</w:t>
      </w:r>
      <w:r>
        <w:rPr>
          <w:noProof/>
        </w:rPr>
        <w:t xml:space="preserve"> EDF Financial Regulation, the European Commission is to present a proposal by 10 October 2019 specifying (a) the amount of the third instalment of the contribution for 2019, (b) a revised annual amount of the contribution for 2019, in cases where the amount deviates from actual needs,</w:t>
      </w:r>
    </w:p>
    <w:p>
      <w:pPr>
        <w:pStyle w:val="ManualConsidrant"/>
        <w:rPr>
          <w:noProof/>
        </w:rPr>
      </w:pPr>
      <w:r>
        <w:t>(2)</w:t>
      </w:r>
      <w:r>
        <w:tab/>
      </w:r>
      <w:r>
        <w:rPr>
          <w:noProof/>
        </w:rPr>
        <w:t>In accordance with Article 46 of the 11</w:t>
      </w:r>
      <w:r>
        <w:rPr>
          <w:noProof/>
          <w:vertAlign w:val="superscript"/>
        </w:rPr>
        <w:t>th</w:t>
      </w:r>
      <w:r>
        <w:rPr>
          <w:noProof/>
        </w:rPr>
        <w:t xml:space="preserve"> EDF Financial Regulation, the European Investment Bank (EIB) sent to the European Commission its updated estimates of commitments and payments under the instruments it manages,</w:t>
      </w:r>
    </w:p>
    <w:p>
      <w:pPr>
        <w:pStyle w:val="ManualConsidrant"/>
        <w:rPr>
          <w:noProof/>
        </w:rPr>
      </w:pPr>
      <w:r>
        <w:t>(3)</w:t>
      </w:r>
      <w:r>
        <w:tab/>
      </w:r>
      <w:r>
        <w:rPr>
          <w:noProof/>
        </w:rPr>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By means of Decision (EU) 2018/1715</w:t>
      </w:r>
      <w:r>
        <w:rPr>
          <w:rStyle w:val="FootnoteReference"/>
          <w:noProof/>
        </w:rPr>
        <w:footnoteReference w:id="6"/>
      </w:r>
      <w:r>
        <w:rPr>
          <w:noProof/>
        </w:rPr>
        <w:t>, the Council has adopted on the 12 November 2018, on a proposal by the European Commission, the Decision to set the annual amount of the Member States’ EDF contributions for 2019 at EUR 4 400 000 000 for the European Commission, and at EUR 300 000 000 for the European Investment Bank.</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third instalment for 2019 are set out in the table in the Annex to this Decision.</w:t>
      </w:r>
    </w:p>
    <w:p>
      <w:pPr>
        <w:pStyle w:val="Titrearticle"/>
        <w:keepNext w:val="0"/>
        <w:rPr>
          <w:noProof/>
        </w:rPr>
      </w:pPr>
      <w:r>
        <w:rPr>
          <w:noProof/>
        </w:rPr>
        <w:t>Article 2</w:t>
      </w:r>
    </w:p>
    <w:p>
      <w:pPr>
        <w:keepLines/>
        <w:rPr>
          <w:noProof/>
        </w:rPr>
      </w:pPr>
      <w:r>
        <w:rPr>
          <w:noProof/>
        </w:rPr>
        <w:t>This Decision shall enter into force on the date of its adoption</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rPr>
          <w:lang w:val="pl-PL"/>
        </w:rPr>
      </w:pPr>
      <w:r>
        <w:rPr>
          <w:rStyle w:val="FootnoteReference"/>
        </w:rPr>
        <w:footnoteRef/>
      </w:r>
      <w:r>
        <w:rPr>
          <w:lang w:val="pl-PL"/>
        </w:rPr>
        <w:tab/>
        <w:t>OJ L 286, 14.11.2018, p.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0A83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18FC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5EF0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96F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3897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1E5C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0E77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2C84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5:5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C8CD797-F041-41E2-8FAB-803F885B6F92"/>
    <w:docVar w:name="LW_COVERPAGE_TYPE" w:val="1"/>
    <w:docVar w:name="LW_CROSSREFERENCE" w:val="&lt;UNUSED&gt;"/>
    <w:docVar w:name="LW_DocType" w:val="COM"/>
    <w:docVar w:name="LW_EMISSION" w:val="10.10.2019"/>
    <w:docVar w:name="LW_EMISSION_ISODATE" w:val="2019-10-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1"/>
    <w:docVar w:name="LW_REF.II.NEW.CP_YEAR" w:val="2019"/>
    <w:docVar w:name="LW_REF.INST.NEW" w:val="COM"/>
    <w:docVar w:name="LW_REF.INST.NEW_ADOPTED" w:val="final"/>
    <w:docVar w:name="LW_REF.INST.NEW_TEXT" w:val="(2019)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third instalment for 2019"/>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589">
      <w:bodyDiv w:val="1"/>
      <w:marLeft w:val="0"/>
      <w:marRight w:val="0"/>
      <w:marTop w:val="0"/>
      <w:marBottom w:val="0"/>
      <w:divBdr>
        <w:top w:val="none" w:sz="0" w:space="0" w:color="auto"/>
        <w:left w:val="none" w:sz="0" w:space="0" w:color="auto"/>
        <w:bottom w:val="none" w:sz="0" w:space="0" w:color="auto"/>
        <w:right w:val="none" w:sz="0" w:space="0" w:color="auto"/>
      </w:divBdr>
    </w:div>
    <w:div w:id="228662492">
      <w:bodyDiv w:val="1"/>
      <w:marLeft w:val="0"/>
      <w:marRight w:val="0"/>
      <w:marTop w:val="0"/>
      <w:marBottom w:val="0"/>
      <w:divBdr>
        <w:top w:val="none" w:sz="0" w:space="0" w:color="auto"/>
        <w:left w:val="none" w:sz="0" w:space="0" w:color="auto"/>
        <w:bottom w:val="none" w:sz="0" w:space="0" w:color="auto"/>
        <w:right w:val="none" w:sz="0" w:space="0" w:color="auto"/>
      </w:divBdr>
    </w:div>
    <w:div w:id="805902113">
      <w:bodyDiv w:val="1"/>
      <w:marLeft w:val="0"/>
      <w:marRight w:val="0"/>
      <w:marTop w:val="0"/>
      <w:marBottom w:val="0"/>
      <w:divBdr>
        <w:top w:val="none" w:sz="0" w:space="0" w:color="auto"/>
        <w:left w:val="none" w:sz="0" w:space="0" w:color="auto"/>
        <w:bottom w:val="none" w:sz="0" w:space="0" w:color="auto"/>
        <w:right w:val="none" w:sz="0" w:space="0" w:color="auto"/>
      </w:divBdr>
    </w:div>
    <w:div w:id="1021974525">
      <w:bodyDiv w:val="1"/>
      <w:marLeft w:val="0"/>
      <w:marRight w:val="0"/>
      <w:marTop w:val="0"/>
      <w:marBottom w:val="0"/>
      <w:divBdr>
        <w:top w:val="none" w:sz="0" w:space="0" w:color="auto"/>
        <w:left w:val="none" w:sz="0" w:space="0" w:color="auto"/>
        <w:bottom w:val="none" w:sz="0" w:space="0" w:color="auto"/>
        <w:right w:val="none" w:sz="0" w:space="0" w:color="auto"/>
      </w:divBdr>
    </w:div>
    <w:div w:id="1376152704">
      <w:bodyDiv w:val="1"/>
      <w:marLeft w:val="0"/>
      <w:marRight w:val="0"/>
      <w:marTop w:val="0"/>
      <w:marBottom w:val="0"/>
      <w:divBdr>
        <w:top w:val="none" w:sz="0" w:space="0" w:color="auto"/>
        <w:left w:val="none" w:sz="0" w:space="0" w:color="auto"/>
        <w:bottom w:val="none" w:sz="0" w:space="0" w:color="auto"/>
        <w:right w:val="none" w:sz="0" w:space="0" w:color="auto"/>
      </w:divBdr>
    </w:div>
    <w:div w:id="1500074661">
      <w:bodyDiv w:val="1"/>
      <w:marLeft w:val="0"/>
      <w:marRight w:val="0"/>
      <w:marTop w:val="0"/>
      <w:marBottom w:val="0"/>
      <w:divBdr>
        <w:top w:val="none" w:sz="0" w:space="0" w:color="auto"/>
        <w:left w:val="none" w:sz="0" w:space="0" w:color="auto"/>
        <w:bottom w:val="none" w:sz="0" w:space="0" w:color="auto"/>
        <w:right w:val="none" w:sz="0" w:space="0" w:color="auto"/>
      </w:divBdr>
    </w:div>
    <w:div w:id="1592347092">
      <w:bodyDiv w:val="1"/>
      <w:marLeft w:val="0"/>
      <w:marRight w:val="0"/>
      <w:marTop w:val="0"/>
      <w:marBottom w:val="0"/>
      <w:divBdr>
        <w:top w:val="none" w:sz="0" w:space="0" w:color="auto"/>
        <w:left w:val="none" w:sz="0" w:space="0" w:color="auto"/>
        <w:bottom w:val="none" w:sz="0" w:space="0" w:color="auto"/>
        <w:right w:val="none" w:sz="0" w:space="0" w:color="auto"/>
      </w:divBdr>
    </w:div>
    <w:div w:id="1839807442">
      <w:bodyDiv w:val="1"/>
      <w:marLeft w:val="0"/>
      <w:marRight w:val="0"/>
      <w:marTop w:val="0"/>
      <w:marBottom w:val="0"/>
      <w:divBdr>
        <w:top w:val="none" w:sz="0" w:space="0" w:color="auto"/>
        <w:left w:val="none" w:sz="0" w:space="0" w:color="auto"/>
        <w:bottom w:val="none" w:sz="0" w:space="0" w:color="auto"/>
        <w:right w:val="none" w:sz="0" w:space="0" w:color="auto"/>
      </w:divBdr>
    </w:div>
    <w:div w:id="1854419349">
      <w:bodyDiv w:val="1"/>
      <w:marLeft w:val="0"/>
      <w:marRight w:val="0"/>
      <w:marTop w:val="0"/>
      <w:marBottom w:val="0"/>
      <w:divBdr>
        <w:top w:val="none" w:sz="0" w:space="0" w:color="auto"/>
        <w:left w:val="none" w:sz="0" w:space="0" w:color="auto"/>
        <w:bottom w:val="none" w:sz="0" w:space="0" w:color="auto"/>
        <w:right w:val="none" w:sz="0" w:space="0" w:color="auto"/>
      </w:divBdr>
    </w:div>
    <w:div w:id="1884367941">
      <w:bodyDiv w:val="1"/>
      <w:marLeft w:val="0"/>
      <w:marRight w:val="0"/>
      <w:marTop w:val="0"/>
      <w:marBottom w:val="0"/>
      <w:divBdr>
        <w:top w:val="none" w:sz="0" w:space="0" w:color="auto"/>
        <w:left w:val="none" w:sz="0" w:space="0" w:color="auto"/>
        <w:bottom w:val="none" w:sz="0" w:space="0" w:color="auto"/>
        <w:right w:val="none" w:sz="0" w:space="0" w:color="auto"/>
      </w:divBdr>
    </w:div>
    <w:div w:id="19548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961</Words>
  <Characters>5069</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2019-09-05T15:09:00Z</dcterms:created>
  <dcterms:modified xsi:type="dcterms:W3CDTF">2019-10-04T13:59:00Z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